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DSA06 Data Handling and Visualization</w:t>
      </w:r>
    </w:p>
    <w:p>
      <w:pPr>
        <w:spacing w:after="60"/>
        <w:jc w:val="center"/>
      </w:pPr>
      <w:r>
        <w:rPr>
          <w:rFonts w:ascii="Times New Roman" w:cs="Times New Roman" w:eastAsia="Times New Roman" w:hAnsi="Times New Roman"/>
          <w:b/>
          <w:bCs/>
          <w:sz w:val="30"/>
          <w:szCs w:val="30"/>
        </w:rPr>
        <w:t xml:space="preserve">Advanced Assignment: Distributions and Proportions | Slot D</w:t>
      </w:r>
    </w:p>
    <w:p>
      <w:pPr>
        <w:pBdr>
          <w:bottom w:val="single" w:color="000000" w:sz="8" w:space="4"/>
        </w:pBdr>
        <w:spacing w:after="160"/>
        <w:jc w:val="center"/>
      </w:pPr>
      <w:r>
        <w:rPr>
          <w:rFonts w:ascii="Times New Roman" w:cs="Times New Roman" w:eastAsia="Times New Roman" w:hAnsi="Times New Roman"/>
          <w:sz w:val="26"/>
          <w:szCs w:val="26"/>
        </w:rPr>
        <w:t xml:space="preserve">R.No: 19    Reg. No: 1924260279    Name: Kathirvel Rameshkumar</w:t>
      </w:r>
    </w:p>
    <w:p>
      <w:pPr>
        <w:pStyle w:val="Heading1"/>
        <w:keepNext/>
        <w:spacing w:after="140" w:before="280"/>
      </w:pPr>
      <w:r>
        <w:rPr>
          <w:rFonts w:ascii="Times New Roman" w:cs="Times New Roman" w:eastAsia="Times New Roman" w:hAnsi="Times New Roman"/>
          <w:b/>
          <w:bCs/>
          <w:sz w:val="30"/>
          <w:szCs w:val="30"/>
        </w:rPr>
        <w:t xml:space="preserve">Q1. Visualizing nested proportions [10 marks]</w:t>
      </w:r>
    </w:p>
    <w:p>
      <w:pPr>
        <w:keepNext/>
        <w:spacing w:after="80" w:before="140"/>
      </w:pPr>
      <w:r>
        <w:rPr>
          <w:rFonts w:ascii="Times New Roman" w:cs="Times New Roman" w:eastAsia="Times New Roman" w:hAnsi="Times New Roman"/>
          <w:b/>
          <w:bCs/>
          <w:sz w:val="26"/>
          <w:szCs w:val="26"/>
        </w:rPr>
        <w:t xml:space="preserve">(a) Visits, sign-ups and payers for each device [3]</w:t>
      </w:r>
    </w:p>
    <w:p>
      <w:pPr>
        <w:spacing w:after="100" w:line="276"/>
      </w:pPr>
      <w:r>
        <w:rPr>
          <w:rFonts w:ascii="Times New Roman" w:cs="Times New Roman" w:eastAsia="Times New Roman" w:hAnsi="Times New Roman"/>
          <w:sz w:val="26"/>
          <w:szCs w:val="26"/>
        </w:rPr>
        <w:t xml:space="preserve">Mobile visits = 62% × 5,000 = 3,100; Desktop visits = 5,000 − 3,100 = 1,900.</w:t>
      </w:r>
    </w:p>
    <w:p>
      <w:pPr>
        <w:spacing w:after="100" w:line="276"/>
      </w:pPr>
      <w:r>
        <w:rPr>
          <w:rFonts w:ascii="Times New Roman" w:cs="Times New Roman" w:eastAsia="Times New Roman" w:hAnsi="Times New Roman"/>
          <w:sz w:val="26"/>
          <w:szCs w:val="26"/>
        </w:rPr>
        <w:t xml:space="preserve">Mobile sign-ups = 27% × 3,100 = 837; Desktop sign-ups = 52% × 1,900 = 988.</w:t>
      </w:r>
    </w:p>
    <w:p>
      <w:pPr>
        <w:spacing w:after="100" w:line="276"/>
      </w:pPr>
      <w:r>
        <w:rPr>
          <w:rFonts w:ascii="Times New Roman" w:cs="Times New Roman" w:eastAsia="Times New Roman" w:hAnsi="Times New Roman"/>
          <w:sz w:val="26"/>
          <w:szCs w:val="26"/>
        </w:rPr>
        <w:t xml:space="preserve">Mobile payers = 16% × 837 = 133.92 ≈ 134; Desktop payers = 34% × 988 = 335.92 ≈ 336.</w:t>
      </w:r>
    </w:p>
    <w:p>
      <w:pPr>
        <w:spacing w:after="60"/>
      </w:pPr>
      <w:r>
        <w:rPr>
          <w:rFonts w:ascii="Times New Roman" w:cs="Times New Roman" w:eastAsia="Times New Roman" w:hAnsi="Times New Roman"/>
          <w:sz w:val="26"/>
          <w:szCs w:val="26"/>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300"/>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Device</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Visits</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Sign-ups</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Payers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Mobile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3,100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837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134</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Desktop</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1,900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988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336</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Total</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5,000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1,825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470</w:t>
            </w:r>
          </w:p>
        </w:tc>
      </w:tr>
    </w:tbl>
    <w:p>
      <w:pPr>
        <w:spacing w:after="60"/>
      </w:pPr>
      <w:r>
        <w:rPr>
          <w:rFonts w:ascii="Times New Roman" w:cs="Times New Roman" w:eastAsia="Times New Roman" w:hAnsi="Times New Roman"/>
          <w:sz w:val="26"/>
          <w:szCs w:val="26"/>
        </w:rPr>
        <w:t xml:space="preserve"/>
      </w:r>
    </w:p>
    <w:p>
      <w:pPr>
        <w:keepNext/>
        <w:spacing w:after="80" w:before="140"/>
      </w:pPr>
      <w:r>
        <w:rPr>
          <w:rFonts w:ascii="Times New Roman" w:cs="Times New Roman" w:eastAsia="Times New Roman" w:hAnsi="Times New Roman"/>
          <w:b/>
          <w:bCs/>
          <w:sz w:val="26"/>
          <w:szCs w:val="26"/>
        </w:rPr>
        <w:t xml:space="preserve">(b) Overall payment rate and mobile share of payers [3]</w:t>
      </w:r>
    </w:p>
    <w:p>
      <w:pPr>
        <w:spacing w:after="100" w:line="276"/>
      </w:pPr>
      <w:r>
        <w:rPr>
          <w:rFonts w:ascii="Times New Roman" w:cs="Times New Roman" w:eastAsia="Times New Roman" w:hAnsi="Times New Roman"/>
          <w:sz w:val="26"/>
          <w:szCs w:val="26"/>
        </w:rPr>
        <w:t xml:space="preserve">Total payers = 133.92 + 335.92 = 469.84 ≈ 470.</w:t>
      </w:r>
    </w:p>
    <w:p>
      <w:pPr>
        <w:spacing w:after="100" w:line="276"/>
      </w:pPr>
      <w:r>
        <w:rPr>
          <w:rFonts w:ascii="Times New Roman" w:cs="Times New Roman" w:eastAsia="Times New Roman" w:hAnsi="Times New Roman"/>
          <w:sz w:val="26"/>
          <w:szCs w:val="26"/>
        </w:rPr>
        <w:t xml:space="preserve">Percentage of all visits ending in a payment = 469.84 / 5,000 = 0.0940 = </w:t>
      </w:r>
      <w:r>
        <w:rPr>
          <w:rFonts w:ascii="Times New Roman" w:cs="Times New Roman" w:eastAsia="Times New Roman" w:hAnsi="Times New Roman"/>
          <w:b/>
          <w:bCs/>
          <w:sz w:val="26"/>
          <w:szCs w:val="26"/>
        </w:rPr>
        <w:t xml:space="preserve">9.4%</w:t>
      </w:r>
      <w:r>
        <w:rPr>
          <w:rFonts w:ascii="Times New Roman" w:cs="Times New Roman" w:eastAsia="Times New Roman" w:hAnsi="Times New Roman"/>
          <w:sz w:val="26"/>
          <w:szCs w:val="26"/>
        </w:rPr>
        <w:t xml:space="preserve">.</w:t>
      </w:r>
    </w:p>
    <w:p>
      <w:pPr>
        <w:spacing w:after="100" w:line="276"/>
      </w:pPr>
      <w:r>
        <w:rPr>
          <w:rFonts w:ascii="Times New Roman" w:cs="Times New Roman" w:eastAsia="Times New Roman" w:hAnsi="Times New Roman"/>
          <w:sz w:val="26"/>
          <w:szCs w:val="26"/>
        </w:rPr>
        <w:t xml:space="preserve">Mobile share of payers = 133.92 / 469.84 = 0.2850 = </w:t>
      </w:r>
      <w:r>
        <w:rPr>
          <w:rFonts w:ascii="Times New Roman" w:cs="Times New Roman" w:eastAsia="Times New Roman" w:hAnsi="Times New Roman"/>
          <w:b/>
          <w:bCs/>
          <w:sz w:val="26"/>
          <w:szCs w:val="26"/>
        </w:rPr>
        <w:t xml:space="preserve">28.5%</w:t>
      </w:r>
      <w:r>
        <w:rPr>
          <w:rFonts w:ascii="Times New Roman" w:cs="Times New Roman" w:eastAsia="Times New Roman" w:hAnsi="Times New Roman"/>
          <w:sz w:val="26"/>
          <w:szCs w:val="26"/>
        </w:rPr>
        <w:t xml:space="preserve">.</w:t>
      </w:r>
    </w:p>
    <w:p>
      <w:pPr>
        <w:spacing w:after="100" w:line="276"/>
      </w:pPr>
      <w:r>
        <w:rPr>
          <w:rFonts w:ascii="Times New Roman" w:cs="Times New Roman" w:eastAsia="Times New Roman" w:hAnsi="Times New Roman"/>
          <w:sz w:val="26"/>
          <w:szCs w:val="26"/>
        </w:rPr>
        <w:t xml:space="preserve">Mobile share of visits = 62%. Mobile supplies 62% of visits but only 28.5% of payers (about 0.46 times its visit share; 28.5 / 62 = 0.46). Desktop supplies 38% of visits but 71.5% of payers. So mobile is </w:t>
      </w:r>
      <w:r>
        <w:rPr>
          <w:rFonts w:ascii="Times New Roman" w:cs="Times New Roman" w:eastAsia="Times New Roman" w:hAnsi="Times New Roman"/>
          <w:b/>
          <w:bCs/>
          <w:sz w:val="26"/>
          <w:szCs w:val="26"/>
        </w:rPr>
        <w:t xml:space="preserve">under-represented</w:t>
      </w:r>
      <w:r>
        <w:rPr>
          <w:rFonts w:ascii="Times New Roman" w:cs="Times New Roman" w:eastAsia="Times New Roman" w:hAnsi="Times New Roman"/>
          <w:sz w:val="26"/>
          <w:szCs w:val="26"/>
        </w:rPr>
        <w:t xml:space="preserve"> among payers: it brings the traffic, but desktop brings the revenue.</w:t>
      </w:r>
    </w:p>
    <w:p>
      <w:pPr>
        <w:keepNext/>
        <w:spacing w:after="80" w:before="140"/>
      </w:pPr>
      <w:r>
        <w:rPr>
          <w:rFonts w:ascii="Times New Roman" w:cs="Times New Roman" w:eastAsia="Times New Roman" w:hAnsi="Times New Roman"/>
          <w:b/>
          <w:bCs/>
          <w:sz w:val="26"/>
          <w:szCs w:val="26"/>
        </w:rPr>
        <w:t xml:space="preserve">(c) Choice of chart [2]</w:t>
      </w:r>
    </w:p>
    <w:p>
      <w:pPr>
        <w:spacing w:after="100" w:line="276"/>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 xml:space="preserve">stacked bar chart by funnel stage</w:t>
      </w:r>
      <w:r>
        <w:rPr>
          <w:rFonts w:ascii="Times New Roman" w:cs="Times New Roman" w:eastAsia="Times New Roman" w:hAnsi="Times New Roman"/>
          <w:sz w:val="26"/>
          <w:szCs w:val="26"/>
        </w:rPr>
        <w:t xml:space="preserve"> (Visit → Sign-up → Payment on the x-axis, count on the y-axis, fill = device), with the counts printed inside each segment, is the best choice. The bar heights give the absolute counts at each level (5,000 → 1,825 → 470), while the split of each bar by colour shows the proportion of mobile vs desktop at that level, so the mobile share can be seen falling from 62% to 45.9% to 28.5%. A treemap or mosaic plot would also show the proportions, but areas are harder to read as exact counts, and the bars keep a common baseline so levels are easy to compare. A second version with position = "fill" can be added to show only the proportions.</w:t>
      </w:r>
    </w:p>
    <w:p>
      <w:pPr>
        <w:keepNext/>
        <w:spacing w:after="80" w:before="140"/>
      </w:pPr>
      <w:r>
        <w:rPr>
          <w:rFonts w:ascii="Times New Roman" w:cs="Times New Roman" w:eastAsia="Times New Roman" w:hAnsi="Times New Roman"/>
          <w:b/>
          <w:bCs/>
          <w:sz w:val="26"/>
          <w:szCs w:val="26"/>
        </w:rPr>
        <w:t xml:space="preserve">(d) ggplot2 code [2]</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library(ggplot2)</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library(dplyr)</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df &lt;- data.frame(</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device = rep(c("Mobile", "Desktop"), each = 3),</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stage  = rep(c("Visit", "Sign-up", "Payment"), times = 2),</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count  = c(3100, 837, 134,  1900, 988, 336)</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df$stage  &lt;- factor(df$stage,  levels = c("Visit", "Sign-up", "Payment"))</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df$device &lt;- factor(df$device, levels = c("Desktop", "Mobile"))</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ggplot(df, aes(x = stage, y = count, fill = device))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geom_col(width = 0.65)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geom_text(aes(label = count),</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position = position_stack(vjust = 0.5), colour = "white")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scale_fill_manual(values = c(Mobile = "#1f77b4", Desktop = "#ff7f0e"))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labs(title = "Visits, sign-ups and payers by device",</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x = "Funnel stage", y = "Number of users", fill = "Device")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theme_minimal(base_size = 13)</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Proportion version: change geom_col() to</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geom_col(position = "fill") and y-axis to scales::percent</w:t>
      </w:r>
    </w:p>
    <w:p>
      <w:pPr>
        <w:pStyle w:val="Heading1"/>
        <w:keepNext/>
        <w:spacing w:after="140" w:before="280"/>
      </w:pPr>
      <w:r>
        <w:rPr>
          <w:rFonts w:ascii="Times New Roman" w:cs="Times New Roman" w:eastAsia="Times New Roman" w:hAnsi="Times New Roman"/>
          <w:b/>
          <w:bCs/>
          <w:sz w:val="30"/>
          <w:szCs w:val="30"/>
        </w:rPr>
        <w:t xml:space="preserve">Q2. Highly skewed distributions: ECDF, CCDF and log-log axes [10 marks]</w:t>
      </w:r>
    </w:p>
    <w:p>
      <w:pPr>
        <w:keepNext/>
        <w:spacing w:after="80" w:before="140"/>
      </w:pPr>
      <w:r>
        <w:rPr>
          <w:rFonts w:ascii="Times New Roman" w:cs="Times New Roman" w:eastAsia="Times New Roman" w:hAnsi="Times New Roman"/>
          <w:b/>
          <w:bCs/>
          <w:sz w:val="26"/>
          <w:szCs w:val="26"/>
        </w:rPr>
        <w:t xml:space="preserve">(a) Complementary ECDF, P(X &gt; x) = (number &gt; x) / 500 [2]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500"/>
        <w:gridCol w:w="1500"/>
        <w:gridCol w:w="1846"/>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x</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10</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20</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40</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80</w:t>
            </w:r>
          </w:p>
        </w:tc>
        <w:tc>
          <w:tcPr>
            <w:tcW w:type="dxa" w:w="184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160</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Number &gt; x</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500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144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12</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3</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P(X &gt; x)</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500/500 = 1.000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144/500 = 0.288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41/500 = 0.082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12/500 = 0.024</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3/500 = 0.006</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log10 x</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1.0000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1.3010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1.6021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1.9031</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2.2041</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log10 P(X &gt; x)</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0.0000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−0.5406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−1.0862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−1.6198</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−2.2218</w:t>
            </w:r>
          </w:p>
        </w:tc>
      </w:tr>
    </w:tbl>
    <w:p>
      <w:pPr>
        <w:spacing w:after="60"/>
      </w:pPr>
      <w:r>
        <w:rPr>
          <w:rFonts w:ascii="Times New Roman" w:cs="Times New Roman" w:eastAsia="Times New Roman" w:hAnsi="Times New Roman"/>
          <w:sz w:val="26"/>
          <w:szCs w:val="26"/>
        </w:rPr>
        <w:t xml:space="preserve"/>
      </w:r>
    </w:p>
    <w:p>
      <w:pPr>
        <w:keepNext/>
        <w:spacing w:after="80" w:before="140"/>
      </w:pPr>
      <w:r>
        <w:rPr>
          <w:rFonts w:ascii="Times New Roman" w:cs="Times New Roman" w:eastAsia="Times New Roman" w:hAnsi="Times New Roman"/>
          <w:b/>
          <w:bCs/>
          <w:sz w:val="26"/>
          <w:szCs w:val="26"/>
        </w:rPr>
        <w:t xml:space="preserve">(b) Slope between x = 20 and x = 160, and the tail exponent α [3]</w:t>
      </w:r>
    </w:p>
    <w:p>
      <w:pPr>
        <w:spacing w:after="100" w:line="276"/>
      </w:pPr>
      <w:r>
        <w:rPr>
          <w:rFonts w:ascii="Times New Roman" w:cs="Times New Roman" w:eastAsia="Times New Roman" w:hAnsi="Times New Roman"/>
          <w:sz w:val="26"/>
          <w:szCs w:val="26"/>
        </w:rPr>
        <w:t xml:space="preserve">Slope = [log10 P(160) − log10 P(20)] / [log10 160 − log10 20]</w:t>
      </w:r>
    </w:p>
    <w:p>
      <w:pPr>
        <w:spacing w:after="100" w:line="276"/>
      </w:pPr>
      <w:r>
        <w:rPr>
          <w:rFonts w:ascii="Times New Roman" w:cs="Times New Roman" w:eastAsia="Times New Roman" w:hAnsi="Times New Roman"/>
          <w:sz w:val="26"/>
          <w:szCs w:val="26"/>
        </w:rPr>
        <w:t xml:space="preserve">= [−2.2218 − (−0.5406)] / [2.2041 − 1.3010]</w:t>
      </w:r>
    </w:p>
    <w:p>
      <w:pPr>
        <w:spacing w:after="100" w:line="276"/>
      </w:pPr>
      <w:r>
        <w:rPr>
          <w:rFonts w:ascii="Times New Roman" w:cs="Times New Roman" w:eastAsia="Times New Roman" w:hAnsi="Times New Roman"/>
          <w:sz w:val="26"/>
          <w:szCs w:val="26"/>
        </w:rPr>
        <w:t xml:space="preserve">= −1.6812 / 0.9031 = −1.862.</w:t>
      </w:r>
    </w:p>
    <w:p>
      <w:pPr>
        <w:spacing w:after="100" w:line="276"/>
      </w:pPr>
      <w:r>
        <w:rPr>
          <w:rFonts w:ascii="Times New Roman" w:cs="Times New Roman" w:eastAsia="Times New Roman" w:hAnsi="Times New Roman"/>
          <w:sz w:val="26"/>
          <w:szCs w:val="26"/>
        </w:rPr>
        <w:t xml:space="preserve">Since slope = −α, </w:t>
      </w:r>
      <w:r>
        <w:rPr>
          <w:rFonts w:ascii="Times New Roman" w:cs="Times New Roman" w:eastAsia="Times New Roman" w:hAnsi="Times New Roman"/>
          <w:b/>
          <w:bCs/>
          <w:sz w:val="26"/>
          <w:szCs w:val="26"/>
        </w:rPr>
        <w:t xml:space="preserve">α ≈ 1.86</w:t>
      </w:r>
      <w:r>
        <w:rPr>
          <w:rFonts w:ascii="Times New Roman" w:cs="Times New Roman" w:eastAsia="Times New Roman" w:hAnsi="Times New Roman"/>
          <w:sz w:val="26"/>
          <w:szCs w:val="26"/>
        </w:rPr>
        <w:t xml:space="preserve"> (about 1.9). Thus P(X &gt; x) ∝ x^(−1.86), and the density has exponent α + 1 ≈ 2.86.</w:t>
      </w:r>
    </w:p>
    <w:p>
      <w:pPr>
        <w:keepNext/>
        <w:spacing w:after="80" w:before="140"/>
      </w:pPr>
      <w:r>
        <w:rPr>
          <w:rFonts w:ascii="Times New Roman" w:cs="Times New Roman" w:eastAsia="Times New Roman" w:hAnsi="Times New Roman"/>
          <w:b/>
          <w:bCs/>
          <w:sz w:val="26"/>
          <w:szCs w:val="26"/>
        </w:rPr>
        <w:t xml:space="preserve">(c) Why a linear ECDF/histogram hides the tail, and what a straight line means [2]</w:t>
      </w:r>
    </w:p>
    <w:p>
      <w:pPr>
        <w:spacing w:after="100" w:line="276"/>
      </w:pPr>
      <w:r>
        <w:rPr>
          <w:rFonts w:ascii="Times New Roman" w:cs="Times New Roman" w:eastAsia="Times New Roman" w:hAnsi="Times New Roman"/>
          <w:sz w:val="26"/>
          <w:szCs w:val="26"/>
        </w:rPr>
        <w:t xml:space="preserve">In such data almost all accounts have few followers: 71.2% of the values are below 20, and only 3 of 500 (0.6%) exceed 160. On a linear axis the histogram bars or the ECDF are crammed against the left side and the handful of huge values in the tail are so rare that their bars or the last 0.6% of the curve are invisibly thin (the ECDF is already ≈ 1 almost everywhere). The tail, however, is where the interesting behaviour is.</w:t>
      </w:r>
    </w:p>
    <w:p>
      <w:pPr>
        <w:spacing w:after="100" w:line="276"/>
      </w:pPr>
      <w:r>
        <w:rPr>
          <w:rFonts w:ascii="Times New Roman" w:cs="Times New Roman" w:eastAsia="Times New Roman" w:hAnsi="Times New Roman"/>
          <w:sz w:val="26"/>
          <w:szCs w:val="26"/>
        </w:rPr>
        <w:t xml:space="preserve">On log-log axes the CCDF shows each order of magnitude with equal space, so the rare large values become visible. A straight line means P(X &gt; x) = C·x^(−α), i.e. a power law (Pareto-type tail): the line’s slope gives −α, the tail is "heavy" (no characteristic scale), and the fact that the ratio P(2x)/P(x) = 2^(−α) is constant at all scales shows scale invariance. A smaller α means a heavier tail.</w:t>
      </w:r>
    </w:p>
    <w:p>
      <w:pPr>
        <w:keepNext/>
        <w:spacing w:after="80" w:before="140"/>
      </w:pPr>
      <w:r>
        <w:rPr>
          <w:rFonts w:ascii="Times New Roman" w:cs="Times New Roman" w:eastAsia="Times New Roman" w:hAnsi="Times New Roman"/>
          <w:b/>
          <w:bCs/>
          <w:sz w:val="26"/>
          <w:szCs w:val="26"/>
        </w:rPr>
        <w:t xml:space="preserve">(d) Predicted number of values above 320 [1]</w:t>
      </w:r>
    </w:p>
    <w:p>
      <w:pPr>
        <w:spacing w:after="100" w:line="276"/>
      </w:pPr>
      <w:r>
        <w:rPr>
          <w:rFonts w:ascii="Times New Roman" w:cs="Times New Roman" w:eastAsia="Times New Roman" w:hAnsi="Times New Roman"/>
          <w:sz w:val="26"/>
          <w:szCs w:val="26"/>
        </w:rPr>
        <w:t xml:space="preserve">P(X &gt; 320) = P(X &gt; 160) × (320/160)^(−α) = 0.006 × 2^(−1.862) = 0.006 × 0.2751 ≈ 0.00165.</w:t>
      </w:r>
    </w:p>
    <w:p>
      <w:pPr>
        <w:spacing w:after="100" w:line="276"/>
      </w:pPr>
      <w:r>
        <w:rPr>
          <w:rFonts w:ascii="Times New Roman" w:cs="Times New Roman" w:eastAsia="Times New Roman" w:hAnsi="Times New Roman"/>
          <w:sz w:val="26"/>
          <w:szCs w:val="26"/>
        </w:rPr>
        <w:t xml:space="preserve">Expected count = 500 × 0.00165 ≈ 0.83, i.e. about </w:t>
      </w:r>
      <w:r>
        <w:rPr>
          <w:rFonts w:ascii="Times New Roman" w:cs="Times New Roman" w:eastAsia="Times New Roman" w:hAnsi="Times New Roman"/>
          <w:b/>
          <w:bCs/>
          <w:sz w:val="26"/>
          <w:szCs w:val="26"/>
        </w:rPr>
        <w:t xml:space="preserve">1 value</w:t>
      </w:r>
      <w:r>
        <w:rPr>
          <w:rFonts w:ascii="Times New Roman" w:cs="Times New Roman" w:eastAsia="Times New Roman" w:hAnsi="Times New Roman"/>
          <w:sz w:val="26"/>
          <w:szCs w:val="26"/>
        </w:rPr>
        <w:t xml:space="preserve"> above 320.</w:t>
      </w:r>
    </w:p>
    <w:p>
      <w:pPr>
        <w:keepNext/>
        <w:spacing w:after="80" w:before="140"/>
      </w:pPr>
      <w:r>
        <w:rPr>
          <w:rFonts w:ascii="Times New Roman" w:cs="Times New Roman" w:eastAsia="Times New Roman" w:hAnsi="Times New Roman"/>
          <w:b/>
          <w:bCs/>
          <w:sz w:val="26"/>
          <w:szCs w:val="26"/>
        </w:rPr>
        <w:t xml:space="preserve">(e) ggplot2 code for the CCDF on log-log axes [2]</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library(ggplot2)</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x = numeric vector of the 500 follower counts</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Fn   &lt;- ecdf(x)</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df   &lt;- data.frame(x = sort(unique(x)))</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df$ccdf &lt;- 1 - Fn(df$x)          # P(X &gt; x)</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df   &lt;- subset(df, ccdf &gt; 0)      # log(0) is undefined</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ggplot(df, aes(x, ccdf))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geom_point(colour = "#1f77b4", size = 1.5)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geom_line(colour = "#1f77b4")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scale_x_log10()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scale_y_log10()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annotation_logticks()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labs(title = "CCDF of followers (log-log)",</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x = "Followers x (log scale)", y = "P(X &gt; x) (log scale)")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theme_minimal(base_size = 13)</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Using only the table given:</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tab &lt;- data.frame(x = c(10, 20, 40, 80, 160), n = c(500, 144, 41, 12, 3))</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tab$ccdf &lt;- tab$n / 500</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ggplot(tab, aes(x, ccdf)) + geom_point(size = 3) + geom_line()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geom_smooth(method = "lm", se = FALSE, linetype = "dashed")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scale_x_log10() + scale_y_log10()</w:t>
      </w:r>
    </w:p>
    <w:p>
      <w:pPr>
        <w:pStyle w:val="Heading1"/>
        <w:keepNext/>
        <w:spacing w:after="140" w:before="280"/>
      </w:pPr>
      <w:r>
        <w:rPr>
          <w:rFonts w:ascii="Times New Roman" w:cs="Times New Roman" w:eastAsia="Times New Roman" w:hAnsi="Times New Roman"/>
          <w:b/>
          <w:bCs/>
          <w:sz w:val="30"/>
          <w:szCs w:val="30"/>
        </w:rPr>
        <w:t xml:space="preserve">Q3. Stacked bars and stacked densities [10 marks]</w:t>
      </w:r>
    </w:p>
    <w:p>
      <w:pPr>
        <w:keepNext/>
        <w:spacing w:after="80" w:before="140"/>
      </w:pPr>
      <w:r>
        <w:rPr>
          <w:rFonts w:ascii="Times New Roman" w:cs="Times New Roman" w:eastAsia="Times New Roman" w:hAnsi="Times New Roman"/>
          <w:b/>
          <w:bCs/>
          <w:sz w:val="26"/>
          <w:szCs w:val="26"/>
        </w:rPr>
        <w:t xml:space="preserve">(a) Total per band and the proportion of Group D in each band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46"/>
        <w:gridCol w:w="1400"/>
        <w:gridCol w:w="1400"/>
        <w:gridCol w:w="1400"/>
        <w:gridCol w:w="1300"/>
        <w:gridCol w:w="1300"/>
        <w:gridCol w:w="1400"/>
      </w:tblGrid>
      <w:tr>
        <w:trPr>
          <w:tblHeader/>
        </w:trPr>
        <w:tc>
          <w:tcPr>
            <w:tcW w:type="dxa" w:w="154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Band</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&lt;20</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20-39</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40-59</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60-79</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80+</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Total</w:t>
            </w:r>
          </w:p>
        </w:tc>
      </w:tr>
      <w:tr>
        <w:trPr>
          <w:cantSplit/>
        </w:trPr>
        <w:tc>
          <w:tcPr>
            <w:tcW w:type="dxa" w:w="15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Group C</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7</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21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48</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49</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60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185</w:t>
            </w:r>
          </w:p>
        </w:tc>
      </w:tr>
      <w:tr>
        <w:trPr>
          <w:cantSplit/>
        </w:trPr>
        <w:tc>
          <w:tcPr>
            <w:tcW w:type="dxa" w:w="15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Group D</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26</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55</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48</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8</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5</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142</w:t>
            </w:r>
          </w:p>
        </w:tc>
      </w:tr>
      <w:tr>
        <w:trPr>
          <w:cantSplit/>
        </w:trPr>
        <w:tc>
          <w:tcPr>
            <w:tcW w:type="dxa" w:w="15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Group B</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48</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60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33</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49</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34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224</w:t>
            </w:r>
          </w:p>
        </w:tc>
      </w:tr>
      <w:tr>
        <w:trPr>
          <w:cantSplit/>
        </w:trPr>
        <w:tc>
          <w:tcPr>
            <w:tcW w:type="dxa" w:w="15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Band total</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81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136</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129</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106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99</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551</w:t>
            </w:r>
          </w:p>
        </w:tc>
      </w:tr>
      <w:tr>
        <w:trPr>
          <w:cantSplit/>
        </w:trPr>
        <w:tc>
          <w:tcPr>
            <w:tcW w:type="dxa" w:w="15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D proportion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26/81 = 32.1%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55/136 = 40.4%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48/129 = 37.2%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8/106 = 7.5%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5/99 = 5.1%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142/551 = 25.8%</w:t>
            </w:r>
          </w:p>
        </w:tc>
      </w:tr>
    </w:tbl>
    <w:p>
      <w:pPr>
        <w:spacing w:after="60"/>
      </w:pPr>
      <w:r>
        <w:rPr>
          <w:rFonts w:ascii="Times New Roman" w:cs="Times New Roman" w:eastAsia="Times New Roman" w:hAnsi="Times New Roman"/>
          <w:sz w:val="26"/>
          <w:szCs w:val="26"/>
        </w:rPr>
        <w:t xml:space="preserve"/>
      </w:r>
    </w:p>
    <w:p>
      <w:pPr>
        <w:spacing w:after="100" w:line="276"/>
      </w:pPr>
      <w:r>
        <w:rPr>
          <w:rFonts w:ascii="Times New Roman" w:cs="Times New Roman" w:eastAsia="Times New Roman" w:hAnsi="Times New Roman"/>
          <w:sz w:val="26"/>
          <w:szCs w:val="26"/>
        </w:rPr>
        <w:t xml:space="preserve">Band totals: &lt;20 = 7 + 26 + 48 = 81; 20-39 = 21 + 55 + 60 = 136; 40-59 = 48 + 48 + 33 = 129; 60-79 = 49 + 8 + 49 = 106; 80+ = 60 + 5 + 34 = 99. Grand total = 551.</w:t>
      </w:r>
    </w:p>
    <w:p>
      <w:pPr>
        <w:keepNext/>
        <w:spacing w:after="80" w:before="140"/>
      </w:pPr>
      <w:r>
        <w:rPr>
          <w:rFonts w:ascii="Times New Roman" w:cs="Times New Roman" w:eastAsia="Times New Roman" w:hAnsi="Times New Roman"/>
          <w:b/>
          <w:bCs/>
          <w:sz w:val="26"/>
          <w:szCs w:val="26"/>
        </w:rPr>
        <w:t xml:space="preserve">(b) Highest proportion vs highest count for Group D [2]</w:t>
      </w:r>
    </w:p>
    <w:p>
      <w:pPr>
        <w:spacing w:after="100" w:line="276"/>
      </w:pPr>
      <w:r>
        <w:rPr>
          <w:rFonts w:ascii="Times New Roman" w:cs="Times New Roman" w:eastAsia="Times New Roman" w:hAnsi="Times New Roman"/>
          <w:sz w:val="26"/>
          <w:szCs w:val="26"/>
        </w:rPr>
        <w:t xml:space="preserve">Group D’s proportion is highest in the </w:t>
      </w:r>
      <w:r>
        <w:rPr>
          <w:rFonts w:ascii="Times New Roman" w:cs="Times New Roman" w:eastAsia="Times New Roman" w:hAnsi="Times New Roman"/>
          <w:b/>
          <w:bCs/>
          <w:sz w:val="26"/>
          <w:szCs w:val="26"/>
        </w:rPr>
        <w:t xml:space="preserve">20-39 band (40.4%)</w:t>
      </w:r>
      <w:r>
        <w:rPr>
          <w:rFonts w:ascii="Times New Roman" w:cs="Times New Roman" w:eastAsia="Times New Roman" w:hAnsi="Times New Roman"/>
          <w:sz w:val="26"/>
          <w:szCs w:val="26"/>
        </w:rPr>
        <w:t xml:space="preserve"> and its count is also highest in the </w:t>
      </w:r>
      <w:r>
        <w:rPr>
          <w:rFonts w:ascii="Times New Roman" w:cs="Times New Roman" w:eastAsia="Times New Roman" w:hAnsi="Times New Roman"/>
          <w:b/>
          <w:bCs/>
          <w:sz w:val="26"/>
          <w:szCs w:val="26"/>
        </w:rPr>
        <w:t xml:space="preserve">20-39 band (55)</w:t>
      </w:r>
      <w:r>
        <w:rPr>
          <w:rFonts w:ascii="Times New Roman" w:cs="Times New Roman" w:eastAsia="Times New Roman" w:hAnsi="Times New Roman"/>
          <w:sz w:val="26"/>
          <w:szCs w:val="26"/>
        </w:rPr>
        <w:t xml:space="preserve"> here, so in this particular table the two coincide. In general they can differ, because the count depends only on D’s own numbers, whereas the proportion = count / band total also depends on how many members of the other groups are in that band. For example, a band with a very large total could contain D’s largest count yet give D only a modest share, while a small band can give D a high share from a small count (in the &lt;20 band D has 26 of 81, a 32.1% share, although its count there is lower than in 40-59 where it has 48 of 129, 37.2%).</w:t>
      </w:r>
    </w:p>
    <w:p>
      <w:pPr>
        <w:keepNext/>
        <w:spacing w:after="80" w:before="140"/>
      </w:pPr>
      <w:r>
        <w:rPr>
          <w:rFonts w:ascii="Times New Roman" w:cs="Times New Roman" w:eastAsia="Times New Roman" w:hAnsi="Times New Roman"/>
          <w:b/>
          <w:bCs/>
          <w:sz w:val="26"/>
          <w:szCs w:val="26"/>
        </w:rPr>
        <w:t xml:space="preserve">(c) Stacked density vs conditional density [2]</w:t>
      </w:r>
    </w:p>
    <w:p>
      <w:pPr>
        <w:spacing w:after="100" w:line="276"/>
      </w:pPr>
      <w:r>
        <w:rPr>
          <w:rFonts w:ascii="Times New Roman" w:cs="Times New Roman" w:eastAsia="Times New Roman" w:hAnsi="Times New Roman"/>
          <w:sz w:val="26"/>
          <w:szCs w:val="26"/>
        </w:rPr>
        <w:t xml:space="preserve">The </w:t>
      </w:r>
      <w:r>
        <w:rPr>
          <w:rFonts w:ascii="Times New Roman" w:cs="Times New Roman" w:eastAsia="Times New Roman" w:hAnsi="Times New Roman"/>
          <w:b/>
          <w:bCs/>
          <w:sz w:val="26"/>
          <w:szCs w:val="26"/>
        </w:rPr>
        <w:t xml:space="preserve">conditional density plot (position = "fill")</w:t>
      </w:r>
      <w:r>
        <w:rPr>
          <w:rFonts w:ascii="Times New Roman" w:cs="Times New Roman" w:eastAsia="Times New Roman" w:hAnsi="Times New Roman"/>
          <w:sz w:val="26"/>
          <w:szCs w:val="26"/>
        </w:rPr>
        <w:t xml:space="preserve"> answers "who is most likely in each band". It rescales every band to 100%, so the height of each coloured part is the proportion P(group | band) and the largest part at any x is the most likely group. The stacked density adds the group densities, so the heights depend on how many people each group has and how common the band is overall; it shows where the total mass lies (e.g. a large group dominates the picture), not which group is most likely, and the upper layers are hard to compare because they do not start from a common baseline.</w:t>
      </w:r>
    </w:p>
    <w:p>
      <w:pPr>
        <w:keepNext/>
        <w:spacing w:after="80" w:before="140"/>
      </w:pPr>
      <w:r>
        <w:rPr>
          <w:rFonts w:ascii="Times New Roman" w:cs="Times New Roman" w:eastAsia="Times New Roman" w:hAnsi="Times New Roman"/>
          <w:b/>
          <w:bCs/>
          <w:sz w:val="26"/>
          <w:szCs w:val="26"/>
        </w:rPr>
        <w:t xml:space="preserve">(d) Group sizes, pooled share of D and the caveat [1]</w:t>
      </w:r>
    </w:p>
    <w:p>
      <w:pPr>
        <w:spacing w:after="100" w:line="276"/>
      </w:pPr>
      <w:r>
        <w:rPr>
          <w:rFonts w:ascii="Times New Roman" w:cs="Times New Roman" w:eastAsia="Times New Roman" w:hAnsi="Times New Roman"/>
          <w:sz w:val="26"/>
          <w:szCs w:val="26"/>
        </w:rPr>
        <w:t xml:space="preserve">Group C = 185, Group D = 142, Group B = 224, total = 551.</w:t>
      </w:r>
    </w:p>
    <w:p>
      <w:pPr>
        <w:spacing w:after="100" w:line="276"/>
      </w:pPr>
      <w:r>
        <w:rPr>
          <w:rFonts w:ascii="Times New Roman" w:cs="Times New Roman" w:eastAsia="Times New Roman" w:hAnsi="Times New Roman"/>
          <w:sz w:val="26"/>
          <w:szCs w:val="26"/>
        </w:rPr>
        <w:t xml:space="preserve">Pooled share of D = 142 / 551 = </w:t>
      </w:r>
      <w:r>
        <w:rPr>
          <w:rFonts w:ascii="Times New Roman" w:cs="Times New Roman" w:eastAsia="Times New Roman" w:hAnsi="Times New Roman"/>
          <w:b/>
          <w:bCs/>
          <w:sz w:val="26"/>
          <w:szCs w:val="26"/>
        </w:rPr>
        <w:t xml:space="preserve">25.8%</w:t>
      </w:r>
      <w:r>
        <w:rPr>
          <w:rFonts w:ascii="Times New Roman" w:cs="Times New Roman" w:eastAsia="Times New Roman" w:hAnsi="Times New Roman"/>
          <w:sz w:val="26"/>
          <w:szCs w:val="26"/>
        </w:rPr>
        <w:t xml:space="preserve">.</w:t>
      </w:r>
    </w:p>
    <w:p>
      <w:pPr>
        <w:spacing w:after="100" w:line="276"/>
      </w:pPr>
      <w:r>
        <w:rPr>
          <w:rFonts w:ascii="Times New Roman" w:cs="Times New Roman" w:eastAsia="Times New Roman" w:hAnsi="Times New Roman"/>
          <w:sz w:val="26"/>
          <w:szCs w:val="26"/>
        </w:rPr>
        <w:t xml:space="preserve">Caveat: proportions in a "fill" plot are shares of the band, so they depend on group sizes. When groups are unequal (B is 1.6 times the size of D), a bigger group gets a larger share in every band even if its pattern is no different, and a small group looks rare everywhere. D’s pooled share of 25.8% is the baseline to compare against: D is over-represented in &lt;20 to 40-59 (32-40%) and strongly under-represented in 60-79 and 80+ (5-8%). The proportion shows P(group | band), not P(band | group), so it must not be read as "how likely a D member is to be in that band".</w:t>
      </w:r>
    </w:p>
    <w:p>
      <w:pPr>
        <w:keepNext/>
        <w:spacing w:after="80" w:before="140"/>
      </w:pPr>
      <w:r>
        <w:rPr>
          <w:rFonts w:ascii="Times New Roman" w:cs="Times New Roman" w:eastAsia="Times New Roman" w:hAnsi="Times New Roman"/>
          <w:b/>
          <w:bCs/>
          <w:sz w:val="26"/>
          <w:szCs w:val="26"/>
        </w:rPr>
        <w:t xml:space="preserve">(e) ggplot2 code [2]</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library(ggplot2)</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library(tidyr)</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dat &lt;- data.frame(</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Group = rep(c("C", "D", "B"), each = 5),</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Band  = factor(rep(c("&lt;20","20-39","40-59","60-79","80+"), 3),</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levels = c("&lt;20","20-39","40-59","60-79","80+")),</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Count = c(7,21,48,49,60,  26,55,48,8,5,  48,60,33,49,34)</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Stacked bars (counts)</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ggplot(dat, aes(Band, Count, fill = Group))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geom_bar(stat = "identity", position = "stack")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labs(title = "Stacked: counts per band", y = "Count")</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Fill version (proportions)</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ggplot(dat, aes(Band, Count, fill = Group))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geom_bar(stat = "identity", position = "fill")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scale_y_continuous(labels = scales::percent)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labs(title = "Fill: share of each group in a band", y = "Proportion")</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Density versions (band mid-points as numeric usage, weights = counts)</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dat$mid &lt;- c(10, 30, 50, 70, 90)[as.integer(dat$Band)]</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ggplot(dat, aes(mid, weight = Count, fill = Group))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geom_density(position = "stack", adjust = 1)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labs(title = "Stacked density", x = "Mobile data per day (MB)")</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ggplot(dat, aes(mid, weight = Count, fill = Group))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geom_density(position = "fill", adjust = 1)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labs(title = "Conditional density", x = "Mobile data per day (MB)")</w:t>
      </w:r>
    </w:p>
    <w:p>
      <w:pPr>
        <w:pStyle w:val="Heading1"/>
        <w:keepNext/>
        <w:spacing w:after="140" w:before="280"/>
      </w:pPr>
      <w:r>
        <w:rPr>
          <w:rFonts w:ascii="Times New Roman" w:cs="Times New Roman" w:eastAsia="Times New Roman" w:hAnsi="Times New Roman"/>
          <w:b/>
          <w:bCs/>
          <w:sz w:val="30"/>
          <w:szCs w:val="30"/>
        </w:rPr>
        <w:t xml:space="preserve">Q4. Visualizing many distributions at once [10 marks]</w:t>
      </w:r>
    </w:p>
    <w:p>
      <w:pPr>
        <w:keepNext/>
        <w:spacing w:after="80" w:before="140"/>
      </w:pPr>
      <w:r>
        <w:rPr>
          <w:rFonts w:ascii="Times New Roman" w:cs="Times New Roman" w:eastAsia="Times New Roman" w:hAnsi="Times New Roman"/>
          <w:b/>
          <w:bCs/>
          <w:sz w:val="26"/>
          <w:szCs w:val="26"/>
        </w:rPr>
        <w:t xml:space="preserve">(a) Plants ordered by median (highest first) and IQR overlap [3]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700"/>
        <w:gridCol w:w="1700"/>
        <w:gridCol w:w="1700"/>
        <w:gridCol w:w="1700"/>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Rank</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Plant</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Median</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Q1</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Q3</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IQR</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H</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870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803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937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134</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F</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745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626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865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239</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J</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736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618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854</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236</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A</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708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623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793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170</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K</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555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485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625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140</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449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336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563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227</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7</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B</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407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359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456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97</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385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290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480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190</w:t>
            </w:r>
          </w:p>
        </w:tc>
      </w:tr>
    </w:tbl>
    <w:p>
      <w:pPr>
        <w:spacing w:after="60"/>
      </w:pPr>
      <w:r>
        <w:rPr>
          <w:rFonts w:ascii="Times New Roman" w:cs="Times New Roman" w:eastAsia="Times New Roman" w:hAnsi="Times New Roman"/>
          <w:sz w:val="26"/>
          <w:szCs w:val="26"/>
        </w:rPr>
        <w:t xml:space="preserve"/>
      </w:r>
    </w:p>
    <w:p>
      <w:pPr>
        <w:spacing w:after="100" w:line="276"/>
      </w:pPr>
      <w:r>
        <w:rPr>
          <w:rFonts w:ascii="Times New Roman" w:cs="Times New Roman" w:eastAsia="Times New Roman" w:hAnsi="Times New Roman"/>
          <w:sz w:val="26"/>
          <w:szCs w:val="26"/>
        </w:rPr>
        <w:t xml:space="preserve">Adjacent pairs (IQR = Q1 to Q3):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4046"/>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Pair</w:t>
            </w:r>
          </w:p>
        </w:tc>
        <w:tc>
          <w:tcPr>
            <w:tcW w:type="dxa" w:w="4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IQRs</w:t>
            </w:r>
          </w:p>
        </w:tc>
        <w:tc>
          <w:tcPr>
            <w:tcW w:type="dxa" w:w="404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Overlap?</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H – F</w:t>
            </w:r>
          </w:p>
        </w:tc>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803-937 and 626-865</w:t>
            </w:r>
          </w:p>
        </w:tc>
        <w:tc>
          <w:tcPr>
            <w:tcW w:type="dxa" w:w="40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Yes (803-865)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F – J</w:t>
            </w:r>
          </w:p>
        </w:tc>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626-865 and 618-854</w:t>
            </w:r>
          </w:p>
        </w:tc>
        <w:tc>
          <w:tcPr>
            <w:tcW w:type="dxa" w:w="40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Yes (almost complete)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J – A</w:t>
            </w:r>
          </w:p>
        </w:tc>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618-854 and 623-793</w:t>
            </w:r>
          </w:p>
        </w:tc>
        <w:tc>
          <w:tcPr>
            <w:tcW w:type="dxa" w:w="40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Yes (A lies inside J)</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A – K</w:t>
            </w:r>
          </w:p>
        </w:tc>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623-793 and 485-625</w:t>
            </w:r>
          </w:p>
        </w:tc>
        <w:tc>
          <w:tcPr>
            <w:tcW w:type="dxa" w:w="40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Yes, only barely (623-625)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K – D</w:t>
            </w:r>
          </w:p>
        </w:tc>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485-625 and 336-563</w:t>
            </w:r>
          </w:p>
        </w:tc>
        <w:tc>
          <w:tcPr>
            <w:tcW w:type="dxa" w:w="40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Yes (485-563)</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D – B</w:t>
            </w:r>
          </w:p>
        </w:tc>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336-563 and 359-456</w:t>
            </w:r>
          </w:p>
        </w:tc>
        <w:tc>
          <w:tcPr>
            <w:tcW w:type="dxa" w:w="40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Yes (B lies inside 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B – G</w:t>
            </w:r>
          </w:p>
        </w:tc>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359-456 and 290-480</w:t>
            </w:r>
          </w:p>
        </w:tc>
        <w:tc>
          <w:tcPr>
            <w:tcW w:type="dxa" w:w="40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Yes (B lies inside G)</w:t>
            </w:r>
          </w:p>
        </w:tc>
      </w:tr>
    </w:tbl>
    <w:p>
      <w:pPr>
        <w:spacing w:after="60"/>
      </w:pPr>
      <w:r>
        <w:rPr>
          <w:rFonts w:ascii="Times New Roman" w:cs="Times New Roman" w:eastAsia="Times New Roman" w:hAnsi="Times New Roman"/>
          <w:sz w:val="26"/>
          <w:szCs w:val="26"/>
        </w:rPr>
        <w:t xml:space="preserve"/>
      </w:r>
    </w:p>
    <w:p>
      <w:pPr>
        <w:spacing w:after="100" w:line="276"/>
      </w:pPr>
      <w:r>
        <w:rPr>
          <w:rFonts w:ascii="Times New Roman" w:cs="Times New Roman" w:eastAsia="Times New Roman" w:hAnsi="Times New Roman"/>
          <w:sz w:val="26"/>
          <w:szCs w:val="26"/>
        </w:rPr>
        <w:t xml:space="preserve">All seven adjacent pairs have overlapping interquartile ranges; the weakest overlap is between A and K.</w:t>
      </w:r>
    </w:p>
    <w:p>
      <w:pPr>
        <w:keepNext/>
        <w:spacing w:after="80" w:before="140"/>
      </w:pPr>
      <w:r>
        <w:rPr>
          <w:rFonts w:ascii="Times New Roman" w:cs="Times New Roman" w:eastAsia="Times New Roman" w:hAnsi="Times New Roman"/>
          <w:b/>
          <w:bCs/>
          <w:sz w:val="26"/>
          <w:szCs w:val="26"/>
        </w:rPr>
        <w:t xml:space="preserve">(b) Separation index = (difference of medians) / (mean of the two IQRs) [2]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3000"/>
        <w:gridCol w:w="2746"/>
      </w:tblGrid>
      <w:tr>
        <w:trPr>
          <w:tblHeader/>
        </w:trPr>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Pair</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Median difference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Mean of IQRs</w:t>
            </w:r>
          </w:p>
        </w:tc>
        <w:tc>
          <w:tcPr>
            <w:tcW w:type="dxa" w:w="274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Separation index</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H – F</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870 − 745 = 125</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(134 + 239)/2 = 186.5</w:t>
            </w:r>
          </w:p>
        </w:tc>
        <w:tc>
          <w:tcPr>
            <w:tcW w:type="dxa" w:w="27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0.67</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F – J</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745 − 736 = 9</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(239 + 236)/2 = 237.5</w:t>
            </w:r>
          </w:p>
        </w:tc>
        <w:tc>
          <w:tcPr>
            <w:tcW w:type="dxa" w:w="27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0.04</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J – A</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736 − 708 = 28</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(236 + 170)/2 = 203.0</w:t>
            </w:r>
          </w:p>
        </w:tc>
        <w:tc>
          <w:tcPr>
            <w:tcW w:type="dxa" w:w="27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0.14</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A – K</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708 − 555 = 153</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(170 + 140)/2 = 155.0</w:t>
            </w:r>
          </w:p>
        </w:tc>
        <w:tc>
          <w:tcPr>
            <w:tcW w:type="dxa" w:w="27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0.99</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K – D</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555 − 449 = 106</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(140 + 227)/2 = 183.5</w:t>
            </w:r>
          </w:p>
        </w:tc>
        <w:tc>
          <w:tcPr>
            <w:tcW w:type="dxa" w:w="27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0.58</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D – B</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449 − 407 = 42</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(227 + 97)/2 = 162.0</w:t>
            </w:r>
          </w:p>
        </w:tc>
        <w:tc>
          <w:tcPr>
            <w:tcW w:type="dxa" w:w="27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0.26</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B – G</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407 − 385 = 22</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(97 + 190)/2 = 143.5</w:t>
            </w:r>
          </w:p>
        </w:tc>
        <w:tc>
          <w:tcPr>
            <w:tcW w:type="dxa" w:w="27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0.15</w:t>
            </w:r>
          </w:p>
        </w:tc>
      </w:tr>
    </w:tbl>
    <w:p>
      <w:pPr>
        <w:spacing w:after="60"/>
      </w:pPr>
      <w:r>
        <w:rPr>
          <w:rFonts w:ascii="Times New Roman" w:cs="Times New Roman" w:eastAsia="Times New Roman" w:hAnsi="Times New Roman"/>
          <w:sz w:val="26"/>
          <w:szCs w:val="26"/>
        </w:rPr>
        <w:t xml:space="preserve"/>
      </w:r>
    </w:p>
    <w:p>
      <w:pPr>
        <w:spacing w:after="100" w:line="276"/>
      </w:pPr>
      <w:r>
        <w:rPr>
          <w:rFonts w:ascii="Times New Roman" w:cs="Times New Roman" w:eastAsia="Times New Roman" w:hAnsi="Times New Roman"/>
          <w:sz w:val="26"/>
          <w:szCs w:val="26"/>
        </w:rPr>
        <w:t xml:space="preserve">The pair most clearly separated is </w:t>
      </w:r>
      <w:r>
        <w:rPr>
          <w:rFonts w:ascii="Times New Roman" w:cs="Times New Roman" w:eastAsia="Times New Roman" w:hAnsi="Times New Roman"/>
          <w:b/>
          <w:bCs/>
          <w:sz w:val="26"/>
          <w:szCs w:val="26"/>
        </w:rPr>
        <w:t xml:space="preserve">A – K (index ≈ 0.99)</w:t>
      </w:r>
      <w:r>
        <w:rPr>
          <w:rFonts w:ascii="Times New Roman" w:cs="Times New Roman" w:eastAsia="Times New Roman" w:hAnsi="Times New Roman"/>
          <w:sz w:val="26"/>
          <w:szCs w:val="26"/>
        </w:rPr>
        <w:t xml:space="preserve">: their medians are about one full IQR apart. F – J is the least separated (0.04), practically the same distribution centre.</w:t>
      </w:r>
    </w:p>
    <w:p>
      <w:pPr>
        <w:keepNext/>
        <w:spacing w:after="80" w:before="140"/>
      </w:pPr>
      <w:r>
        <w:rPr>
          <w:rFonts w:ascii="Times New Roman" w:cs="Times New Roman" w:eastAsia="Times New Roman" w:hAnsi="Times New Roman"/>
          <w:b/>
          <w:bCs/>
          <w:sz w:val="26"/>
          <w:szCs w:val="26"/>
        </w:rPr>
        <w:t xml:space="preserve">(c) Choice of chart [2]</w:t>
      </w:r>
    </w:p>
    <w:p>
      <w:pPr>
        <w:spacing w:after="100" w:line="276"/>
      </w:pPr>
      <w:r>
        <w:rPr>
          <w:rFonts w:ascii="Times New Roman" w:cs="Times New Roman" w:eastAsia="Times New Roman" w:hAnsi="Times New Roman"/>
          <w:sz w:val="26"/>
          <w:szCs w:val="26"/>
        </w:rPr>
        <w:t xml:space="preserve">For 8 groups with n between 30 and 120 I would use a </w:t>
      </w:r>
      <w:r>
        <w:rPr>
          <w:rFonts w:ascii="Times New Roman" w:cs="Times New Roman" w:eastAsia="Times New Roman" w:hAnsi="Times New Roman"/>
          <w:b/>
          <w:bCs/>
          <w:sz w:val="26"/>
          <w:szCs w:val="26"/>
        </w:rPr>
        <w:t xml:space="preserve">ridgeline plot (ggridges)</w:t>
      </w:r>
      <w:r>
        <w:rPr>
          <w:rFonts w:ascii="Times New Roman" w:cs="Times New Roman" w:eastAsia="Times New Roman" w:hAnsi="Times New Roman"/>
          <w:sz w:val="26"/>
          <w:szCs w:val="26"/>
        </w:rPr>
        <w:t xml:space="preserve"> ordered by median. The densities share one x-axis, so locations, spread and shape (e.g. skew, multiple modes) are all visible, and 8 slightly overlapping ridges fit easily on the page with the group names readable on the y-axis. A violin would need 8 side-by-side shapes, an ECDF overlay with 8 lines gets tangled where the curves cross, and small multiples separate the groups so that they are hard to compare on one scale. Because some groups are small (n = 30), median lines/quantiles should be marked and the bandwidth kept wide enough.</w:t>
      </w:r>
    </w:p>
    <w:p>
      <w:pPr>
        <w:spacing w:after="100" w:line="276"/>
      </w:pPr>
      <w:r>
        <w:rPr>
          <w:rFonts w:ascii="Times New Roman" w:cs="Times New Roman" w:eastAsia="Times New Roman" w:hAnsi="Times New Roman"/>
          <w:sz w:val="26"/>
          <w:szCs w:val="26"/>
        </w:rPr>
        <w:t xml:space="preserve">With </w:t>
      </w:r>
      <w:r>
        <w:rPr>
          <w:rFonts w:ascii="Times New Roman" w:cs="Times New Roman" w:eastAsia="Times New Roman" w:hAnsi="Times New Roman"/>
          <w:b/>
          <w:bCs/>
          <w:sz w:val="26"/>
          <w:szCs w:val="26"/>
        </w:rPr>
        <w:t xml:space="preserve">40 groups</w:t>
      </w:r>
      <w:r>
        <w:rPr>
          <w:rFonts w:ascii="Times New Roman" w:cs="Times New Roman" w:eastAsia="Times New Roman" w:hAnsi="Times New Roman"/>
          <w:sz w:val="26"/>
          <w:szCs w:val="26"/>
        </w:rPr>
        <w:t xml:space="preserve"> the ridgelines become too crowded and the overlapping densities unreadable, so I would change to a horizontal </w:t>
      </w:r>
      <w:r>
        <w:rPr>
          <w:rFonts w:ascii="Times New Roman" w:cs="Times New Roman" w:eastAsia="Times New Roman" w:hAnsi="Times New Roman"/>
          <w:b/>
          <w:bCs/>
          <w:sz w:val="26"/>
          <w:szCs w:val="26"/>
        </w:rPr>
        <w:t xml:space="preserve">boxplot</w:t>
      </w:r>
      <w:r>
        <w:rPr>
          <w:rFonts w:ascii="Times New Roman" w:cs="Times New Roman" w:eastAsia="Times New Roman" w:hAnsi="Times New Roman"/>
          <w:sz w:val="26"/>
          <w:szCs w:val="26"/>
        </w:rPr>
        <w:t xml:space="preserve"> (or a ridgeline with a small scale value) sorted by median: it summarizes each group in one thin row, scales well to many groups and still allows the comparison of medians and IQRs. Violins and ECDF overlays do not scale to 40 groups, and 40 small multiples are too small to compare.</w:t>
      </w:r>
    </w:p>
    <w:p>
      <w:pPr>
        <w:keepNext/>
        <w:spacing w:after="80" w:before="140"/>
      </w:pPr>
      <w:r>
        <w:rPr>
          <w:rFonts w:ascii="Times New Roman" w:cs="Times New Roman" w:eastAsia="Times New Roman" w:hAnsi="Times New Roman"/>
          <w:b/>
          <w:bCs/>
          <w:sz w:val="26"/>
          <w:szCs w:val="26"/>
        </w:rPr>
        <w:t xml:space="preserve">(d) ggplot2/ggridges code ordering the groups by median [3]</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library(ggplot2)</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library(ggridges)</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library(forcats)</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df has columns: plant (factor/character) and mb (MB per day), one row per observation</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ggplot(df, aes(x = mb,</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y = fct_reorder(plant, mb, .fun = median),   # ascending: highest median on top</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fill = after_stat(x)))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geom_density_ridges_gradient(quantile_lines = TRUE, quantiles = 2,</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scale = 1.4, rel_min_height = 0.01)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scale_fill_viridis_c(option = "C", guide = "none")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labs(title = "Daily mobile data by plant (ordered by median)",</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x = "Mobile data per day (MB)", y = "Plant")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theme_ridges(font_size = 13)</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For 40 groups: same ordering with a horizontal boxplot</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ggplot(df, aes(mb, fct_reorder(plant, mb, median))) + geom_boxplot()</w:t>
      </w:r>
    </w:p>
    <w:p>
      <w:pPr>
        <w:pStyle w:val="Heading1"/>
        <w:keepNext/>
        <w:spacing w:after="140" w:before="280"/>
      </w:pPr>
      <w:r>
        <w:rPr>
          <w:rFonts w:ascii="Times New Roman" w:cs="Times New Roman" w:eastAsia="Times New Roman" w:hAnsi="Times New Roman"/>
          <w:b/>
          <w:bCs/>
          <w:sz w:val="30"/>
          <w:szCs w:val="30"/>
        </w:rPr>
        <w:t xml:space="preserve">Q5. Distributions along the vertical axis, bean plots and orientation [10 marks]</w:t>
      </w:r>
    </w:p>
    <w:p>
      <w:pPr>
        <w:keepNext/>
        <w:spacing w:after="80" w:before="140"/>
      </w:pPr>
      <w:r>
        <w:rPr>
          <w:rFonts w:ascii="Times New Roman" w:cs="Times New Roman" w:eastAsia="Times New Roman" w:hAnsi="Times New Roman"/>
          <w:b/>
          <w:bCs/>
          <w:sz w:val="26"/>
          <w:szCs w:val="26"/>
        </w:rPr>
        <w:t xml:space="preserve">(a) Orientation of each plot [3]</w:t>
      </w:r>
    </w:p>
    <w:p>
      <w:pPr>
        <w:spacing w:after="100" w:line="276"/>
      </w:pPr>
      <w:r>
        <w:rPr>
          <w:rFonts w:ascii="Times New Roman" w:cs="Times New Roman" w:eastAsia="Times New Roman" w:hAnsi="Times New Roman"/>
          <w:sz w:val="26"/>
          <w:szCs w:val="26"/>
        </w:rPr>
        <w:t xml:space="preserve">Plot A (3 weekdays: Wed, Sat, Fri): </w:t>
      </w:r>
      <w:r>
        <w:rPr>
          <w:rFonts w:ascii="Times New Roman" w:cs="Times New Roman" w:eastAsia="Times New Roman" w:hAnsi="Times New Roman"/>
          <w:b/>
          <w:bCs/>
          <w:sz w:val="26"/>
          <w:szCs w:val="26"/>
        </w:rPr>
        <w:t xml:space="preserve">distributions along the vertical axis (groups on x)</w:t>
      </w:r>
      <w:r>
        <w:rPr>
          <w:rFonts w:ascii="Times New Roman" w:cs="Times New Roman" w:eastAsia="Times New Roman" w:hAnsi="Times New Roman"/>
          <w:sz w:val="26"/>
          <w:szCs w:val="26"/>
        </w:rPr>
        <w:t xml:space="preserve">. There are only 3 groups, and the labels are 3 letters, so they fit under each violin horizontally without overlap. The vertical axis is then used for the measured variable (battery drain %), which is the natural reading, and the three vertical shapes are easy to compare side by side.</w:t>
      </w:r>
    </w:p>
    <w:p>
      <w:pPr>
        <w:spacing w:after="100" w:line="276"/>
      </w:pPr>
      <w:r>
        <w:rPr>
          <w:rFonts w:ascii="Times New Roman" w:cs="Times New Roman" w:eastAsia="Times New Roman" w:hAnsi="Times New Roman"/>
          <w:sz w:val="26"/>
          <w:szCs w:val="26"/>
        </w:rPr>
        <w:t xml:space="preserve">Plot B (12 departments, mean label length 20 characters): </w:t>
      </w:r>
      <w:r>
        <w:rPr>
          <w:rFonts w:ascii="Times New Roman" w:cs="Times New Roman" w:eastAsia="Times New Roman" w:hAnsi="Times New Roman"/>
          <w:b/>
          <w:bCs/>
          <w:sz w:val="26"/>
          <w:szCs w:val="26"/>
        </w:rPr>
        <w:t xml:space="preserve">distributions along the horizontal axis (groups on y)</w:t>
      </w:r>
      <w:r>
        <w:rPr>
          <w:rFonts w:ascii="Times New Roman" w:cs="Times New Roman" w:eastAsia="Times New Roman" w:hAnsi="Times New Roman"/>
          <w:sz w:val="26"/>
          <w:szCs w:val="26"/>
        </w:rPr>
        <w:t xml:space="preserve">. 12 labels of about 20 characters (e.g. "Chemical Engineering") cannot fit side by side on an x-axis without overlapping or being rotated, which is hard to read. Putting the groups on the y-axis allows every name to be written horizontally on its own row, and 12 rows are easily stacked vertically.</w:t>
      </w:r>
    </w:p>
    <w:p>
      <w:pPr>
        <w:keepNext/>
        <w:spacing w:after="80" w:before="140"/>
      </w:pPr>
      <w:r>
        <w:rPr>
          <w:rFonts w:ascii="Times New Roman" w:cs="Times New Roman" w:eastAsia="Times New Roman" w:hAnsi="Times New Roman"/>
          <w:b/>
          <w:bCs/>
          <w:sz w:val="26"/>
          <w:szCs w:val="26"/>
        </w:rPr>
        <w:t xml:space="preserve">(b) Overall (weighted) mean and difference of each day’s mean [3]</w:t>
      </w:r>
    </w:p>
    <w:p>
      <w:pPr>
        <w:spacing w:after="100" w:line="276"/>
      </w:pPr>
      <w:r>
        <w:rPr>
          <w:rFonts w:ascii="Times New Roman" w:cs="Times New Roman" w:eastAsia="Times New Roman" w:hAnsi="Times New Roman"/>
          <w:sz w:val="26"/>
          <w:szCs w:val="26"/>
        </w:rPr>
        <w:t xml:space="preserve">Overall mean = (60 × 15 + 40 × 9 + 30 × 8) / (60 + 40 + 30)</w:t>
      </w:r>
    </w:p>
    <w:p>
      <w:pPr>
        <w:spacing w:after="100" w:line="276"/>
      </w:pPr>
      <w:r>
        <w:rPr>
          <w:rFonts w:ascii="Times New Roman" w:cs="Times New Roman" w:eastAsia="Times New Roman" w:hAnsi="Times New Roman"/>
          <w:sz w:val="26"/>
          <w:szCs w:val="26"/>
        </w:rPr>
        <w:t xml:space="preserve">= (900 + 360 + 240) / 130 = 1,500 / 130 = 11.54 %.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4946"/>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Day</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n</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Mean</w:t>
            </w:r>
          </w:p>
        </w:tc>
        <w:tc>
          <w:tcPr>
            <w:tcW w:type="dxa" w:w="494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6"/>
                <w:szCs w:val="26"/>
              </w:rPr>
              <w:t xml:space="preserve">Difference from overall mean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Wed</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60</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15</w:t>
            </w:r>
          </w:p>
        </w:tc>
        <w:tc>
          <w:tcPr>
            <w:tcW w:type="dxa" w:w="4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15 − 11.54 = +3.46</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Sat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40</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9</w:t>
            </w:r>
          </w:p>
        </w:tc>
        <w:tc>
          <w:tcPr>
            <w:tcW w:type="dxa" w:w="4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9 − 11.54 = −2.54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Fri</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30</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8</w:t>
            </w:r>
          </w:p>
        </w:tc>
        <w:tc>
          <w:tcPr>
            <w:tcW w:type="dxa" w:w="4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center"/>
            </w:pPr>
            <w:r>
              <w:rPr>
                <w:rFonts w:ascii="Times New Roman" w:cs="Times New Roman" w:eastAsia="Times New Roman" w:hAnsi="Times New Roman"/>
                <w:sz w:val="26"/>
                <w:szCs w:val="26"/>
              </w:rPr>
              <w:t xml:space="preserve">8 − 11.54 = −3.54</w:t>
            </w:r>
          </w:p>
        </w:tc>
      </w:tr>
    </w:tbl>
    <w:p>
      <w:pPr>
        <w:spacing w:after="60"/>
      </w:pPr>
      <w:r>
        <w:rPr>
          <w:rFonts w:ascii="Times New Roman" w:cs="Times New Roman" w:eastAsia="Times New Roman" w:hAnsi="Times New Roman"/>
          <w:sz w:val="26"/>
          <w:szCs w:val="26"/>
        </w:rPr>
        <w:t xml:space="preserve"/>
      </w:r>
    </w:p>
    <w:p>
      <w:pPr>
        <w:spacing w:after="100" w:line="276"/>
      </w:pPr>
      <w:r>
        <w:rPr>
          <w:rFonts w:ascii="Times New Roman" w:cs="Times New Roman" w:eastAsia="Times New Roman" w:hAnsi="Times New Roman"/>
          <w:sz w:val="26"/>
          <w:szCs w:val="26"/>
        </w:rPr>
        <w:t xml:space="preserve">Check: 60(3.46) + 40(−2.54) + 30(−3.54) = 207.7 − 101.5 − 106.2 ≈ 0, as the weighted differences must sum to zero. Wednesday drains the battery faster than average, whereas Saturday and Friday drain it more slowly. A simple average of the three means (10.67) would be wrong, because it ignores the unequal sample sizes.</w:t>
      </w:r>
    </w:p>
    <w:p>
      <w:pPr>
        <w:keepNext/>
        <w:spacing w:after="80" w:before="140"/>
      </w:pPr>
      <w:r>
        <w:rPr>
          <w:rFonts w:ascii="Times New Roman" w:cs="Times New Roman" w:eastAsia="Times New Roman" w:hAnsi="Times New Roman"/>
          <w:b/>
          <w:bCs/>
          <w:sz w:val="26"/>
          <w:szCs w:val="26"/>
        </w:rPr>
        <w:t xml:space="preserve">(c) Elements a bean plot adds to a violin [2]</w:t>
      </w:r>
    </w:p>
    <w:p>
      <w:pPr>
        <w:spacing w:after="100" w:line="276"/>
      </w:pPr>
      <w:r>
        <w:rPr>
          <w:rFonts w:ascii="Times New Roman" w:cs="Times New Roman" w:eastAsia="Times New Roman" w:hAnsi="Times New Roman"/>
          <w:sz w:val="26"/>
          <w:szCs w:val="26"/>
        </w:rPr>
        <w:t xml:space="preserve">A bean plot adds: (1) a thin line (tick) for every individual observation, shown across the bean so that the raw data, ties and gaps are visible; (2) a thicker line across each bean for the group’s average (mean or median); and (3) a long dashed line across all the beans for the overall mean (the "beanline").</w:t>
      </w:r>
    </w:p>
    <w:p>
      <w:pPr>
        <w:spacing w:after="100" w:line="276"/>
      </w:pPr>
      <w:r>
        <w:rPr>
          <w:rFonts w:ascii="Times New Roman" w:cs="Times New Roman" w:eastAsia="Times New Roman" w:hAnsi="Times New Roman"/>
          <w:sz w:val="26"/>
          <w:szCs w:val="26"/>
        </w:rPr>
        <w:t xml:space="preserve">The overall mean line serves as a common reference: every group’s average line can be compared with it at a glance, showing which groups lie above or below the pooled mean (here Wed above 11.54, Sat and Fri below).</w:t>
      </w:r>
    </w:p>
    <w:p>
      <w:pPr>
        <w:keepNext/>
        <w:spacing w:after="80" w:before="140"/>
      </w:pPr>
      <w:r>
        <w:rPr>
          <w:rFonts w:ascii="Times New Roman" w:cs="Times New Roman" w:eastAsia="Times New Roman" w:hAnsi="Times New Roman"/>
          <w:b/>
          <w:bCs/>
          <w:sz w:val="26"/>
          <w:szCs w:val="26"/>
        </w:rPr>
        <w:t xml:space="preserve">(d) ggplot2 code for the Plot A bean-style display [2]</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library(ggplot2)</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df has columns: day (Wed, Sat, Fri) and drain (battery drain % per hour)</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df$day &lt;- factor(df$day, levels = c("Wed", "Sat", "Fri"))</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overall &lt;- mean(df$drain)          # 11.54 for the given data</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ggplot(df, aes(x = day, y = drain))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geom_violin(fill = "grey85", colour = "grey40", trim = TRUE)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geom_point(shape = "_", size = 6, colour = "black", alpha = 0.6) +   # individual observations</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stat_summary(fun = mean, geom = "crossbar", width = 0.5,</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fatten = 0, linewidth = 0.8, colour = "#1f77b4",</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aes(ymin = after_stat(y), ymax = after_stat(y))) +      # group mean</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geom_hline(yintercept = overall, linetype = "dashed",</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colour = "red", linewidth = 0.8) +                         # overall mean</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annotate("text", x = 3.45, y = overall + 0.5, label = "Overall mean = 11.54",</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colour = "red", hjust = 1)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labs(title = "Battery drain per hour by weekday",</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x = "Day", y = "Battery drain (% per hour)") +</w:t>
      </w:r>
    </w:p>
    <w:p>
      <w:pPr>
        <w:pBdr>
          <w:left w:val="single" w:color="7F7F7F" w:sz="12" w:space="6"/>
        </w:pBdr>
        <w:shd w:fill="F2F2F2" w:color="auto" w:val="clear"/>
        <w:spacing w:after="0" w:line="252"/>
        <w:ind w:left="120"/>
      </w:pPr>
      <w:r>
        <w:rPr>
          <w:rFonts w:ascii="Times New Roman" w:cs="Times New Roman" w:eastAsia="Times New Roman" w:hAnsi="Times New Roman"/>
          <w:sz w:val="26"/>
          <w:szCs w:val="26"/>
        </w:rPr>
        <w:t xml:space="preserve">  theme_minimal(base_size = 13)</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00000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DSA06 Advanced Assignment - Distributions and Proportions</dc:title>
  <dc:creator>Kathirvel Rameshkumar</dc:creator>
  <cp:lastModifiedBy>Un-named</cp:lastModifiedBy>
  <cp:revision>1</cp:revision>
  <dcterms:created xsi:type="dcterms:W3CDTF">2026-10-15T04:13:07.843Z</dcterms:created>
  <dcterms:modified xsi:type="dcterms:W3CDTF">2026-10-15T04:13:07.843Z</dcterms:modified>
</cp:coreProperties>
</file>

<file path=docProps/custom.xml><?xml version="1.0" encoding="utf-8"?>
<Properties xmlns="http://schemas.openxmlformats.org/officeDocument/2006/custom-properties" xmlns:vt="http://schemas.openxmlformats.org/officeDocument/2006/docPropsVTypes"/>
</file>