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2B914" w14:textId="27AFCBA1" w:rsidR="00AD0EC6" w:rsidRDefault="00CF7A27" w:rsidP="007F0E62">
      <w:pPr>
        <w:pStyle w:val="Heading1"/>
      </w:pPr>
      <w:bookmarkStart w:id="0" w:name="_GoBack"/>
      <w:bookmarkEnd w:id="0"/>
      <w:r>
        <w:t>WCF Math Service Library with Multi-Threaded Capabilities &amp; Console Service Host and a Client “Tester” ChannelFactory Implementation</w:t>
      </w:r>
    </w:p>
    <w:p w14:paraId="2003D77D" w14:textId="70DC425C" w:rsidR="00AD0EC6" w:rsidRDefault="00AD0EC6" w:rsidP="007F0E62">
      <w:pPr>
        <w:pStyle w:val="Heading2"/>
      </w:pPr>
      <w:r>
        <w:t>About</w:t>
      </w:r>
    </w:p>
    <w:p w14:paraId="4DCCFAA3" w14:textId="7D9ABF1E" w:rsidR="00CD78FE" w:rsidRDefault="00F752B5" w:rsidP="00AD0EC6">
      <w:pPr>
        <w:pStyle w:val="Paragraph"/>
      </w:pPr>
      <w:r w:rsidRPr="00F752B5">
        <w:t>This project presents a WCF Service Library (</w:t>
      </w:r>
      <w:r>
        <w:t>Math</w:t>
      </w:r>
      <w:r w:rsidRPr="00F752B5">
        <w:t xml:space="preserve">ServiceLib) that </w:t>
      </w:r>
      <w:r w:rsidR="00CD78FE" w:rsidRPr="00CD78FE">
        <w:t>consist</w:t>
      </w:r>
      <w:r w:rsidR="00CD78FE">
        <w:t>s</w:t>
      </w:r>
      <w:r w:rsidR="00CD78FE" w:rsidRPr="00CD78FE">
        <w:t xml:space="preserve"> of a math library that contains complex, long-running methods</w:t>
      </w:r>
      <w:r w:rsidRPr="00F752B5">
        <w:t>.</w:t>
      </w:r>
      <w:r w:rsidR="00CD78FE">
        <w:t xml:space="preserve"> This</w:t>
      </w:r>
      <w:r w:rsidR="00CD78FE" w:rsidRPr="00CD78FE">
        <w:t xml:space="preserve"> WCF </w:t>
      </w:r>
      <w:r w:rsidR="00CD78FE">
        <w:t>Math S</w:t>
      </w:r>
      <w:r w:rsidR="00CD78FE" w:rsidRPr="00CD78FE">
        <w:t xml:space="preserve">ervice and </w:t>
      </w:r>
      <w:r w:rsidR="00CD78FE">
        <w:t>C</w:t>
      </w:r>
      <w:r w:rsidR="00CD78FE" w:rsidRPr="00CD78FE">
        <w:t>lient demonstrates multi-threaded access with various combinations of instance context modes and concurrency levels. The client access</w:t>
      </w:r>
      <w:r w:rsidR="00CD78FE">
        <w:t>es</w:t>
      </w:r>
      <w:r w:rsidR="00CD78FE" w:rsidRPr="00CD78FE">
        <w:t xml:space="preserve"> these methods using sequential and multi-threaded techniques to demonstrate the difference in performance.</w:t>
      </w:r>
    </w:p>
    <w:p w14:paraId="0A800D91" w14:textId="77777777" w:rsidR="00977824" w:rsidRDefault="00F752B5" w:rsidP="00AD0EC6">
      <w:pPr>
        <w:pStyle w:val="Paragraph"/>
      </w:pPr>
      <w:r w:rsidRPr="00F752B5">
        <w:t>The service is hosted via a console application (</w:t>
      </w:r>
      <w:r w:rsidR="005B1402">
        <w:t>Math</w:t>
      </w:r>
      <w:r w:rsidRPr="00F752B5">
        <w:t>ServiceHost). The client (</w:t>
      </w:r>
      <w:r w:rsidR="005B1402">
        <w:t>Math</w:t>
      </w:r>
      <w:r w:rsidRPr="00F752B5">
        <w:t xml:space="preserve">Client) uses the ChannelFactory pattern as opposed to “Add Service Reference” with SVCUTIL. The client and service share a common assembly (SharedLib) that contains the key contract and data model information. </w:t>
      </w:r>
    </w:p>
    <w:p w14:paraId="4CEABB02" w14:textId="4F33ACB8" w:rsidR="00AD0EC6" w:rsidRDefault="00F752B5" w:rsidP="00AD0EC6">
      <w:pPr>
        <w:pStyle w:val="Paragraph"/>
      </w:pPr>
      <w:r w:rsidRPr="00F752B5">
        <w:t xml:space="preserve">Furthermore, a Utilities project is used by the client console application to facilitate user data entry and the complicated details of building and managing the WCF ChannelFactory connection implementation. The ProxyGen class inside the Utilities project abstracts the details of implementing and managing a generic ChannelFactory connection to a generic service for a client. Note: The Utilities project library was included as base code for my lab project to facilitate speedy completion; we were not expected to code this Utilities project ourselves due to complexity and time constraints. The remaining projects in the solution (SharedLib, </w:t>
      </w:r>
      <w:r w:rsidR="005B1402">
        <w:t>Math</w:t>
      </w:r>
      <w:r w:rsidRPr="00F752B5">
        <w:t xml:space="preserve">Client, </w:t>
      </w:r>
      <w:r w:rsidR="005B1402">
        <w:t>Math</w:t>
      </w:r>
      <w:r w:rsidRPr="00F752B5">
        <w:t xml:space="preserve">ServiceHost, and </w:t>
      </w:r>
      <w:r w:rsidR="005B1402">
        <w:t>Math</w:t>
      </w:r>
      <w:r w:rsidRPr="00F752B5">
        <w:t>ServiceLib), I completed individually per requirements for the lab project.</w:t>
      </w:r>
    </w:p>
    <w:p w14:paraId="093646DF" w14:textId="0E4BE944" w:rsidR="00AD0EC6" w:rsidRDefault="00AD0EC6" w:rsidP="007F0E62">
      <w:pPr>
        <w:pStyle w:val="Heading2"/>
      </w:pPr>
      <w:r>
        <w:t>Architecture</w:t>
      </w:r>
    </w:p>
    <w:p w14:paraId="114093D2" w14:textId="7913618E" w:rsidR="00AD0EC6" w:rsidRDefault="009953DC" w:rsidP="00AD0EC6">
      <w:pPr>
        <w:pStyle w:val="Paragraph"/>
      </w:pPr>
      <w:r w:rsidRPr="009953DC">
        <w:t xml:space="preserve">The </w:t>
      </w:r>
      <w:r>
        <w:t>MathService</w:t>
      </w:r>
      <w:r w:rsidRPr="009953DC">
        <w:t xml:space="preserve"> Visual Studio solution application consists of five project assemblies:</w:t>
      </w:r>
    </w:p>
    <w:p w14:paraId="3F769F86" w14:textId="5B16D47F" w:rsidR="00EB0891" w:rsidRDefault="00EB0891" w:rsidP="006617A3">
      <w:pPr>
        <w:pStyle w:val="NoSpacing"/>
        <w:numPr>
          <w:ilvl w:val="0"/>
          <w:numId w:val="2"/>
        </w:numPr>
      </w:pPr>
      <w:r>
        <w:t>SharedLib</w:t>
      </w:r>
      <w:r w:rsidR="006617A3">
        <w:t xml:space="preserve"> </w:t>
      </w:r>
      <w:r w:rsidR="009953DC" w:rsidRPr="009953DC">
        <w:t>(Class Library) “Service and Data Contracts”</w:t>
      </w:r>
    </w:p>
    <w:p w14:paraId="0FE207B3" w14:textId="0A7E5C20" w:rsidR="00EB0891" w:rsidRDefault="00EB0891" w:rsidP="006617A3">
      <w:pPr>
        <w:pStyle w:val="NoSpacing"/>
        <w:numPr>
          <w:ilvl w:val="0"/>
          <w:numId w:val="2"/>
        </w:numPr>
      </w:pPr>
      <w:r>
        <w:t>MathServiceLib</w:t>
      </w:r>
      <w:r w:rsidR="009953DC">
        <w:t xml:space="preserve"> </w:t>
      </w:r>
      <w:r w:rsidR="009953DC" w:rsidRPr="009953DC">
        <w:t>(WCF Service Library) “Implements the Service”</w:t>
      </w:r>
    </w:p>
    <w:p w14:paraId="4AA96F6E" w14:textId="37CEF045" w:rsidR="00EB0891" w:rsidRDefault="00EB0891" w:rsidP="006617A3">
      <w:pPr>
        <w:pStyle w:val="NoSpacing"/>
        <w:numPr>
          <w:ilvl w:val="0"/>
          <w:numId w:val="2"/>
        </w:numPr>
      </w:pPr>
      <w:r>
        <w:t>MathServiceHost</w:t>
      </w:r>
      <w:r w:rsidR="009953DC">
        <w:t xml:space="preserve"> </w:t>
      </w:r>
      <w:r w:rsidR="009953DC" w:rsidRPr="009953DC">
        <w:t>(Console Application) “Hosts the Service”</w:t>
      </w:r>
    </w:p>
    <w:p w14:paraId="5954429F" w14:textId="0E81B44C" w:rsidR="00EB0891" w:rsidRDefault="00EB0891" w:rsidP="006617A3">
      <w:pPr>
        <w:pStyle w:val="NoSpacing"/>
        <w:numPr>
          <w:ilvl w:val="0"/>
          <w:numId w:val="2"/>
        </w:numPr>
      </w:pPr>
      <w:r>
        <w:t>MathClient</w:t>
      </w:r>
      <w:r w:rsidR="009953DC">
        <w:t xml:space="preserve"> </w:t>
      </w:r>
      <w:r w:rsidR="009953DC" w:rsidRPr="009953DC">
        <w:t>(Console Application) “Client Tester to Service”</w:t>
      </w:r>
    </w:p>
    <w:p w14:paraId="2FD8DF7B" w14:textId="40E2E125" w:rsidR="00EB0891" w:rsidRDefault="00EB0891" w:rsidP="006617A3">
      <w:pPr>
        <w:pStyle w:val="NoSpacing"/>
        <w:numPr>
          <w:ilvl w:val="0"/>
          <w:numId w:val="2"/>
        </w:numPr>
      </w:pPr>
      <w:r>
        <w:t>Utilities</w:t>
      </w:r>
      <w:r w:rsidR="009953DC">
        <w:t xml:space="preserve"> </w:t>
      </w:r>
      <w:r w:rsidR="009953DC" w:rsidRPr="009953DC">
        <w:t>(Class Library) “Helper classes”</w:t>
      </w:r>
    </w:p>
    <w:p w14:paraId="3C80AB3A" w14:textId="6DCE5E11" w:rsidR="00AD0EC6" w:rsidRDefault="00AD0EC6" w:rsidP="007F0E62">
      <w:pPr>
        <w:pStyle w:val="Heading2"/>
      </w:pPr>
      <w:r>
        <w:t>SharedLib</w:t>
      </w:r>
    </w:p>
    <w:p w14:paraId="20FB9C20" w14:textId="44BBE209" w:rsidR="00AD0EC6" w:rsidRDefault="00903740" w:rsidP="00AD0EC6">
      <w:pPr>
        <w:pStyle w:val="Paragraph"/>
      </w:pPr>
      <w:r w:rsidRPr="00903740">
        <w:t>This library project contains the service contract</w:t>
      </w:r>
      <w:r>
        <w:t xml:space="preserve"> </w:t>
      </w:r>
      <w:r w:rsidRPr="00903740">
        <w:t>required by this service. You can see the project code here.</w:t>
      </w:r>
    </w:p>
    <w:p w14:paraId="4396A9DB" w14:textId="77777777" w:rsidR="00903740" w:rsidRDefault="00903740" w:rsidP="00F477DA">
      <w:pPr>
        <w:pStyle w:val="Heading3"/>
      </w:pPr>
      <w:r>
        <w:t>Service and Operations Contract</w:t>
      </w:r>
    </w:p>
    <w:p w14:paraId="76DB3DBF" w14:textId="7876B35D" w:rsidR="00903740" w:rsidRDefault="00903740" w:rsidP="00903740">
      <w:pPr>
        <w:pStyle w:val="Paragraph"/>
      </w:pPr>
      <w:r>
        <w:t xml:space="preserve">There </w:t>
      </w:r>
      <w:r w:rsidR="00F477DA">
        <w:t>is only one</w:t>
      </w:r>
      <w:r>
        <w:t xml:space="preserve"> service interface defined: I</w:t>
      </w:r>
      <w:r w:rsidR="00F477DA">
        <w:t>Math</w:t>
      </w:r>
      <w:r>
        <w:t>Service (interface for the client calling the service)</w:t>
      </w:r>
      <w:r w:rsidR="00F477DA">
        <w:t xml:space="preserve">. </w:t>
      </w:r>
      <w:r>
        <w:t>You can see the I</w:t>
      </w:r>
      <w:r w:rsidR="00F477DA">
        <w:t>Math</w:t>
      </w:r>
      <w:r>
        <w:t>Service code here</w:t>
      </w:r>
      <w:r w:rsidR="006F43E2">
        <w:t xml:space="preserve"> has two operational contracts</w:t>
      </w:r>
      <w:r>
        <w:t>.</w:t>
      </w:r>
    </w:p>
    <w:p w14:paraId="176DE870" w14:textId="77777777" w:rsidR="00C46856" w:rsidRDefault="00C46856" w:rsidP="00C468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E7ACB95" w14:textId="77777777" w:rsidR="00C46856" w:rsidRDefault="00C46856" w:rsidP="00C468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IsPrime</w:t>
      </w:r>
    </w:p>
    <w:p w14:paraId="77E0F27E" w14:textId="77777777" w:rsidR="00C46856" w:rsidRDefault="00C46856" w:rsidP="00C468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Determines if a number is prime. </w:t>
      </w:r>
    </w:p>
    <w:p w14:paraId="0BC3B640" w14:textId="77777777" w:rsidR="00C46856" w:rsidRDefault="00C46856" w:rsidP="00C468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Works with very large integers </w:t>
      </w:r>
    </w:p>
    <w:p w14:paraId="6E336D12" w14:textId="77777777" w:rsidR="00C46856" w:rsidRDefault="00C46856" w:rsidP="00C468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5EC31BE" w14:textId="77777777" w:rsidR="00C46856" w:rsidRDefault="00C46856" w:rsidP="00C468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number</w:t>
      </w:r>
      <w:r>
        <w:rPr>
          <w:rFonts w:ascii="Consolas" w:hAnsi="Consolas" w:cs="Consolas"/>
          <w:color w:val="808080"/>
          <w:sz w:val="19"/>
          <w:szCs w:val="19"/>
        </w:rPr>
        <w:t>"&gt;</w:t>
      </w:r>
      <w:r>
        <w:rPr>
          <w:rFonts w:ascii="Consolas" w:hAnsi="Consolas" w:cs="Consolas"/>
          <w:color w:val="008000"/>
          <w:sz w:val="19"/>
          <w:szCs w:val="19"/>
        </w:rPr>
        <w:t>(BigInteger) number to determine if prime</w:t>
      </w:r>
      <w:r>
        <w:rPr>
          <w:rFonts w:ascii="Consolas" w:hAnsi="Consolas" w:cs="Consolas"/>
          <w:color w:val="808080"/>
          <w:sz w:val="19"/>
          <w:szCs w:val="19"/>
        </w:rPr>
        <w:t>&lt;/param&gt;</w:t>
      </w:r>
    </w:p>
    <w:p w14:paraId="113D1693" w14:textId="77777777" w:rsidR="00C46856" w:rsidRDefault="00C46856" w:rsidP="00C468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(bool) true if a prime number, else false</w:t>
      </w:r>
      <w:r>
        <w:rPr>
          <w:rFonts w:ascii="Consolas" w:hAnsi="Consolas" w:cs="Consolas"/>
          <w:color w:val="808080"/>
          <w:sz w:val="19"/>
          <w:szCs w:val="19"/>
        </w:rPr>
        <w:t>&lt;/returns&gt;</w:t>
      </w:r>
    </w:p>
    <w:p w14:paraId="6F97C2FE" w14:textId="77777777" w:rsidR="00C46856" w:rsidRDefault="00C46856" w:rsidP="00C468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[OperationContract]</w:t>
      </w:r>
    </w:p>
    <w:p w14:paraId="2C206FF4" w14:textId="77777777" w:rsidR="00C46856" w:rsidRDefault="00C46856" w:rsidP="00C468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IsPrime(BigInteger number);</w:t>
      </w:r>
    </w:p>
    <w:p w14:paraId="7373A9D8" w14:textId="77777777" w:rsidR="00C46856" w:rsidRDefault="00C46856" w:rsidP="00C46856">
      <w:pPr>
        <w:autoSpaceDE w:val="0"/>
        <w:autoSpaceDN w:val="0"/>
        <w:adjustRightInd w:val="0"/>
        <w:spacing w:after="0" w:line="240" w:lineRule="auto"/>
        <w:rPr>
          <w:rFonts w:ascii="Consolas" w:hAnsi="Consolas" w:cs="Consolas"/>
          <w:color w:val="000000"/>
          <w:sz w:val="19"/>
          <w:szCs w:val="19"/>
        </w:rPr>
      </w:pPr>
    </w:p>
    <w:p w14:paraId="3747CB3D" w14:textId="77777777" w:rsidR="00C46856" w:rsidRDefault="00C46856" w:rsidP="00C468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84CC218" w14:textId="77777777" w:rsidR="00C46856" w:rsidRDefault="00C46856" w:rsidP="00C468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Sqrt</w:t>
      </w:r>
    </w:p>
    <w:p w14:paraId="13BEF1E1" w14:textId="77777777" w:rsidR="00C46856" w:rsidRDefault="00C46856" w:rsidP="00C468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Determines the square root of a number</w:t>
      </w:r>
    </w:p>
    <w:p w14:paraId="1F521271" w14:textId="77777777" w:rsidR="00C46856" w:rsidRDefault="00C46856" w:rsidP="00C468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Works with large integers</w:t>
      </w:r>
    </w:p>
    <w:p w14:paraId="2A9A3A64" w14:textId="77777777" w:rsidR="00C46856" w:rsidRDefault="00C46856" w:rsidP="00C468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9BED0C9" w14:textId="77777777" w:rsidR="00C46856" w:rsidRDefault="00C46856" w:rsidP="00C468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number</w:t>
      </w:r>
      <w:r>
        <w:rPr>
          <w:rFonts w:ascii="Consolas" w:hAnsi="Consolas" w:cs="Consolas"/>
          <w:color w:val="808080"/>
          <w:sz w:val="19"/>
          <w:szCs w:val="19"/>
        </w:rPr>
        <w:t>"&gt;</w:t>
      </w:r>
      <w:r>
        <w:rPr>
          <w:rFonts w:ascii="Consolas" w:hAnsi="Consolas" w:cs="Consolas"/>
          <w:color w:val="008000"/>
          <w:sz w:val="19"/>
          <w:szCs w:val="19"/>
        </w:rPr>
        <w:t>(BigInteger) number to determine square root</w:t>
      </w:r>
      <w:r>
        <w:rPr>
          <w:rFonts w:ascii="Consolas" w:hAnsi="Consolas" w:cs="Consolas"/>
          <w:color w:val="808080"/>
          <w:sz w:val="19"/>
          <w:szCs w:val="19"/>
        </w:rPr>
        <w:t>&lt;/param&gt;</w:t>
      </w:r>
    </w:p>
    <w:p w14:paraId="285CB3A5" w14:textId="77777777" w:rsidR="00C46856" w:rsidRDefault="00C46856" w:rsidP="00C468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(BigInteger) number of the square root</w:t>
      </w:r>
      <w:r>
        <w:rPr>
          <w:rFonts w:ascii="Consolas" w:hAnsi="Consolas" w:cs="Consolas"/>
          <w:color w:val="808080"/>
          <w:sz w:val="19"/>
          <w:szCs w:val="19"/>
        </w:rPr>
        <w:t>&lt;/returns&gt;</w:t>
      </w:r>
    </w:p>
    <w:p w14:paraId="076487E7" w14:textId="77777777" w:rsidR="00C46856" w:rsidRDefault="00C46856" w:rsidP="00C468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[OperationContract]</w:t>
      </w:r>
    </w:p>
    <w:p w14:paraId="5DE40F6D" w14:textId="36BE5CEB" w:rsidR="00F477DA" w:rsidRDefault="00C46856" w:rsidP="00C46856">
      <w:pPr>
        <w:pStyle w:val="Paragraph"/>
      </w:pPr>
      <w:r>
        <w:rPr>
          <w:rFonts w:ascii="Consolas" w:hAnsi="Consolas" w:cs="Consolas"/>
          <w:color w:val="000000"/>
          <w:sz w:val="19"/>
          <w:szCs w:val="19"/>
        </w:rPr>
        <w:t xml:space="preserve">        BigInteger Sqrt(BigInteger number);</w:t>
      </w:r>
    </w:p>
    <w:p w14:paraId="7EF75958" w14:textId="49A6C14E" w:rsidR="00AD0EC6" w:rsidRDefault="00AD0EC6" w:rsidP="007F0E62">
      <w:pPr>
        <w:pStyle w:val="Heading2"/>
      </w:pPr>
      <w:r>
        <w:t>MathServiceLib</w:t>
      </w:r>
    </w:p>
    <w:p w14:paraId="1D52A6F4" w14:textId="3130DB08" w:rsidR="00AD0EC6" w:rsidRDefault="00D94725" w:rsidP="00AD0EC6">
      <w:pPr>
        <w:pStyle w:val="Paragraph"/>
      </w:pPr>
      <w:r>
        <w:t>Math</w:t>
      </w:r>
      <w:r w:rsidRPr="00D94725">
        <w:t>ServiceLib contains the service code that implements the I</w:t>
      </w:r>
      <w:r>
        <w:t>Math</w:t>
      </w:r>
      <w:r w:rsidRPr="00D94725">
        <w:t>Service interface. It has a project reference to SharedLib. Click here to see the project code.</w:t>
      </w:r>
    </w:p>
    <w:p w14:paraId="504D996F" w14:textId="605BEE78" w:rsidR="00D94725" w:rsidRDefault="00BA787C" w:rsidP="00BA787C">
      <w:pPr>
        <w:pStyle w:val="Heading3"/>
      </w:pPr>
      <w:r>
        <w:t>MathService Class</w:t>
      </w:r>
    </w:p>
    <w:p w14:paraId="7867A673" w14:textId="595FF96D" w:rsidR="00BA787C" w:rsidRDefault="00BA787C" w:rsidP="004B498B">
      <w:pPr>
        <w:pStyle w:val="Paragraph"/>
      </w:pPr>
      <w:r>
        <w:t>This class implements the IMathService interface and has the Servi</w:t>
      </w:r>
      <w:r w:rsidR="005013C1">
        <w:t>c</w:t>
      </w:r>
      <w:r>
        <w:t xml:space="preserve">eBehavior attribute applied to it. The ServiceBehavior attribute has its InstanceContextMode property set to InstanceContextMode.PerCall to ensure each client call will receive a new service instance. In addition, the ConcurrencyMode property was </w:t>
      </w:r>
      <w:r w:rsidRPr="00BA787C">
        <w:rPr>
          <w:i/>
        </w:rPr>
        <w:t>initially</w:t>
      </w:r>
      <w:r>
        <w:t xml:space="preserve"> set to ConcurrencyMode.Single. The testing procedure (later in this article) shows how changing these settings affects the solution performance results. </w:t>
      </w:r>
      <w:r w:rsidR="004B498B">
        <w:t xml:space="preserve">Note: The </w:t>
      </w:r>
      <w:r w:rsidR="004B498B" w:rsidRPr="00283675">
        <w:rPr>
          <w:i/>
        </w:rPr>
        <w:t>InstanceContextMode</w:t>
      </w:r>
      <w:r w:rsidR="004B498B">
        <w:t xml:space="preserve"> </w:t>
      </w:r>
      <w:r w:rsidR="00283675">
        <w:t xml:space="preserve">set to PerCall </w:t>
      </w:r>
      <w:r w:rsidR="004B498B">
        <w:t xml:space="preserve">ensures </w:t>
      </w:r>
      <w:r w:rsidR="00283675">
        <w:t>each</w:t>
      </w:r>
      <w:r w:rsidR="004B498B">
        <w:t xml:space="preserve"> client call will receive a new service instance</w:t>
      </w:r>
      <w:r w:rsidR="00283675">
        <w:t xml:space="preserve"> while the </w:t>
      </w:r>
      <w:r w:rsidR="00283675" w:rsidRPr="00283675">
        <w:rPr>
          <w:i/>
        </w:rPr>
        <w:t>ConcurrencyMode</w:t>
      </w:r>
      <w:r w:rsidR="00283675">
        <w:t xml:space="preserve"> controls multi-threading access (</w:t>
      </w:r>
      <w:r w:rsidR="004B498B">
        <w:t>Single is for Synchronous Access, Multiple = Multi-threading</w:t>
      </w:r>
      <w:r w:rsidR="00283675">
        <w:t>).</w:t>
      </w:r>
    </w:p>
    <w:p w14:paraId="6E53D0F3" w14:textId="77777777" w:rsidR="00265354" w:rsidRDefault="00265354" w:rsidP="00EA1493">
      <w:pPr>
        <w:pStyle w:val="Heading4"/>
      </w:pPr>
      <w:r>
        <w:t>Sqrt(BigInteger value)</w:t>
      </w:r>
    </w:p>
    <w:p w14:paraId="60F02E38" w14:textId="2624240A" w:rsidR="00BA787C" w:rsidRDefault="00265354" w:rsidP="00265354">
      <w:pPr>
        <w:pStyle w:val="Paragraph"/>
      </w:pPr>
      <w:r>
        <w:t>Th</w:t>
      </w:r>
      <w:r w:rsidR="00EA1493">
        <w:t>e</w:t>
      </w:r>
      <w:r>
        <w:t xml:space="preserve"> Sqrt method calculates the approximate square root for an arbitrarily large integer value. By the way, that is what BigInteger provides – a data structure to hold numbers far larger that can be stored in traditional data types. Since the method uses the Math library, it is only going to be as precise as a double.</w:t>
      </w:r>
    </w:p>
    <w:p w14:paraId="0A6A1539" w14:textId="77777777" w:rsidR="00EA1493" w:rsidRDefault="00EA1493" w:rsidP="00EA1493">
      <w:pPr>
        <w:pStyle w:val="Heading4"/>
      </w:pPr>
      <w:r>
        <w:t>IsPrime(BigInteger value)</w:t>
      </w:r>
    </w:p>
    <w:p w14:paraId="3C4BB403" w14:textId="4AAA9C66" w:rsidR="00265354" w:rsidRDefault="00EA1493" w:rsidP="00EA1493">
      <w:pPr>
        <w:pStyle w:val="Paragraph"/>
      </w:pPr>
      <w:r>
        <w:t>The IsPrime method uses a brute force (slow) algorithm to determine if a number is prime. There are some optimizations built in that eliminate Prime numbers.</w:t>
      </w:r>
    </w:p>
    <w:p w14:paraId="7F163493" w14:textId="7D90D311" w:rsidR="00AD0EC6" w:rsidRDefault="00AD0EC6" w:rsidP="007F0E62">
      <w:pPr>
        <w:pStyle w:val="Heading2"/>
      </w:pPr>
      <w:r>
        <w:t>MathServiceHost</w:t>
      </w:r>
    </w:p>
    <w:p w14:paraId="37FE2345" w14:textId="0C96F3A5" w:rsidR="00AD0EC6" w:rsidRDefault="003B1300" w:rsidP="00AD0EC6">
      <w:pPr>
        <w:pStyle w:val="Paragraph"/>
      </w:pPr>
      <w:r w:rsidRPr="003B1300">
        <w:t>The MathServiceHost is a typical Console Application used to host the MathService service class.</w:t>
      </w:r>
      <w:r>
        <w:t xml:space="preserve"> </w:t>
      </w:r>
      <w:r w:rsidRPr="003B1300">
        <w:t xml:space="preserve">For the hosting configuration, </w:t>
      </w:r>
      <w:r>
        <w:t>I</w:t>
      </w:r>
      <w:r w:rsidRPr="003B1300">
        <w:t xml:space="preserve"> use</w:t>
      </w:r>
      <w:r>
        <w:t>d</w:t>
      </w:r>
      <w:r w:rsidRPr="003B1300">
        <w:t xml:space="preserve"> the basicHttp protocol. The &lt;system.serviceModel&gt; portion of the config file was customized to the solution address, bindings, and contract. See the XML configuration here and project code here.</w:t>
      </w:r>
    </w:p>
    <w:p w14:paraId="48979BAA" w14:textId="77777777" w:rsidR="00947F38" w:rsidRDefault="00947F38" w:rsidP="00947F38">
      <w:pPr>
        <w:pStyle w:val="Default"/>
        <w:rPr>
          <w:sz w:val="18"/>
          <w:szCs w:val="18"/>
        </w:rPr>
      </w:pPr>
      <w:r>
        <w:rPr>
          <w:sz w:val="18"/>
          <w:szCs w:val="18"/>
        </w:rPr>
        <w:t xml:space="preserve">&lt;system.serviceModel&gt; </w:t>
      </w:r>
    </w:p>
    <w:p w14:paraId="7B3B9A47" w14:textId="77777777" w:rsidR="00947F38" w:rsidRDefault="00947F38" w:rsidP="00947F38">
      <w:pPr>
        <w:pStyle w:val="Default"/>
        <w:rPr>
          <w:sz w:val="18"/>
          <w:szCs w:val="18"/>
        </w:rPr>
      </w:pPr>
      <w:r>
        <w:rPr>
          <w:sz w:val="18"/>
          <w:szCs w:val="18"/>
        </w:rPr>
        <w:lastRenderedPageBreak/>
        <w:t xml:space="preserve">&lt;services&gt; </w:t>
      </w:r>
    </w:p>
    <w:p w14:paraId="389A879C" w14:textId="77777777" w:rsidR="00947F38" w:rsidRDefault="00947F38" w:rsidP="00947F38">
      <w:pPr>
        <w:pStyle w:val="Default"/>
        <w:rPr>
          <w:sz w:val="18"/>
          <w:szCs w:val="18"/>
        </w:rPr>
      </w:pPr>
      <w:r>
        <w:rPr>
          <w:sz w:val="18"/>
          <w:szCs w:val="18"/>
        </w:rPr>
        <w:t xml:space="preserve">&lt;service name="MathServiceLib.MathService"&gt; </w:t>
      </w:r>
    </w:p>
    <w:p w14:paraId="1B514237" w14:textId="77777777" w:rsidR="00947F38" w:rsidRDefault="00947F38" w:rsidP="00947F38">
      <w:pPr>
        <w:pStyle w:val="Default"/>
        <w:rPr>
          <w:sz w:val="18"/>
          <w:szCs w:val="18"/>
        </w:rPr>
      </w:pPr>
      <w:r>
        <w:rPr>
          <w:sz w:val="18"/>
          <w:szCs w:val="18"/>
        </w:rPr>
        <w:t xml:space="preserve">&lt;endpoint address="" binding="basicHttpBinding" contract="SharedLib.IMathService" /&gt; </w:t>
      </w:r>
    </w:p>
    <w:p w14:paraId="176609F4" w14:textId="77777777" w:rsidR="00947F38" w:rsidRDefault="00947F38" w:rsidP="00947F38">
      <w:pPr>
        <w:pStyle w:val="Default"/>
        <w:rPr>
          <w:sz w:val="18"/>
          <w:szCs w:val="18"/>
        </w:rPr>
      </w:pPr>
      <w:r>
        <w:rPr>
          <w:sz w:val="18"/>
          <w:szCs w:val="18"/>
        </w:rPr>
        <w:t xml:space="preserve">&lt;endpoint address="mex" binding="mexHttpBinding" contract="IMetadataExchange" /&gt; </w:t>
      </w:r>
    </w:p>
    <w:p w14:paraId="4098A48A" w14:textId="77777777" w:rsidR="00947F38" w:rsidRDefault="00947F38" w:rsidP="00947F38">
      <w:pPr>
        <w:pStyle w:val="Default"/>
        <w:rPr>
          <w:sz w:val="18"/>
          <w:szCs w:val="18"/>
        </w:rPr>
      </w:pPr>
      <w:r>
        <w:rPr>
          <w:sz w:val="18"/>
          <w:szCs w:val="18"/>
        </w:rPr>
        <w:t xml:space="preserve">&lt;host&gt; </w:t>
      </w:r>
    </w:p>
    <w:p w14:paraId="3AED263D" w14:textId="77777777" w:rsidR="00947F38" w:rsidRDefault="00947F38" w:rsidP="00947F38">
      <w:pPr>
        <w:pStyle w:val="Default"/>
        <w:rPr>
          <w:sz w:val="18"/>
          <w:szCs w:val="18"/>
        </w:rPr>
      </w:pPr>
      <w:r>
        <w:rPr>
          <w:sz w:val="18"/>
          <w:szCs w:val="18"/>
        </w:rPr>
        <w:t xml:space="preserve">&lt;baseAddresses&gt; </w:t>
      </w:r>
    </w:p>
    <w:p w14:paraId="36E0BF69" w14:textId="77777777" w:rsidR="00947F38" w:rsidRDefault="00947F38" w:rsidP="00947F38">
      <w:pPr>
        <w:pStyle w:val="Default"/>
        <w:rPr>
          <w:sz w:val="18"/>
          <w:szCs w:val="18"/>
        </w:rPr>
      </w:pPr>
      <w:r>
        <w:rPr>
          <w:sz w:val="18"/>
          <w:szCs w:val="18"/>
        </w:rPr>
        <w:t xml:space="preserve">&lt;add baseAddress="http://localhost:8733/MathService/" /&gt; </w:t>
      </w:r>
    </w:p>
    <w:p w14:paraId="671C0366" w14:textId="77777777" w:rsidR="00947F38" w:rsidRDefault="00947F38" w:rsidP="00947F38">
      <w:pPr>
        <w:pStyle w:val="Default"/>
        <w:rPr>
          <w:sz w:val="18"/>
          <w:szCs w:val="18"/>
        </w:rPr>
      </w:pPr>
      <w:r>
        <w:rPr>
          <w:sz w:val="18"/>
          <w:szCs w:val="18"/>
        </w:rPr>
        <w:t xml:space="preserve">&lt;/baseAddresses&gt; </w:t>
      </w:r>
    </w:p>
    <w:p w14:paraId="38BB3B3E" w14:textId="77777777" w:rsidR="00947F38" w:rsidRDefault="00947F38" w:rsidP="00947F38">
      <w:pPr>
        <w:pStyle w:val="Default"/>
        <w:rPr>
          <w:sz w:val="18"/>
          <w:szCs w:val="18"/>
        </w:rPr>
      </w:pPr>
      <w:r>
        <w:rPr>
          <w:sz w:val="18"/>
          <w:szCs w:val="18"/>
        </w:rPr>
        <w:t xml:space="preserve">&lt;/host&gt; </w:t>
      </w:r>
    </w:p>
    <w:p w14:paraId="01DC958A" w14:textId="77777777" w:rsidR="00947F38" w:rsidRDefault="00947F38" w:rsidP="00947F38">
      <w:pPr>
        <w:pStyle w:val="Default"/>
        <w:rPr>
          <w:sz w:val="18"/>
          <w:szCs w:val="18"/>
        </w:rPr>
      </w:pPr>
      <w:r>
        <w:rPr>
          <w:sz w:val="18"/>
          <w:szCs w:val="18"/>
        </w:rPr>
        <w:t xml:space="preserve">&lt;/service&gt; </w:t>
      </w:r>
    </w:p>
    <w:p w14:paraId="066184B6" w14:textId="77777777" w:rsidR="00947F38" w:rsidRDefault="00947F38" w:rsidP="00947F38">
      <w:pPr>
        <w:pStyle w:val="Default"/>
        <w:rPr>
          <w:sz w:val="18"/>
          <w:szCs w:val="18"/>
        </w:rPr>
      </w:pPr>
      <w:r>
        <w:rPr>
          <w:sz w:val="18"/>
          <w:szCs w:val="18"/>
        </w:rPr>
        <w:t xml:space="preserve">&lt;/services&gt; </w:t>
      </w:r>
    </w:p>
    <w:p w14:paraId="662CE8B9" w14:textId="77777777" w:rsidR="00947F38" w:rsidRDefault="00947F38" w:rsidP="00947F38">
      <w:pPr>
        <w:pStyle w:val="Default"/>
        <w:rPr>
          <w:sz w:val="18"/>
          <w:szCs w:val="18"/>
        </w:rPr>
      </w:pPr>
      <w:r>
        <w:rPr>
          <w:sz w:val="18"/>
          <w:szCs w:val="18"/>
        </w:rPr>
        <w:t xml:space="preserve">&lt;behaviors&gt; </w:t>
      </w:r>
    </w:p>
    <w:p w14:paraId="63E8F14A" w14:textId="77777777" w:rsidR="00947F38" w:rsidRDefault="00947F38" w:rsidP="00947F38">
      <w:pPr>
        <w:pStyle w:val="Default"/>
        <w:rPr>
          <w:sz w:val="18"/>
          <w:szCs w:val="18"/>
        </w:rPr>
      </w:pPr>
      <w:r>
        <w:rPr>
          <w:sz w:val="18"/>
          <w:szCs w:val="18"/>
        </w:rPr>
        <w:t xml:space="preserve">&lt;serviceBehaviors&gt; </w:t>
      </w:r>
    </w:p>
    <w:p w14:paraId="7A7D8A9B" w14:textId="77777777" w:rsidR="00947F38" w:rsidRDefault="00947F38" w:rsidP="00947F38">
      <w:pPr>
        <w:pStyle w:val="Default"/>
        <w:rPr>
          <w:sz w:val="18"/>
          <w:szCs w:val="18"/>
        </w:rPr>
      </w:pPr>
      <w:r>
        <w:rPr>
          <w:sz w:val="18"/>
          <w:szCs w:val="18"/>
        </w:rPr>
        <w:t xml:space="preserve">&lt;behavior&gt; </w:t>
      </w:r>
    </w:p>
    <w:p w14:paraId="3D3B5DA3" w14:textId="77777777" w:rsidR="00947F38" w:rsidRDefault="00947F38" w:rsidP="00947F38">
      <w:pPr>
        <w:pStyle w:val="Default"/>
        <w:rPr>
          <w:sz w:val="18"/>
          <w:szCs w:val="18"/>
        </w:rPr>
      </w:pPr>
      <w:r>
        <w:rPr>
          <w:sz w:val="18"/>
          <w:szCs w:val="18"/>
        </w:rPr>
        <w:t xml:space="preserve">&lt;serviceThrottling maxConcurrentCalls="10" maxConcurrentInstances="10"/&gt; </w:t>
      </w:r>
    </w:p>
    <w:p w14:paraId="2983FD79" w14:textId="77777777" w:rsidR="00947F38" w:rsidRDefault="00947F38" w:rsidP="00947F38">
      <w:pPr>
        <w:pStyle w:val="Default"/>
        <w:rPr>
          <w:sz w:val="18"/>
          <w:szCs w:val="18"/>
        </w:rPr>
      </w:pPr>
      <w:r>
        <w:rPr>
          <w:sz w:val="18"/>
          <w:szCs w:val="18"/>
        </w:rPr>
        <w:t xml:space="preserve">&lt;serviceMetadata httpGetEnabled="True" httpsGetEnabled="True"/&gt; </w:t>
      </w:r>
    </w:p>
    <w:p w14:paraId="479FDAD5" w14:textId="77777777" w:rsidR="00947F38" w:rsidRDefault="00947F38" w:rsidP="00947F38">
      <w:pPr>
        <w:pStyle w:val="Default"/>
        <w:rPr>
          <w:sz w:val="18"/>
          <w:szCs w:val="18"/>
        </w:rPr>
      </w:pPr>
      <w:r>
        <w:rPr>
          <w:sz w:val="18"/>
          <w:szCs w:val="18"/>
        </w:rPr>
        <w:t xml:space="preserve">&lt;serviceDebug includeExceptionDetailInFaults="False" /&gt; </w:t>
      </w:r>
    </w:p>
    <w:p w14:paraId="5A9AE8FB" w14:textId="77777777" w:rsidR="00947F38" w:rsidRDefault="00947F38" w:rsidP="00947F38">
      <w:pPr>
        <w:pStyle w:val="Default"/>
        <w:rPr>
          <w:sz w:val="18"/>
          <w:szCs w:val="18"/>
        </w:rPr>
      </w:pPr>
      <w:r>
        <w:rPr>
          <w:sz w:val="18"/>
          <w:szCs w:val="18"/>
        </w:rPr>
        <w:t xml:space="preserve">&lt;/behavior&gt; </w:t>
      </w:r>
    </w:p>
    <w:p w14:paraId="03E8C997" w14:textId="77777777" w:rsidR="00947F38" w:rsidRDefault="00947F38" w:rsidP="00947F38">
      <w:pPr>
        <w:pStyle w:val="Default"/>
        <w:rPr>
          <w:sz w:val="18"/>
          <w:szCs w:val="18"/>
        </w:rPr>
      </w:pPr>
      <w:r>
        <w:rPr>
          <w:sz w:val="18"/>
          <w:szCs w:val="18"/>
        </w:rPr>
        <w:t xml:space="preserve">&lt;/serviceBehaviors&gt; </w:t>
      </w:r>
    </w:p>
    <w:p w14:paraId="148A689F" w14:textId="77777777" w:rsidR="00947F38" w:rsidRDefault="00947F38" w:rsidP="00947F38">
      <w:pPr>
        <w:pStyle w:val="Default"/>
        <w:rPr>
          <w:sz w:val="18"/>
          <w:szCs w:val="18"/>
        </w:rPr>
      </w:pPr>
      <w:r>
        <w:rPr>
          <w:sz w:val="18"/>
          <w:szCs w:val="18"/>
        </w:rPr>
        <w:t xml:space="preserve">&lt;/behaviors&gt; </w:t>
      </w:r>
    </w:p>
    <w:p w14:paraId="160DC940" w14:textId="1CDC492C" w:rsidR="00947F38" w:rsidRPr="00947F38" w:rsidRDefault="00947F38" w:rsidP="00947F38">
      <w:pPr>
        <w:pStyle w:val="Paragraph"/>
        <w:rPr>
          <w:rFonts w:ascii="Consolas" w:eastAsiaTheme="minorHAnsi" w:hAnsi="Consolas" w:cs="Consolas"/>
          <w:color w:val="000000"/>
          <w:sz w:val="18"/>
          <w:szCs w:val="18"/>
        </w:rPr>
      </w:pPr>
      <w:r w:rsidRPr="00947F38">
        <w:rPr>
          <w:rFonts w:ascii="Consolas" w:eastAsiaTheme="minorHAnsi" w:hAnsi="Consolas" w:cs="Consolas"/>
          <w:color w:val="000000"/>
          <w:sz w:val="18"/>
          <w:szCs w:val="18"/>
        </w:rPr>
        <w:t>&lt;/system.serviceModel&gt;</w:t>
      </w:r>
    </w:p>
    <w:p w14:paraId="40C1B592" w14:textId="79E683C5" w:rsidR="00AD0EC6" w:rsidRDefault="00AD0EC6" w:rsidP="007F0E62">
      <w:pPr>
        <w:pStyle w:val="Heading2"/>
      </w:pPr>
      <w:r>
        <w:t>MathClient</w:t>
      </w:r>
      <w:r w:rsidR="0083794D">
        <w:t xml:space="preserve"> </w:t>
      </w:r>
      <w:r w:rsidR="0083794D" w:rsidRPr="0083794D">
        <w:t>“Tester Client Console Application”</w:t>
      </w:r>
    </w:p>
    <w:p w14:paraId="172416C9" w14:textId="2A0FAA36" w:rsidR="00AD0EC6" w:rsidRDefault="000F5B54" w:rsidP="00ED1981">
      <w:pPr>
        <w:pStyle w:val="Paragraph"/>
      </w:pPr>
      <w:r w:rsidRPr="000F5B54">
        <w:t xml:space="preserve">The </w:t>
      </w:r>
      <w:r>
        <w:t>math</w:t>
      </w:r>
      <w:r w:rsidRPr="000F5B54">
        <w:t xml:space="preserve"> client project is a Console Application that consumes the service through a ChannelFactory pattern with the I</w:t>
      </w:r>
      <w:r>
        <w:t>Math</w:t>
      </w:r>
      <w:r w:rsidRPr="000F5B54">
        <w:t xml:space="preserve">Service interface. </w:t>
      </w:r>
      <w:r w:rsidR="00ED1981">
        <w:t xml:space="preserve">This client program demonstrates multi-threaded access with various combinations of instance context modes and concurrency levels. The client </w:t>
      </w:r>
      <w:r w:rsidR="00116EAA">
        <w:t>accesses</w:t>
      </w:r>
      <w:r w:rsidR="00ED1981">
        <w:t xml:space="preserve"> these methods using sequential and multi-threaded techniques to demonstrate the difference in performance. The goal of this client is to test a batch of calls to the service using a traditional sequential loop and a parallelized loop. Results of the performance </w:t>
      </w:r>
      <w:r w:rsidR="009E3D9E">
        <w:t xml:space="preserve">tests </w:t>
      </w:r>
      <w:r w:rsidR="00ED1981">
        <w:t>are printed to the console window</w:t>
      </w:r>
      <w:r w:rsidRPr="000F5B54">
        <w:t>. You can see the project code here.</w:t>
      </w:r>
    </w:p>
    <w:p w14:paraId="74DDB02D" w14:textId="76E9F11E" w:rsidR="009E3D9E" w:rsidRDefault="009E3D9E" w:rsidP="000A6F8F">
      <w:pPr>
        <w:pStyle w:val="Heading3"/>
      </w:pPr>
      <w:r>
        <w:t>Class Fields</w:t>
      </w:r>
    </w:p>
    <w:p w14:paraId="13116069" w14:textId="77777777" w:rsidR="00592FE4" w:rsidRDefault="00592FE4" w:rsidP="00592FE4">
      <w:pPr>
        <w:pStyle w:val="Paragraph"/>
      </w:pPr>
      <w:r>
        <w:t xml:space="preserve">The Program class will have several fields: </w:t>
      </w:r>
    </w:p>
    <w:p w14:paraId="1AA80ABA" w14:textId="77777777" w:rsidR="00592FE4" w:rsidRPr="00592FE4" w:rsidRDefault="00592FE4" w:rsidP="00592FE4">
      <w:pPr>
        <w:pStyle w:val="Paragraph"/>
        <w:rPr>
          <w:rFonts w:ascii="Consolas" w:eastAsiaTheme="minorHAnsi" w:hAnsi="Consolas" w:cs="Consolas"/>
          <w:color w:val="000000"/>
          <w:sz w:val="19"/>
          <w:szCs w:val="19"/>
        </w:rPr>
      </w:pPr>
      <w:r w:rsidRPr="00592FE4">
        <w:rPr>
          <w:rFonts w:ascii="Consolas" w:eastAsiaTheme="minorHAnsi" w:hAnsi="Consolas" w:cs="Consolas"/>
          <w:color w:val="000000"/>
          <w:sz w:val="19"/>
          <w:szCs w:val="19"/>
        </w:rPr>
        <w:t xml:space="preserve">static IMathService m_Proxy = null; </w:t>
      </w:r>
    </w:p>
    <w:p w14:paraId="75653732" w14:textId="77777777" w:rsidR="00592FE4" w:rsidRPr="00592FE4" w:rsidRDefault="00592FE4" w:rsidP="00592FE4">
      <w:pPr>
        <w:pStyle w:val="Paragraph"/>
        <w:rPr>
          <w:rFonts w:ascii="Consolas" w:eastAsiaTheme="minorHAnsi" w:hAnsi="Consolas" w:cs="Consolas"/>
          <w:color w:val="000000"/>
          <w:sz w:val="19"/>
          <w:szCs w:val="19"/>
        </w:rPr>
      </w:pPr>
      <w:r w:rsidRPr="00592FE4">
        <w:rPr>
          <w:rFonts w:ascii="Consolas" w:eastAsiaTheme="minorHAnsi" w:hAnsi="Consolas" w:cs="Consolas"/>
          <w:color w:val="000000"/>
          <w:sz w:val="19"/>
          <w:szCs w:val="19"/>
        </w:rPr>
        <w:t xml:space="preserve">static int m_Tests = 250; </w:t>
      </w:r>
    </w:p>
    <w:p w14:paraId="66F61128" w14:textId="3BB04C20" w:rsidR="00592FE4" w:rsidRPr="00592FE4" w:rsidRDefault="00592FE4" w:rsidP="00592FE4">
      <w:pPr>
        <w:pStyle w:val="Paragraph"/>
        <w:rPr>
          <w:rFonts w:ascii="Consolas" w:eastAsiaTheme="minorHAnsi" w:hAnsi="Consolas" w:cs="Consolas"/>
          <w:color w:val="000000"/>
          <w:sz w:val="19"/>
          <w:szCs w:val="19"/>
        </w:rPr>
      </w:pPr>
      <w:r w:rsidRPr="00592FE4">
        <w:rPr>
          <w:rFonts w:ascii="Consolas" w:eastAsiaTheme="minorHAnsi" w:hAnsi="Consolas" w:cs="Consolas"/>
          <w:color w:val="000000"/>
          <w:sz w:val="19"/>
          <w:szCs w:val="19"/>
        </w:rPr>
        <w:t>static BigInteger m_StartNum = BigInteger.Parse("1234567890123456");</w:t>
      </w:r>
    </w:p>
    <w:p w14:paraId="08FD0B4B" w14:textId="77777777" w:rsidR="00592FE4" w:rsidRDefault="00592FE4" w:rsidP="00592FE4">
      <w:pPr>
        <w:pStyle w:val="Paragraph"/>
      </w:pPr>
      <w:r w:rsidRPr="00592FE4">
        <w:rPr>
          <w:i/>
        </w:rPr>
        <w:t>m_Proxy</w:t>
      </w:r>
      <w:r>
        <w:t xml:space="preserve"> is the proxy object that connects to the service.</w:t>
      </w:r>
    </w:p>
    <w:p w14:paraId="6EA6F4F7" w14:textId="77777777" w:rsidR="00592FE4" w:rsidRDefault="00592FE4" w:rsidP="00592FE4">
      <w:pPr>
        <w:pStyle w:val="Paragraph"/>
      </w:pPr>
      <w:r w:rsidRPr="00592FE4">
        <w:rPr>
          <w:i/>
        </w:rPr>
        <w:t>m_Tests</w:t>
      </w:r>
      <w:r>
        <w:t xml:space="preserve"> holds the number of iterations to perform per test.</w:t>
      </w:r>
    </w:p>
    <w:p w14:paraId="47996E9F" w14:textId="161094D4" w:rsidR="00592FE4" w:rsidRDefault="00592FE4" w:rsidP="00592FE4">
      <w:pPr>
        <w:pStyle w:val="Paragraph"/>
      </w:pPr>
      <w:r w:rsidRPr="00592FE4">
        <w:rPr>
          <w:i/>
        </w:rPr>
        <w:t>m_StartNum</w:t>
      </w:r>
      <w:r>
        <w:t xml:space="preserve"> holds the initial number to use in each loop when calculating square roots.</w:t>
      </w:r>
    </w:p>
    <w:p w14:paraId="07D4073C" w14:textId="09EA77F6" w:rsidR="009E3D9E" w:rsidRDefault="009E3D9E" w:rsidP="000A6F8F">
      <w:pPr>
        <w:pStyle w:val="Heading3"/>
      </w:pPr>
      <w:r>
        <w:t>Class Methods</w:t>
      </w:r>
    </w:p>
    <w:p w14:paraId="0A12AFAF" w14:textId="38E0960E" w:rsidR="009E3D9E" w:rsidRDefault="009744D5" w:rsidP="00ED1981">
      <w:pPr>
        <w:pStyle w:val="Paragraph"/>
      </w:pPr>
      <w:r>
        <w:t xml:space="preserve">The Program class contains three static methods: Main, TestSync, and TestAsync. </w:t>
      </w:r>
    </w:p>
    <w:p w14:paraId="40BFC188" w14:textId="7E0A5260" w:rsidR="008D29E8" w:rsidRDefault="00836691" w:rsidP="008D29E8">
      <w:pPr>
        <w:pStyle w:val="Heading4"/>
      </w:pPr>
      <w:r>
        <w:t xml:space="preserve">Static TimeSpan </w:t>
      </w:r>
      <w:r w:rsidR="008D29E8">
        <w:t>TestSync()</w:t>
      </w:r>
    </w:p>
    <w:p w14:paraId="67402A93" w14:textId="70CF9141" w:rsidR="008D29E8" w:rsidRDefault="008D29E8" w:rsidP="00BB2748">
      <w:pPr>
        <w:pStyle w:val="Paragraph"/>
      </w:pPr>
      <w:r>
        <w:t>The TestSync method call</w:t>
      </w:r>
      <w:r w:rsidR="00836691">
        <w:t>s</w:t>
      </w:r>
      <w:r>
        <w:t xml:space="preserve"> the service method </w:t>
      </w:r>
      <w:r w:rsidRPr="00836691">
        <w:rPr>
          <w:i/>
        </w:rPr>
        <w:t>IsPrime</w:t>
      </w:r>
      <w:r>
        <w:t xml:space="preserve"> in a synchronous manner.</w:t>
      </w:r>
      <w:r w:rsidR="00BB2748">
        <w:t xml:space="preserve"> It iterates for a set number of times, adding one to the original number and determining if that number if prime </w:t>
      </w:r>
      <w:r w:rsidR="00BB2748">
        <w:lastRenderedPageBreak/>
        <w:t xml:space="preserve">or not. </w:t>
      </w:r>
      <w:r>
        <w:t>The method accepts no parameters and returns a TimeSpan object which will contain the total time spent in the method.</w:t>
      </w:r>
    </w:p>
    <w:p w14:paraId="15593D48" w14:textId="711FD72C" w:rsidR="008D29E8" w:rsidRDefault="00836691" w:rsidP="008D29E8">
      <w:pPr>
        <w:pStyle w:val="Heading4"/>
      </w:pPr>
      <w:r>
        <w:t xml:space="preserve">Static TimeSpan </w:t>
      </w:r>
      <w:r w:rsidR="008D29E8">
        <w:t>TestAsync()</w:t>
      </w:r>
    </w:p>
    <w:p w14:paraId="7CDA8ED0" w14:textId="7DF5533B" w:rsidR="008D29E8" w:rsidRDefault="008D29E8" w:rsidP="008D29E8">
      <w:pPr>
        <w:pStyle w:val="Paragraph"/>
      </w:pPr>
      <w:r>
        <w:t xml:space="preserve">The TestAsync method </w:t>
      </w:r>
      <w:r w:rsidR="009744D5">
        <w:t>does</w:t>
      </w:r>
      <w:r>
        <w:t xml:space="preserve"> the same thing as TestSync except it will use a Parallel.For loop to call the service method from the thread pool.</w:t>
      </w:r>
    </w:p>
    <w:p w14:paraId="5F1AD7DF" w14:textId="4BEC93D1" w:rsidR="008D29E8" w:rsidRDefault="00CB0EDE" w:rsidP="008D29E8">
      <w:pPr>
        <w:pStyle w:val="Heading4"/>
      </w:pPr>
      <w:r>
        <w:t xml:space="preserve">Static Void </w:t>
      </w:r>
      <w:r w:rsidR="008D29E8">
        <w:t>Main()</w:t>
      </w:r>
    </w:p>
    <w:p w14:paraId="23D87F9F" w14:textId="22BA8633" w:rsidR="008D29E8" w:rsidRDefault="00807ACB" w:rsidP="008D29E8">
      <w:pPr>
        <w:pStyle w:val="Paragraph"/>
      </w:pPr>
      <w:r>
        <w:t>Firstly,</w:t>
      </w:r>
      <w:r w:rsidR="00CB0EDE">
        <w:t xml:space="preserve"> </w:t>
      </w:r>
      <w:r>
        <w:t xml:space="preserve">the </w:t>
      </w:r>
      <w:r w:rsidR="00CB0EDE">
        <w:t>client proxy channel to the service</w:t>
      </w:r>
      <w:r>
        <w:t>,</w:t>
      </w:r>
      <w:r w:rsidR="00CB0EDE">
        <w:t xml:space="preserve"> </w:t>
      </w:r>
      <w:r w:rsidR="008D29E8">
        <w:t>m_Proxy</w:t>
      </w:r>
      <w:r w:rsidR="00CB0EDE">
        <w:t xml:space="preserve">, is initialized using the </w:t>
      </w:r>
      <w:r w:rsidR="00CB0EDE" w:rsidRPr="00CB0EDE">
        <w:rPr>
          <w:i/>
        </w:rPr>
        <w:t>Utilities</w:t>
      </w:r>
      <w:r w:rsidR="00CB0EDE">
        <w:t xml:space="preserve"> project (helper classes) for creating and managing a ChannelFactory pattern connection. </w:t>
      </w:r>
    </w:p>
    <w:p w14:paraId="43A4C908" w14:textId="685FC9A4" w:rsidR="008D29E8" w:rsidRDefault="00CB0EDE" w:rsidP="008D29E8">
      <w:pPr>
        <w:pStyle w:val="Paragraph"/>
      </w:pPr>
      <w:r>
        <w:t>T</w:t>
      </w:r>
      <w:r w:rsidR="008D29E8">
        <w:t xml:space="preserve">he </w:t>
      </w:r>
      <w:r>
        <w:t xml:space="preserve">console application then asks the </w:t>
      </w:r>
      <w:r w:rsidR="008D29E8">
        <w:t xml:space="preserve">user </w:t>
      </w:r>
      <w:r>
        <w:t xml:space="preserve">to </w:t>
      </w:r>
      <w:r w:rsidR="008D29E8">
        <w:t>enter new values for m_Tests</w:t>
      </w:r>
      <w:r>
        <w:t xml:space="preserve"> (number of iterations to perform per test)</w:t>
      </w:r>
      <w:r w:rsidR="008D29E8">
        <w:t xml:space="preserve"> and m_StartNum</w:t>
      </w:r>
      <w:r>
        <w:t xml:space="preserve"> (the initial number to use in each loop when calculating square roots)</w:t>
      </w:r>
      <w:r w:rsidR="008D29E8">
        <w:t xml:space="preserve">. This </w:t>
      </w:r>
      <w:r>
        <w:t>helps</w:t>
      </w:r>
      <w:r w:rsidR="008D29E8">
        <w:t xml:space="preserve"> the program </w:t>
      </w:r>
      <w:r>
        <w:t>stay</w:t>
      </w:r>
      <w:r w:rsidR="008D29E8">
        <w:t xml:space="preserve"> flexible for testing various ranges and values.</w:t>
      </w:r>
    </w:p>
    <w:p w14:paraId="23C122AE" w14:textId="570BD033" w:rsidR="008D29E8" w:rsidRDefault="00807ACB" w:rsidP="008D29E8">
      <w:pPr>
        <w:pStyle w:val="Paragraph"/>
      </w:pPr>
      <w:r>
        <w:t>To ensure that</w:t>
      </w:r>
      <w:r w:rsidR="008D29E8">
        <w:t xml:space="preserve"> both </w:t>
      </w:r>
      <w:r>
        <w:t xml:space="preserve">synchronous and asynchronous </w:t>
      </w:r>
      <w:r w:rsidR="008D29E8">
        <w:t xml:space="preserve">tests are treated “equally”, a quick call to the service </w:t>
      </w:r>
      <w:r>
        <w:t xml:space="preserve">is made </w:t>
      </w:r>
      <w:r w:rsidR="008D29E8">
        <w:t>to “spin it up”. That way when the tests are executed there is no initial delay</w:t>
      </w:r>
      <w:r w:rsidR="00CD166F">
        <w:t xml:space="preserve"> with one of them starting the service for the first time</w:t>
      </w:r>
      <w:r w:rsidR="008D29E8">
        <w:t>.</w:t>
      </w:r>
    </w:p>
    <w:p w14:paraId="435C40D5" w14:textId="6723814B" w:rsidR="008D29E8" w:rsidRDefault="00C30CCE" w:rsidP="008D29E8">
      <w:pPr>
        <w:pStyle w:val="Paragraph"/>
      </w:pPr>
      <w:r>
        <w:t xml:space="preserve">Next, calls to both the </w:t>
      </w:r>
      <w:r w:rsidR="008D29E8">
        <w:t xml:space="preserve">TestSync and TestAsync methods </w:t>
      </w:r>
      <w:r>
        <w:t>are made. T</w:t>
      </w:r>
      <w:r w:rsidR="008D29E8">
        <w:t>heir re</w:t>
      </w:r>
      <w:r w:rsidR="00703235">
        <w:t>sults are the performance of the methods executing either in synchronous or asynchronous mode. The results stored</w:t>
      </w:r>
      <w:r w:rsidR="008D29E8">
        <w:t xml:space="preserve"> in two different TimeSpan objects</w:t>
      </w:r>
      <w:r w:rsidR="00703235">
        <w:t>.</w:t>
      </w:r>
    </w:p>
    <w:p w14:paraId="2229238E" w14:textId="56A47B18" w:rsidR="008D29E8" w:rsidRDefault="00703235" w:rsidP="008D29E8">
      <w:pPr>
        <w:pStyle w:val="Paragraph"/>
      </w:pPr>
      <w:r>
        <w:t>Finally,</w:t>
      </w:r>
      <w:r w:rsidR="008D29E8">
        <w:t xml:space="preserve"> the </w:t>
      </w:r>
      <w:r w:rsidR="005F2975">
        <w:t xml:space="preserve">console program </w:t>
      </w:r>
      <w:r>
        <w:t>outputs to the user</w:t>
      </w:r>
      <w:r w:rsidR="008D29E8">
        <w:t xml:space="preserve"> the TotalSeconds value from each of the TimeSpan objects with an appropriate header for each. The user can then see the apparent difference in performance between the synchronous and asynchronous calls, if any.</w:t>
      </w:r>
    </w:p>
    <w:p w14:paraId="7E510DF4" w14:textId="4F1E61A8" w:rsidR="009E3D9E" w:rsidRDefault="009E3D9E" w:rsidP="000A6F8F">
      <w:pPr>
        <w:pStyle w:val="Heading3"/>
      </w:pPr>
      <w:r>
        <w:t>Configuration</w:t>
      </w:r>
    </w:p>
    <w:p w14:paraId="5B9553FA" w14:textId="7D539DA3" w:rsidR="009E3D9E" w:rsidRDefault="00472732" w:rsidP="00ED1981">
      <w:pPr>
        <w:pStyle w:val="Paragraph"/>
      </w:pPr>
      <w:r w:rsidRPr="00472732">
        <w:t>The client app.config file was updated with the correct serviceModel configuration. See the XML configuration file here.</w:t>
      </w:r>
    </w:p>
    <w:p w14:paraId="6864EAF5" w14:textId="77777777" w:rsidR="00777A4D" w:rsidRDefault="00777A4D" w:rsidP="00777A4D">
      <w:pPr>
        <w:pStyle w:val="Default"/>
        <w:rPr>
          <w:sz w:val="20"/>
          <w:szCs w:val="20"/>
        </w:rPr>
      </w:pPr>
      <w:r>
        <w:rPr>
          <w:sz w:val="20"/>
          <w:szCs w:val="20"/>
        </w:rPr>
        <w:t xml:space="preserve">&lt;system.serviceModel&gt; </w:t>
      </w:r>
    </w:p>
    <w:p w14:paraId="0296A667" w14:textId="77777777" w:rsidR="00777A4D" w:rsidRDefault="00777A4D" w:rsidP="00777A4D">
      <w:pPr>
        <w:pStyle w:val="Default"/>
        <w:rPr>
          <w:sz w:val="20"/>
          <w:szCs w:val="20"/>
        </w:rPr>
      </w:pPr>
      <w:r>
        <w:rPr>
          <w:sz w:val="20"/>
          <w:szCs w:val="20"/>
        </w:rPr>
        <w:t xml:space="preserve">&lt;client&gt; </w:t>
      </w:r>
    </w:p>
    <w:p w14:paraId="687A7862" w14:textId="77777777" w:rsidR="00777A4D" w:rsidRDefault="00777A4D" w:rsidP="00777A4D">
      <w:pPr>
        <w:pStyle w:val="Default"/>
        <w:rPr>
          <w:sz w:val="20"/>
          <w:szCs w:val="20"/>
        </w:rPr>
      </w:pPr>
      <w:r>
        <w:rPr>
          <w:sz w:val="20"/>
          <w:szCs w:val="20"/>
        </w:rPr>
        <w:t xml:space="preserve">&lt;endpoint address="http://localhost:8733/MathService/" </w:t>
      </w:r>
    </w:p>
    <w:p w14:paraId="3D6945EF" w14:textId="77777777" w:rsidR="00777A4D" w:rsidRDefault="00777A4D" w:rsidP="00777A4D">
      <w:pPr>
        <w:pStyle w:val="Default"/>
        <w:rPr>
          <w:sz w:val="20"/>
          <w:szCs w:val="20"/>
        </w:rPr>
      </w:pPr>
      <w:r>
        <w:rPr>
          <w:sz w:val="20"/>
          <w:szCs w:val="20"/>
        </w:rPr>
        <w:t xml:space="preserve">binding="basicHttpBinding" </w:t>
      </w:r>
    </w:p>
    <w:p w14:paraId="0AACB5BF" w14:textId="77777777" w:rsidR="00777A4D" w:rsidRDefault="00777A4D" w:rsidP="00777A4D">
      <w:pPr>
        <w:pStyle w:val="Default"/>
        <w:rPr>
          <w:sz w:val="20"/>
          <w:szCs w:val="20"/>
        </w:rPr>
      </w:pPr>
      <w:r>
        <w:rPr>
          <w:sz w:val="20"/>
          <w:szCs w:val="20"/>
        </w:rPr>
        <w:t xml:space="preserve">contract="SharedLib.IMathService" </w:t>
      </w:r>
    </w:p>
    <w:p w14:paraId="1EC524A6" w14:textId="77777777" w:rsidR="00777A4D" w:rsidRDefault="00777A4D" w:rsidP="00777A4D">
      <w:pPr>
        <w:pStyle w:val="Default"/>
        <w:rPr>
          <w:sz w:val="20"/>
          <w:szCs w:val="20"/>
        </w:rPr>
      </w:pPr>
      <w:r>
        <w:rPr>
          <w:sz w:val="20"/>
          <w:szCs w:val="20"/>
        </w:rPr>
        <w:t xml:space="preserve">name="basicHttpBinding_IMathService"/&gt; </w:t>
      </w:r>
    </w:p>
    <w:p w14:paraId="0C1BB9FE" w14:textId="77777777" w:rsidR="00777A4D" w:rsidRDefault="00777A4D" w:rsidP="00777A4D">
      <w:pPr>
        <w:pStyle w:val="Default"/>
        <w:rPr>
          <w:sz w:val="20"/>
          <w:szCs w:val="20"/>
        </w:rPr>
      </w:pPr>
      <w:r>
        <w:rPr>
          <w:sz w:val="20"/>
          <w:szCs w:val="20"/>
        </w:rPr>
        <w:t xml:space="preserve">&lt;/client&gt; </w:t>
      </w:r>
    </w:p>
    <w:p w14:paraId="18E0BDFF" w14:textId="1EBAF5E7" w:rsidR="00472732" w:rsidRPr="00777A4D" w:rsidRDefault="00777A4D" w:rsidP="00777A4D">
      <w:pPr>
        <w:pStyle w:val="Paragraph"/>
        <w:rPr>
          <w:rFonts w:ascii="Consolas" w:eastAsiaTheme="minorHAnsi" w:hAnsi="Consolas" w:cs="Consolas"/>
          <w:color w:val="000000"/>
          <w:sz w:val="19"/>
          <w:szCs w:val="19"/>
        </w:rPr>
      </w:pPr>
      <w:r w:rsidRPr="00777A4D">
        <w:rPr>
          <w:rFonts w:ascii="Consolas" w:eastAsiaTheme="minorHAnsi" w:hAnsi="Consolas" w:cs="Consolas"/>
          <w:color w:val="000000"/>
          <w:sz w:val="19"/>
          <w:szCs w:val="19"/>
        </w:rPr>
        <w:t>&lt;/system.serviceModel&gt;</w:t>
      </w:r>
    </w:p>
    <w:p w14:paraId="63D0ECB7" w14:textId="20001193" w:rsidR="00EB0891" w:rsidRDefault="00EB0891" w:rsidP="00EB0891">
      <w:pPr>
        <w:pStyle w:val="Heading2"/>
      </w:pPr>
      <w:r>
        <w:t>Utilities</w:t>
      </w:r>
    </w:p>
    <w:p w14:paraId="3DAEFC42" w14:textId="77A57BF8" w:rsidR="00EB0891" w:rsidRDefault="00166D2D" w:rsidP="00AD0EC6">
      <w:pPr>
        <w:pStyle w:val="Paragraph"/>
      </w:pPr>
      <w:r w:rsidRPr="00166D2D">
        <w:t xml:space="preserve">Furthermore a “Utilities” project is used by the client console application to facilitate user data entry and the complicated details of building and managing the WCF ChannelFactory connection implementation. The “ProxyGen” class inside the Utilities project abstracts the details of implementing and managing a generic ChannelFactory connection to a generic service for a client. Note: The Utilities library was included as base code for my lab project to facilitate my speedy completion; we were not expected to code this ourselves due to complexity and time constraints. The remaining projects in the solution (SharedLib, </w:t>
      </w:r>
      <w:r>
        <w:t>Math</w:t>
      </w:r>
      <w:r w:rsidRPr="00166D2D">
        <w:t xml:space="preserve">Client, </w:t>
      </w:r>
      <w:r>
        <w:t>Math</w:t>
      </w:r>
      <w:r w:rsidRPr="00166D2D">
        <w:t xml:space="preserve">ServiceHost, </w:t>
      </w:r>
      <w:r w:rsidRPr="00166D2D">
        <w:lastRenderedPageBreak/>
        <w:t xml:space="preserve">and </w:t>
      </w:r>
      <w:r>
        <w:t>Math</w:t>
      </w:r>
      <w:r w:rsidRPr="00166D2D">
        <w:t>ServiceLib), I completed individually per requirements for the lab project. Click here to see the Utilities code.</w:t>
      </w:r>
    </w:p>
    <w:p w14:paraId="09BF7AE0" w14:textId="11E3D058" w:rsidR="00AD0EC6" w:rsidRDefault="00AD0EC6" w:rsidP="007F0E62">
      <w:pPr>
        <w:pStyle w:val="Heading2"/>
      </w:pPr>
      <w:r>
        <w:t>Testing the S</w:t>
      </w:r>
      <w:r w:rsidR="00D13213">
        <w:t>ervice Performance</w:t>
      </w:r>
    </w:p>
    <w:p w14:paraId="46FC6C90" w14:textId="64487647" w:rsidR="00AD0EC6" w:rsidRDefault="00AD0EC6" w:rsidP="00AD0EC6">
      <w:pPr>
        <w:pStyle w:val="Paragraph"/>
      </w:pPr>
      <w:r>
        <w:t>Th</w:t>
      </w:r>
      <w:r w:rsidR="00C105B8">
        <w:t xml:space="preserve">e table below presents test results for running the service with </w:t>
      </w:r>
      <w:r w:rsidR="00741E1E">
        <w:t xml:space="preserve">different parameters. </w:t>
      </w:r>
      <w:r w:rsidR="007D42FD" w:rsidRPr="007D42FD">
        <w:t xml:space="preserve">The InstanceContextMode </w:t>
      </w:r>
      <w:r w:rsidR="007D42FD">
        <w:t>on the service was set to</w:t>
      </w:r>
      <w:r w:rsidR="007D42FD" w:rsidRPr="007D42FD">
        <w:t xml:space="preserve"> </w:t>
      </w:r>
      <w:r w:rsidR="007D42FD" w:rsidRPr="00DB0BD9">
        <w:rPr>
          <w:i/>
        </w:rPr>
        <w:t>InstanceContextMode.PerCall</w:t>
      </w:r>
      <w:r w:rsidR="007D42FD">
        <w:t xml:space="preserve"> to </w:t>
      </w:r>
      <w:r w:rsidR="007D42FD" w:rsidRPr="007D42FD">
        <w:t xml:space="preserve">ensure </w:t>
      </w:r>
      <w:r w:rsidR="00DB0BD9" w:rsidRPr="00EC29EA">
        <w:rPr>
          <w:i/>
        </w:rPr>
        <w:t>each</w:t>
      </w:r>
      <w:r w:rsidR="007D42FD" w:rsidRPr="00EC29EA">
        <w:rPr>
          <w:i/>
        </w:rPr>
        <w:t xml:space="preserve"> client call will receive a new service instance</w:t>
      </w:r>
      <w:r w:rsidR="00DB0BD9">
        <w:t xml:space="preserve">. </w:t>
      </w:r>
      <w:r w:rsidR="00741E1E">
        <w:t>Next, the test was run either with the service ConcurrencyMode marked either as Single (not capable of multi-threaded) or Multiple (multi-threaded capable). Lastly</w:t>
      </w:r>
      <w:r w:rsidR="00D02D6E">
        <w:t>,</w:t>
      </w:r>
      <w:r w:rsidR="00741E1E">
        <w:t xml:space="preserve"> two additional </w:t>
      </w:r>
      <w:r w:rsidR="00741E1E" w:rsidRPr="00D02D6E">
        <w:rPr>
          <w:i/>
        </w:rPr>
        <w:t xml:space="preserve">service </w:t>
      </w:r>
      <w:r w:rsidR="00D02D6E" w:rsidRPr="00D02D6E">
        <w:rPr>
          <w:i/>
        </w:rPr>
        <w:t>throttling</w:t>
      </w:r>
      <w:r w:rsidR="00D02D6E">
        <w:t xml:space="preserve"> </w:t>
      </w:r>
      <w:r w:rsidR="00741E1E">
        <w:t xml:space="preserve">behavior configurations were investigated: Max Concurrent Calls and Max Concurrent instances that were set via the App.config file for the MathServiceLib (project that implements the service).  </w:t>
      </w:r>
      <w:r w:rsidR="005C48F2">
        <w:t xml:space="preserve">These two options limited or “throttle” the traffic flow on the service. </w:t>
      </w:r>
    </w:p>
    <w:p w14:paraId="4AEE78B4" w14:textId="1EE1789B" w:rsidR="006563ED" w:rsidRDefault="006563ED" w:rsidP="00AD0EC6">
      <w:pPr>
        <w:pStyle w:val="Paragraph"/>
      </w:pPr>
      <w:r>
        <w:t>You can learn more about u</w:t>
      </w:r>
      <w:r w:rsidRPr="006563ED">
        <w:t xml:space="preserve">sing ServiceThrottlingBehavior to </w:t>
      </w:r>
      <w:r>
        <w:t>c</w:t>
      </w:r>
      <w:r w:rsidRPr="006563ED">
        <w:t xml:space="preserve">ontrol WCF Service </w:t>
      </w:r>
      <w:r>
        <w:t>p</w:t>
      </w:r>
      <w:r w:rsidRPr="006563ED">
        <w:t>erformance</w:t>
      </w:r>
      <w:r w:rsidRPr="006563ED">
        <w:t xml:space="preserve"> </w:t>
      </w:r>
      <w:r>
        <w:t>here. [</w:t>
      </w:r>
      <w:r w:rsidRPr="00BC50E7">
        <w:t>https://docs.microsoft.com/en-us/dotnet/framework/wcf/feature-details/using-servicethrottlingbehavior-to-control-wcf-service-performance</w:t>
      </w:r>
      <w:r>
        <w:t>]</w:t>
      </w:r>
    </w:p>
    <w:tbl>
      <w:tblPr>
        <w:tblStyle w:val="GridTable4-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
        <w:gridCol w:w="1563"/>
        <w:gridCol w:w="1416"/>
        <w:gridCol w:w="1416"/>
        <w:gridCol w:w="1550"/>
        <w:gridCol w:w="1684"/>
      </w:tblGrid>
      <w:tr w:rsidR="0090066D" w14:paraId="1D32D8AF" w14:textId="77777777" w:rsidTr="009006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auto"/>
              <w:left w:val="single" w:sz="4" w:space="0" w:color="auto"/>
              <w:bottom w:val="single" w:sz="4" w:space="0" w:color="auto"/>
              <w:right w:val="single" w:sz="4" w:space="0" w:color="auto"/>
            </w:tcBorders>
          </w:tcPr>
          <w:p w14:paraId="27B55B84" w14:textId="63C2956E" w:rsidR="0090066D" w:rsidRDefault="0090066D" w:rsidP="0090066D">
            <w:pPr>
              <w:pStyle w:val="Paragraph"/>
              <w:jc w:val="center"/>
            </w:pPr>
            <w:r>
              <w:t>Test #</w:t>
            </w:r>
          </w:p>
        </w:tc>
        <w:tc>
          <w:tcPr>
            <w:tcW w:w="1560" w:type="dxa"/>
            <w:tcBorders>
              <w:top w:val="single" w:sz="4" w:space="0" w:color="auto"/>
              <w:left w:val="single" w:sz="4" w:space="0" w:color="auto"/>
              <w:bottom w:val="single" w:sz="4" w:space="0" w:color="auto"/>
              <w:right w:val="single" w:sz="4" w:space="0" w:color="auto"/>
            </w:tcBorders>
          </w:tcPr>
          <w:p w14:paraId="43349C4A" w14:textId="20A51F65" w:rsidR="0090066D" w:rsidRDefault="0090066D" w:rsidP="0090066D">
            <w:pPr>
              <w:pStyle w:val="Paragraph"/>
              <w:jc w:val="center"/>
              <w:cnfStyle w:val="100000000000" w:firstRow="1" w:lastRow="0" w:firstColumn="0" w:lastColumn="0" w:oddVBand="0" w:evenVBand="0" w:oddHBand="0" w:evenHBand="0" w:firstRowFirstColumn="0" w:firstRowLastColumn="0" w:lastRowFirstColumn="0" w:lastRowLastColumn="0"/>
            </w:pPr>
            <w:r>
              <w:t>Concurrency Mode</w:t>
            </w:r>
          </w:p>
        </w:tc>
        <w:tc>
          <w:tcPr>
            <w:tcW w:w="1413" w:type="dxa"/>
            <w:tcBorders>
              <w:top w:val="single" w:sz="4" w:space="0" w:color="auto"/>
              <w:left w:val="single" w:sz="4" w:space="0" w:color="auto"/>
              <w:bottom w:val="single" w:sz="4" w:space="0" w:color="auto"/>
              <w:right w:val="single" w:sz="4" w:space="0" w:color="auto"/>
            </w:tcBorders>
          </w:tcPr>
          <w:p w14:paraId="545CA9E9" w14:textId="52497193" w:rsidR="0090066D" w:rsidRDefault="0090066D" w:rsidP="0090066D">
            <w:pPr>
              <w:pStyle w:val="Paragraph"/>
              <w:jc w:val="center"/>
              <w:cnfStyle w:val="100000000000" w:firstRow="1" w:lastRow="0" w:firstColumn="0" w:lastColumn="0" w:oddVBand="0" w:evenVBand="0" w:oddHBand="0" w:evenHBand="0" w:firstRowFirstColumn="0" w:firstRowLastColumn="0" w:lastRowFirstColumn="0" w:lastRowLastColumn="0"/>
            </w:pPr>
            <w:r>
              <w:t>Max Concurrent Calls</w:t>
            </w:r>
          </w:p>
        </w:tc>
        <w:tc>
          <w:tcPr>
            <w:tcW w:w="1413" w:type="dxa"/>
            <w:tcBorders>
              <w:top w:val="single" w:sz="4" w:space="0" w:color="auto"/>
              <w:left w:val="single" w:sz="4" w:space="0" w:color="auto"/>
              <w:bottom w:val="single" w:sz="4" w:space="0" w:color="auto"/>
              <w:right w:val="single" w:sz="4" w:space="0" w:color="auto"/>
            </w:tcBorders>
          </w:tcPr>
          <w:p w14:paraId="01EF201F" w14:textId="764D5149" w:rsidR="0090066D" w:rsidRDefault="0090066D" w:rsidP="0090066D">
            <w:pPr>
              <w:pStyle w:val="Paragraph"/>
              <w:jc w:val="center"/>
              <w:cnfStyle w:val="100000000000" w:firstRow="1" w:lastRow="0" w:firstColumn="0" w:lastColumn="0" w:oddVBand="0" w:evenVBand="0" w:oddHBand="0" w:evenHBand="0" w:firstRowFirstColumn="0" w:firstRowLastColumn="0" w:lastRowFirstColumn="0" w:lastRowLastColumn="0"/>
            </w:pPr>
            <w:r>
              <w:t>Max Concurrent Instances</w:t>
            </w:r>
          </w:p>
        </w:tc>
        <w:tc>
          <w:tcPr>
            <w:tcW w:w="1547" w:type="dxa"/>
            <w:tcBorders>
              <w:top w:val="single" w:sz="4" w:space="0" w:color="auto"/>
              <w:left w:val="single" w:sz="4" w:space="0" w:color="auto"/>
              <w:bottom w:val="single" w:sz="4" w:space="0" w:color="auto"/>
              <w:right w:val="single" w:sz="4" w:space="0" w:color="auto"/>
            </w:tcBorders>
          </w:tcPr>
          <w:p w14:paraId="4DAFFBE2" w14:textId="26663B20" w:rsidR="0090066D" w:rsidRDefault="0090066D" w:rsidP="0090066D">
            <w:pPr>
              <w:pStyle w:val="Paragraph"/>
              <w:jc w:val="center"/>
              <w:cnfStyle w:val="100000000000" w:firstRow="1" w:lastRow="0" w:firstColumn="0" w:lastColumn="0" w:oddVBand="0" w:evenVBand="0" w:oddHBand="0" w:evenHBand="0" w:firstRowFirstColumn="0" w:firstRowLastColumn="0" w:lastRowFirstColumn="0" w:lastRowLastColumn="0"/>
            </w:pPr>
            <w:r>
              <w:t>Synchronous Time (s)</w:t>
            </w:r>
          </w:p>
        </w:tc>
        <w:tc>
          <w:tcPr>
            <w:tcW w:w="1681" w:type="dxa"/>
            <w:tcBorders>
              <w:top w:val="single" w:sz="4" w:space="0" w:color="auto"/>
              <w:left w:val="single" w:sz="4" w:space="0" w:color="auto"/>
              <w:bottom w:val="single" w:sz="4" w:space="0" w:color="auto"/>
              <w:right w:val="single" w:sz="4" w:space="0" w:color="auto"/>
            </w:tcBorders>
          </w:tcPr>
          <w:p w14:paraId="735EF6E6" w14:textId="482F1930" w:rsidR="0090066D" w:rsidRDefault="0090066D" w:rsidP="0090066D">
            <w:pPr>
              <w:pStyle w:val="Paragraph"/>
              <w:jc w:val="center"/>
              <w:cnfStyle w:val="100000000000" w:firstRow="1" w:lastRow="0" w:firstColumn="0" w:lastColumn="0" w:oddVBand="0" w:evenVBand="0" w:oddHBand="0" w:evenHBand="0" w:firstRowFirstColumn="0" w:firstRowLastColumn="0" w:lastRowFirstColumn="0" w:lastRowLastColumn="0"/>
            </w:pPr>
            <w:r>
              <w:t>Asynchronous Time (s)</w:t>
            </w:r>
          </w:p>
        </w:tc>
      </w:tr>
      <w:tr w:rsidR="0090066D" w14:paraId="4A173F65" w14:textId="77777777" w:rsidTr="00900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auto"/>
            </w:tcBorders>
          </w:tcPr>
          <w:p w14:paraId="42AF6041" w14:textId="475EE6BA" w:rsidR="0090066D" w:rsidRDefault="00A3158F" w:rsidP="00A3158F">
            <w:pPr>
              <w:pStyle w:val="Paragraph"/>
              <w:jc w:val="center"/>
            </w:pPr>
            <w:r>
              <w:t>1</w:t>
            </w:r>
          </w:p>
        </w:tc>
        <w:tc>
          <w:tcPr>
            <w:tcW w:w="1560" w:type="dxa"/>
            <w:tcBorders>
              <w:top w:val="single" w:sz="4" w:space="0" w:color="auto"/>
            </w:tcBorders>
          </w:tcPr>
          <w:p w14:paraId="433E0414" w14:textId="0F223361" w:rsidR="0090066D" w:rsidRDefault="00DB0BD9" w:rsidP="00A3158F">
            <w:pPr>
              <w:pStyle w:val="Paragraph"/>
              <w:jc w:val="center"/>
              <w:cnfStyle w:val="000000100000" w:firstRow="0" w:lastRow="0" w:firstColumn="0" w:lastColumn="0" w:oddVBand="0" w:evenVBand="0" w:oddHBand="1" w:evenHBand="0" w:firstRowFirstColumn="0" w:firstRowLastColumn="0" w:lastRowFirstColumn="0" w:lastRowLastColumn="0"/>
            </w:pPr>
            <w:r>
              <w:t>Single</w:t>
            </w:r>
          </w:p>
        </w:tc>
        <w:tc>
          <w:tcPr>
            <w:tcW w:w="1413" w:type="dxa"/>
            <w:tcBorders>
              <w:top w:val="single" w:sz="4" w:space="0" w:color="auto"/>
            </w:tcBorders>
          </w:tcPr>
          <w:p w14:paraId="3D2F4FE1" w14:textId="2E19B8A0" w:rsidR="0090066D" w:rsidRDefault="00DB0BD9" w:rsidP="00A3158F">
            <w:pPr>
              <w:pStyle w:val="Paragraph"/>
              <w:jc w:val="center"/>
              <w:cnfStyle w:val="000000100000" w:firstRow="0" w:lastRow="0" w:firstColumn="0" w:lastColumn="0" w:oddVBand="0" w:evenVBand="0" w:oddHBand="1" w:evenHBand="0" w:firstRowFirstColumn="0" w:firstRowLastColumn="0" w:lastRowFirstColumn="0" w:lastRowLastColumn="0"/>
            </w:pPr>
            <w:r>
              <w:t>1</w:t>
            </w:r>
          </w:p>
        </w:tc>
        <w:tc>
          <w:tcPr>
            <w:tcW w:w="1413" w:type="dxa"/>
            <w:tcBorders>
              <w:top w:val="single" w:sz="4" w:space="0" w:color="auto"/>
            </w:tcBorders>
          </w:tcPr>
          <w:p w14:paraId="5B1831B2" w14:textId="2BCCA84B" w:rsidR="0090066D" w:rsidRDefault="00DB0BD9" w:rsidP="00A3158F">
            <w:pPr>
              <w:pStyle w:val="Paragraph"/>
              <w:jc w:val="center"/>
              <w:cnfStyle w:val="000000100000" w:firstRow="0" w:lastRow="0" w:firstColumn="0" w:lastColumn="0" w:oddVBand="0" w:evenVBand="0" w:oddHBand="1" w:evenHBand="0" w:firstRowFirstColumn="0" w:firstRowLastColumn="0" w:lastRowFirstColumn="0" w:lastRowLastColumn="0"/>
            </w:pPr>
            <w:r>
              <w:t>1</w:t>
            </w:r>
          </w:p>
        </w:tc>
        <w:tc>
          <w:tcPr>
            <w:tcW w:w="1547" w:type="dxa"/>
            <w:tcBorders>
              <w:top w:val="single" w:sz="4" w:space="0" w:color="auto"/>
            </w:tcBorders>
          </w:tcPr>
          <w:p w14:paraId="4A375407" w14:textId="0D8F7CC8" w:rsidR="0090066D" w:rsidRDefault="00497764" w:rsidP="00A3158F">
            <w:pPr>
              <w:pStyle w:val="Paragraph"/>
              <w:jc w:val="center"/>
              <w:cnfStyle w:val="000000100000" w:firstRow="0" w:lastRow="0" w:firstColumn="0" w:lastColumn="0" w:oddVBand="0" w:evenVBand="0" w:oddHBand="1" w:evenHBand="0" w:firstRowFirstColumn="0" w:firstRowLastColumn="0" w:lastRowFirstColumn="0" w:lastRowLastColumn="0"/>
            </w:pPr>
            <w:r w:rsidRPr="00497764">
              <w:t>5.4841596</w:t>
            </w:r>
          </w:p>
        </w:tc>
        <w:tc>
          <w:tcPr>
            <w:tcW w:w="1681" w:type="dxa"/>
            <w:tcBorders>
              <w:top w:val="single" w:sz="4" w:space="0" w:color="auto"/>
            </w:tcBorders>
          </w:tcPr>
          <w:p w14:paraId="479F6CA1" w14:textId="74E3649D" w:rsidR="0090066D" w:rsidRDefault="00497764" w:rsidP="00A3158F">
            <w:pPr>
              <w:pStyle w:val="Paragraph"/>
              <w:jc w:val="center"/>
              <w:cnfStyle w:val="000000100000" w:firstRow="0" w:lastRow="0" w:firstColumn="0" w:lastColumn="0" w:oddVBand="0" w:evenVBand="0" w:oddHBand="1" w:evenHBand="0" w:firstRowFirstColumn="0" w:firstRowLastColumn="0" w:lastRowFirstColumn="0" w:lastRowLastColumn="0"/>
            </w:pPr>
            <w:r w:rsidRPr="00497764">
              <w:t>3.1109451</w:t>
            </w:r>
          </w:p>
        </w:tc>
      </w:tr>
      <w:tr w:rsidR="0090066D" w14:paraId="4704C9F9" w14:textId="77777777" w:rsidTr="0090066D">
        <w:tc>
          <w:tcPr>
            <w:cnfStyle w:val="001000000000" w:firstRow="0" w:lastRow="0" w:firstColumn="1" w:lastColumn="0" w:oddVBand="0" w:evenVBand="0" w:oddHBand="0" w:evenHBand="0" w:firstRowFirstColumn="0" w:firstRowLastColumn="0" w:lastRowFirstColumn="0" w:lastRowLastColumn="0"/>
            <w:tcW w:w="655" w:type="dxa"/>
          </w:tcPr>
          <w:p w14:paraId="78E7D689" w14:textId="1EC6464A" w:rsidR="0090066D" w:rsidRDefault="00A3158F" w:rsidP="00A3158F">
            <w:pPr>
              <w:pStyle w:val="Paragraph"/>
              <w:jc w:val="center"/>
            </w:pPr>
            <w:r>
              <w:t>2</w:t>
            </w:r>
          </w:p>
        </w:tc>
        <w:tc>
          <w:tcPr>
            <w:tcW w:w="1560" w:type="dxa"/>
          </w:tcPr>
          <w:p w14:paraId="3160D3ED" w14:textId="32BF6B4F" w:rsidR="0090066D" w:rsidRDefault="00DB0BD9" w:rsidP="00A3158F">
            <w:pPr>
              <w:pStyle w:val="Paragraph"/>
              <w:jc w:val="center"/>
              <w:cnfStyle w:val="000000000000" w:firstRow="0" w:lastRow="0" w:firstColumn="0" w:lastColumn="0" w:oddVBand="0" w:evenVBand="0" w:oddHBand="0" w:evenHBand="0" w:firstRowFirstColumn="0" w:firstRowLastColumn="0" w:lastRowFirstColumn="0" w:lastRowLastColumn="0"/>
            </w:pPr>
            <w:r>
              <w:t>Single</w:t>
            </w:r>
          </w:p>
        </w:tc>
        <w:tc>
          <w:tcPr>
            <w:tcW w:w="1413" w:type="dxa"/>
          </w:tcPr>
          <w:p w14:paraId="6AAF00BD" w14:textId="594BA82A" w:rsidR="0090066D" w:rsidRDefault="00DB0BD9" w:rsidP="00A3158F">
            <w:pPr>
              <w:pStyle w:val="Paragraph"/>
              <w:jc w:val="center"/>
              <w:cnfStyle w:val="000000000000" w:firstRow="0" w:lastRow="0" w:firstColumn="0" w:lastColumn="0" w:oddVBand="0" w:evenVBand="0" w:oddHBand="0" w:evenHBand="0" w:firstRowFirstColumn="0" w:firstRowLastColumn="0" w:lastRowFirstColumn="0" w:lastRowLastColumn="0"/>
            </w:pPr>
            <w:r>
              <w:t>32</w:t>
            </w:r>
          </w:p>
        </w:tc>
        <w:tc>
          <w:tcPr>
            <w:tcW w:w="1413" w:type="dxa"/>
          </w:tcPr>
          <w:p w14:paraId="56BC441A" w14:textId="467F357D" w:rsidR="0090066D" w:rsidRDefault="00DB0BD9" w:rsidP="00A3158F">
            <w:pPr>
              <w:pStyle w:val="Paragraph"/>
              <w:jc w:val="center"/>
              <w:cnfStyle w:val="000000000000" w:firstRow="0" w:lastRow="0" w:firstColumn="0" w:lastColumn="0" w:oddVBand="0" w:evenVBand="0" w:oddHBand="0" w:evenHBand="0" w:firstRowFirstColumn="0" w:firstRowLastColumn="0" w:lastRowFirstColumn="0" w:lastRowLastColumn="0"/>
            </w:pPr>
            <w:r>
              <w:t>1</w:t>
            </w:r>
          </w:p>
        </w:tc>
        <w:tc>
          <w:tcPr>
            <w:tcW w:w="1547" w:type="dxa"/>
          </w:tcPr>
          <w:p w14:paraId="0F8D7370" w14:textId="382CCD5C" w:rsidR="0090066D" w:rsidRDefault="002A2E66" w:rsidP="00A3158F">
            <w:pPr>
              <w:pStyle w:val="Paragraph"/>
              <w:jc w:val="center"/>
              <w:cnfStyle w:val="000000000000" w:firstRow="0" w:lastRow="0" w:firstColumn="0" w:lastColumn="0" w:oddVBand="0" w:evenVBand="0" w:oddHBand="0" w:evenHBand="0" w:firstRowFirstColumn="0" w:firstRowLastColumn="0" w:lastRowFirstColumn="0" w:lastRowLastColumn="0"/>
            </w:pPr>
            <w:r w:rsidRPr="002A2E66">
              <w:t>4.5342732</w:t>
            </w:r>
          </w:p>
        </w:tc>
        <w:tc>
          <w:tcPr>
            <w:tcW w:w="1681" w:type="dxa"/>
          </w:tcPr>
          <w:p w14:paraId="409248EF" w14:textId="692933C1" w:rsidR="0090066D" w:rsidRDefault="002A2E66" w:rsidP="00A3158F">
            <w:pPr>
              <w:pStyle w:val="Paragraph"/>
              <w:jc w:val="center"/>
              <w:cnfStyle w:val="000000000000" w:firstRow="0" w:lastRow="0" w:firstColumn="0" w:lastColumn="0" w:oddVBand="0" w:evenVBand="0" w:oddHBand="0" w:evenHBand="0" w:firstRowFirstColumn="0" w:firstRowLastColumn="0" w:lastRowFirstColumn="0" w:lastRowLastColumn="0"/>
            </w:pPr>
            <w:r w:rsidRPr="002A2E66">
              <w:t>4.4764453</w:t>
            </w:r>
          </w:p>
        </w:tc>
      </w:tr>
      <w:tr w:rsidR="0090066D" w14:paraId="72D490CA" w14:textId="77777777" w:rsidTr="00900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Pr>
          <w:p w14:paraId="1DC5246F" w14:textId="37833AC2" w:rsidR="0090066D" w:rsidRDefault="00A3158F" w:rsidP="00A3158F">
            <w:pPr>
              <w:pStyle w:val="Paragraph"/>
              <w:jc w:val="center"/>
            </w:pPr>
            <w:r>
              <w:t>3</w:t>
            </w:r>
          </w:p>
        </w:tc>
        <w:tc>
          <w:tcPr>
            <w:tcW w:w="1560" w:type="dxa"/>
          </w:tcPr>
          <w:p w14:paraId="1963D167" w14:textId="3F8F44E4" w:rsidR="0090066D" w:rsidRDefault="00DB0BD9" w:rsidP="00A3158F">
            <w:pPr>
              <w:pStyle w:val="Paragraph"/>
              <w:jc w:val="center"/>
              <w:cnfStyle w:val="000000100000" w:firstRow="0" w:lastRow="0" w:firstColumn="0" w:lastColumn="0" w:oddVBand="0" w:evenVBand="0" w:oddHBand="1" w:evenHBand="0" w:firstRowFirstColumn="0" w:firstRowLastColumn="0" w:lastRowFirstColumn="0" w:lastRowLastColumn="0"/>
            </w:pPr>
            <w:r>
              <w:t>Single</w:t>
            </w:r>
          </w:p>
        </w:tc>
        <w:tc>
          <w:tcPr>
            <w:tcW w:w="1413" w:type="dxa"/>
          </w:tcPr>
          <w:p w14:paraId="25651AAF" w14:textId="1933DB46" w:rsidR="0090066D" w:rsidRDefault="00DB0BD9" w:rsidP="00A3158F">
            <w:pPr>
              <w:pStyle w:val="Paragraph"/>
              <w:jc w:val="center"/>
              <w:cnfStyle w:val="000000100000" w:firstRow="0" w:lastRow="0" w:firstColumn="0" w:lastColumn="0" w:oddVBand="0" w:evenVBand="0" w:oddHBand="1" w:evenHBand="0" w:firstRowFirstColumn="0" w:firstRowLastColumn="0" w:lastRowFirstColumn="0" w:lastRowLastColumn="0"/>
            </w:pPr>
            <w:r>
              <w:t>1</w:t>
            </w:r>
          </w:p>
        </w:tc>
        <w:tc>
          <w:tcPr>
            <w:tcW w:w="1413" w:type="dxa"/>
          </w:tcPr>
          <w:p w14:paraId="32BD833E" w14:textId="5AE2BBCC" w:rsidR="0090066D" w:rsidRDefault="00DB0BD9" w:rsidP="00A3158F">
            <w:pPr>
              <w:pStyle w:val="Paragraph"/>
              <w:jc w:val="center"/>
              <w:cnfStyle w:val="000000100000" w:firstRow="0" w:lastRow="0" w:firstColumn="0" w:lastColumn="0" w:oddVBand="0" w:evenVBand="0" w:oddHBand="1" w:evenHBand="0" w:firstRowFirstColumn="0" w:firstRowLastColumn="0" w:lastRowFirstColumn="0" w:lastRowLastColumn="0"/>
            </w:pPr>
            <w:r>
              <w:t>32</w:t>
            </w:r>
          </w:p>
        </w:tc>
        <w:tc>
          <w:tcPr>
            <w:tcW w:w="1547" w:type="dxa"/>
          </w:tcPr>
          <w:p w14:paraId="2B60A8EF" w14:textId="2B098594" w:rsidR="0090066D" w:rsidRDefault="00776DCC" w:rsidP="00A3158F">
            <w:pPr>
              <w:pStyle w:val="Paragraph"/>
              <w:jc w:val="center"/>
              <w:cnfStyle w:val="000000100000" w:firstRow="0" w:lastRow="0" w:firstColumn="0" w:lastColumn="0" w:oddVBand="0" w:evenVBand="0" w:oddHBand="1" w:evenHBand="0" w:firstRowFirstColumn="0" w:firstRowLastColumn="0" w:lastRowFirstColumn="0" w:lastRowLastColumn="0"/>
            </w:pPr>
            <w:r w:rsidRPr="00776DCC">
              <w:t>4.5110034</w:t>
            </w:r>
          </w:p>
        </w:tc>
        <w:tc>
          <w:tcPr>
            <w:tcW w:w="1681" w:type="dxa"/>
          </w:tcPr>
          <w:p w14:paraId="363D9046" w14:textId="79DDF40E" w:rsidR="0090066D" w:rsidRDefault="00776DCC" w:rsidP="00A3158F">
            <w:pPr>
              <w:pStyle w:val="Paragraph"/>
              <w:jc w:val="center"/>
              <w:cnfStyle w:val="000000100000" w:firstRow="0" w:lastRow="0" w:firstColumn="0" w:lastColumn="0" w:oddVBand="0" w:evenVBand="0" w:oddHBand="1" w:evenHBand="0" w:firstRowFirstColumn="0" w:firstRowLastColumn="0" w:lastRowFirstColumn="0" w:lastRowLastColumn="0"/>
            </w:pPr>
            <w:r w:rsidRPr="00776DCC">
              <w:t>3.4880489</w:t>
            </w:r>
          </w:p>
        </w:tc>
      </w:tr>
      <w:tr w:rsidR="0090066D" w14:paraId="017FB3FC" w14:textId="77777777" w:rsidTr="0090066D">
        <w:tc>
          <w:tcPr>
            <w:cnfStyle w:val="001000000000" w:firstRow="0" w:lastRow="0" w:firstColumn="1" w:lastColumn="0" w:oddVBand="0" w:evenVBand="0" w:oddHBand="0" w:evenHBand="0" w:firstRowFirstColumn="0" w:firstRowLastColumn="0" w:lastRowFirstColumn="0" w:lastRowLastColumn="0"/>
            <w:tcW w:w="655" w:type="dxa"/>
          </w:tcPr>
          <w:p w14:paraId="5FC37A89" w14:textId="4071EEF5" w:rsidR="0090066D" w:rsidRDefault="00A3158F" w:rsidP="00A3158F">
            <w:pPr>
              <w:pStyle w:val="Paragraph"/>
              <w:jc w:val="center"/>
            </w:pPr>
            <w:r>
              <w:t>4</w:t>
            </w:r>
          </w:p>
        </w:tc>
        <w:tc>
          <w:tcPr>
            <w:tcW w:w="1560" w:type="dxa"/>
          </w:tcPr>
          <w:p w14:paraId="73792ADB" w14:textId="26E13681" w:rsidR="0090066D" w:rsidRDefault="00DB0BD9" w:rsidP="00A3158F">
            <w:pPr>
              <w:pStyle w:val="Paragraph"/>
              <w:jc w:val="center"/>
              <w:cnfStyle w:val="000000000000" w:firstRow="0" w:lastRow="0" w:firstColumn="0" w:lastColumn="0" w:oddVBand="0" w:evenVBand="0" w:oddHBand="0" w:evenHBand="0" w:firstRowFirstColumn="0" w:firstRowLastColumn="0" w:lastRowFirstColumn="0" w:lastRowLastColumn="0"/>
            </w:pPr>
            <w:r>
              <w:t>Single</w:t>
            </w:r>
          </w:p>
        </w:tc>
        <w:tc>
          <w:tcPr>
            <w:tcW w:w="1413" w:type="dxa"/>
          </w:tcPr>
          <w:p w14:paraId="0A6E121E" w14:textId="32F256AC" w:rsidR="0090066D" w:rsidRDefault="00DB0BD9" w:rsidP="00A3158F">
            <w:pPr>
              <w:pStyle w:val="Paragraph"/>
              <w:jc w:val="center"/>
              <w:cnfStyle w:val="000000000000" w:firstRow="0" w:lastRow="0" w:firstColumn="0" w:lastColumn="0" w:oddVBand="0" w:evenVBand="0" w:oddHBand="0" w:evenHBand="0" w:firstRowFirstColumn="0" w:firstRowLastColumn="0" w:lastRowFirstColumn="0" w:lastRowLastColumn="0"/>
            </w:pPr>
            <w:r>
              <w:t>32</w:t>
            </w:r>
          </w:p>
        </w:tc>
        <w:tc>
          <w:tcPr>
            <w:tcW w:w="1413" w:type="dxa"/>
          </w:tcPr>
          <w:p w14:paraId="3BB9B46F" w14:textId="45A53ED8" w:rsidR="0090066D" w:rsidRDefault="00DB0BD9" w:rsidP="00A3158F">
            <w:pPr>
              <w:pStyle w:val="Paragraph"/>
              <w:jc w:val="center"/>
              <w:cnfStyle w:val="000000000000" w:firstRow="0" w:lastRow="0" w:firstColumn="0" w:lastColumn="0" w:oddVBand="0" w:evenVBand="0" w:oddHBand="0" w:evenHBand="0" w:firstRowFirstColumn="0" w:firstRowLastColumn="0" w:lastRowFirstColumn="0" w:lastRowLastColumn="0"/>
            </w:pPr>
            <w:r>
              <w:t>32</w:t>
            </w:r>
          </w:p>
        </w:tc>
        <w:tc>
          <w:tcPr>
            <w:tcW w:w="1547" w:type="dxa"/>
          </w:tcPr>
          <w:p w14:paraId="5E4BCE41" w14:textId="391BD16F" w:rsidR="0090066D" w:rsidRDefault="00776DCC" w:rsidP="00A3158F">
            <w:pPr>
              <w:pStyle w:val="Paragraph"/>
              <w:jc w:val="center"/>
              <w:cnfStyle w:val="000000000000" w:firstRow="0" w:lastRow="0" w:firstColumn="0" w:lastColumn="0" w:oddVBand="0" w:evenVBand="0" w:oddHBand="0" w:evenHBand="0" w:firstRowFirstColumn="0" w:firstRowLastColumn="0" w:lastRowFirstColumn="0" w:lastRowLastColumn="0"/>
            </w:pPr>
            <w:r w:rsidRPr="00776DCC">
              <w:t>4.6642406</w:t>
            </w:r>
          </w:p>
        </w:tc>
        <w:tc>
          <w:tcPr>
            <w:tcW w:w="1681" w:type="dxa"/>
          </w:tcPr>
          <w:p w14:paraId="1D347BD7" w14:textId="19424D12" w:rsidR="0090066D" w:rsidRDefault="00776DCC" w:rsidP="00A3158F">
            <w:pPr>
              <w:pStyle w:val="Paragraph"/>
              <w:jc w:val="center"/>
              <w:cnfStyle w:val="000000000000" w:firstRow="0" w:lastRow="0" w:firstColumn="0" w:lastColumn="0" w:oddVBand="0" w:evenVBand="0" w:oddHBand="0" w:evenHBand="0" w:firstRowFirstColumn="0" w:firstRowLastColumn="0" w:lastRowFirstColumn="0" w:lastRowLastColumn="0"/>
            </w:pPr>
            <w:r w:rsidRPr="00776DCC">
              <w:t>3.4156655</w:t>
            </w:r>
          </w:p>
        </w:tc>
      </w:tr>
      <w:tr w:rsidR="0090066D" w14:paraId="757A19BC" w14:textId="77777777" w:rsidTr="00900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Pr>
          <w:p w14:paraId="7617ACF4" w14:textId="6DE8F59B" w:rsidR="0090066D" w:rsidRDefault="00A3158F" w:rsidP="00A3158F">
            <w:pPr>
              <w:pStyle w:val="Paragraph"/>
              <w:jc w:val="center"/>
            </w:pPr>
            <w:r>
              <w:t>5</w:t>
            </w:r>
          </w:p>
        </w:tc>
        <w:tc>
          <w:tcPr>
            <w:tcW w:w="1560" w:type="dxa"/>
          </w:tcPr>
          <w:p w14:paraId="0552F877" w14:textId="01A01DC1" w:rsidR="004270DA" w:rsidRDefault="004270DA" w:rsidP="004270DA">
            <w:pPr>
              <w:pStyle w:val="Paragraph"/>
              <w:jc w:val="center"/>
              <w:cnfStyle w:val="000000100000" w:firstRow="0" w:lastRow="0" w:firstColumn="0" w:lastColumn="0" w:oddVBand="0" w:evenVBand="0" w:oddHBand="1" w:evenHBand="0" w:firstRowFirstColumn="0" w:firstRowLastColumn="0" w:lastRowFirstColumn="0" w:lastRowLastColumn="0"/>
            </w:pPr>
            <w:r>
              <w:t>Multiple</w:t>
            </w:r>
          </w:p>
        </w:tc>
        <w:tc>
          <w:tcPr>
            <w:tcW w:w="1413" w:type="dxa"/>
          </w:tcPr>
          <w:p w14:paraId="5B12AF64" w14:textId="5F8FA718" w:rsidR="0090066D" w:rsidRDefault="004270DA" w:rsidP="00A3158F">
            <w:pPr>
              <w:pStyle w:val="Paragraph"/>
              <w:jc w:val="center"/>
              <w:cnfStyle w:val="000000100000" w:firstRow="0" w:lastRow="0" w:firstColumn="0" w:lastColumn="0" w:oddVBand="0" w:evenVBand="0" w:oddHBand="1" w:evenHBand="0" w:firstRowFirstColumn="0" w:firstRowLastColumn="0" w:lastRowFirstColumn="0" w:lastRowLastColumn="0"/>
            </w:pPr>
            <w:r>
              <w:t>1</w:t>
            </w:r>
          </w:p>
        </w:tc>
        <w:tc>
          <w:tcPr>
            <w:tcW w:w="1413" w:type="dxa"/>
          </w:tcPr>
          <w:p w14:paraId="76DF7813" w14:textId="250A2DD2" w:rsidR="0090066D" w:rsidRDefault="004270DA" w:rsidP="00A3158F">
            <w:pPr>
              <w:pStyle w:val="Paragraph"/>
              <w:jc w:val="center"/>
              <w:cnfStyle w:val="000000100000" w:firstRow="0" w:lastRow="0" w:firstColumn="0" w:lastColumn="0" w:oddVBand="0" w:evenVBand="0" w:oddHBand="1" w:evenHBand="0" w:firstRowFirstColumn="0" w:firstRowLastColumn="0" w:lastRowFirstColumn="0" w:lastRowLastColumn="0"/>
            </w:pPr>
            <w:r>
              <w:t>1</w:t>
            </w:r>
          </w:p>
        </w:tc>
        <w:tc>
          <w:tcPr>
            <w:tcW w:w="1547" w:type="dxa"/>
          </w:tcPr>
          <w:p w14:paraId="760E6E8E" w14:textId="5F1DA313" w:rsidR="0090066D" w:rsidRDefault="00776DCC" w:rsidP="00A3158F">
            <w:pPr>
              <w:pStyle w:val="Paragraph"/>
              <w:jc w:val="center"/>
              <w:cnfStyle w:val="000000100000" w:firstRow="0" w:lastRow="0" w:firstColumn="0" w:lastColumn="0" w:oddVBand="0" w:evenVBand="0" w:oddHBand="1" w:evenHBand="0" w:firstRowFirstColumn="0" w:firstRowLastColumn="0" w:lastRowFirstColumn="0" w:lastRowLastColumn="0"/>
            </w:pPr>
            <w:r w:rsidRPr="00776DCC">
              <w:t>4.7430622</w:t>
            </w:r>
          </w:p>
        </w:tc>
        <w:tc>
          <w:tcPr>
            <w:tcW w:w="1681" w:type="dxa"/>
          </w:tcPr>
          <w:p w14:paraId="22B42EF4" w14:textId="0DE68C3F" w:rsidR="0090066D" w:rsidRDefault="00776DCC" w:rsidP="00A3158F">
            <w:pPr>
              <w:pStyle w:val="Paragraph"/>
              <w:jc w:val="center"/>
              <w:cnfStyle w:val="000000100000" w:firstRow="0" w:lastRow="0" w:firstColumn="0" w:lastColumn="0" w:oddVBand="0" w:evenVBand="0" w:oddHBand="1" w:evenHBand="0" w:firstRowFirstColumn="0" w:firstRowLastColumn="0" w:lastRowFirstColumn="0" w:lastRowLastColumn="0"/>
            </w:pPr>
            <w:r w:rsidRPr="00776DCC">
              <w:t>3.8245755</w:t>
            </w:r>
          </w:p>
        </w:tc>
      </w:tr>
      <w:tr w:rsidR="0090066D" w14:paraId="2DCC7F41" w14:textId="77777777" w:rsidTr="0090066D">
        <w:tc>
          <w:tcPr>
            <w:cnfStyle w:val="001000000000" w:firstRow="0" w:lastRow="0" w:firstColumn="1" w:lastColumn="0" w:oddVBand="0" w:evenVBand="0" w:oddHBand="0" w:evenHBand="0" w:firstRowFirstColumn="0" w:firstRowLastColumn="0" w:lastRowFirstColumn="0" w:lastRowLastColumn="0"/>
            <w:tcW w:w="655" w:type="dxa"/>
          </w:tcPr>
          <w:p w14:paraId="283E6B4F" w14:textId="1D233BE3" w:rsidR="0090066D" w:rsidRDefault="00A3158F" w:rsidP="00A3158F">
            <w:pPr>
              <w:pStyle w:val="Paragraph"/>
              <w:jc w:val="center"/>
            </w:pPr>
            <w:r>
              <w:t>6</w:t>
            </w:r>
          </w:p>
        </w:tc>
        <w:tc>
          <w:tcPr>
            <w:tcW w:w="1560" w:type="dxa"/>
          </w:tcPr>
          <w:p w14:paraId="7DA78040" w14:textId="202CA990" w:rsidR="0090066D" w:rsidRDefault="004270DA" w:rsidP="00A3158F">
            <w:pPr>
              <w:pStyle w:val="Paragraph"/>
              <w:jc w:val="center"/>
              <w:cnfStyle w:val="000000000000" w:firstRow="0" w:lastRow="0" w:firstColumn="0" w:lastColumn="0" w:oddVBand="0" w:evenVBand="0" w:oddHBand="0" w:evenHBand="0" w:firstRowFirstColumn="0" w:firstRowLastColumn="0" w:lastRowFirstColumn="0" w:lastRowLastColumn="0"/>
            </w:pPr>
            <w:r>
              <w:t>Multiple</w:t>
            </w:r>
          </w:p>
        </w:tc>
        <w:tc>
          <w:tcPr>
            <w:tcW w:w="1413" w:type="dxa"/>
          </w:tcPr>
          <w:p w14:paraId="1DF00D31" w14:textId="34F9176D" w:rsidR="0090066D" w:rsidRDefault="004270DA" w:rsidP="00A3158F">
            <w:pPr>
              <w:pStyle w:val="Paragraph"/>
              <w:jc w:val="center"/>
              <w:cnfStyle w:val="000000000000" w:firstRow="0" w:lastRow="0" w:firstColumn="0" w:lastColumn="0" w:oddVBand="0" w:evenVBand="0" w:oddHBand="0" w:evenHBand="0" w:firstRowFirstColumn="0" w:firstRowLastColumn="0" w:lastRowFirstColumn="0" w:lastRowLastColumn="0"/>
            </w:pPr>
            <w:r>
              <w:t>32</w:t>
            </w:r>
          </w:p>
        </w:tc>
        <w:tc>
          <w:tcPr>
            <w:tcW w:w="1413" w:type="dxa"/>
          </w:tcPr>
          <w:p w14:paraId="1D36C0AF" w14:textId="53048365" w:rsidR="0090066D" w:rsidRDefault="004270DA" w:rsidP="00A3158F">
            <w:pPr>
              <w:pStyle w:val="Paragraph"/>
              <w:jc w:val="center"/>
              <w:cnfStyle w:val="000000000000" w:firstRow="0" w:lastRow="0" w:firstColumn="0" w:lastColumn="0" w:oddVBand="0" w:evenVBand="0" w:oddHBand="0" w:evenHBand="0" w:firstRowFirstColumn="0" w:firstRowLastColumn="0" w:lastRowFirstColumn="0" w:lastRowLastColumn="0"/>
            </w:pPr>
            <w:r>
              <w:t>1</w:t>
            </w:r>
          </w:p>
        </w:tc>
        <w:tc>
          <w:tcPr>
            <w:tcW w:w="1547" w:type="dxa"/>
          </w:tcPr>
          <w:p w14:paraId="588AAFAC" w14:textId="1A7ACBAE" w:rsidR="0090066D" w:rsidRDefault="00776DCC" w:rsidP="00A3158F">
            <w:pPr>
              <w:pStyle w:val="Paragraph"/>
              <w:jc w:val="center"/>
              <w:cnfStyle w:val="000000000000" w:firstRow="0" w:lastRow="0" w:firstColumn="0" w:lastColumn="0" w:oddVBand="0" w:evenVBand="0" w:oddHBand="0" w:evenHBand="0" w:firstRowFirstColumn="0" w:firstRowLastColumn="0" w:lastRowFirstColumn="0" w:lastRowLastColumn="0"/>
            </w:pPr>
            <w:r w:rsidRPr="00776DCC">
              <w:t>4.4457601</w:t>
            </w:r>
          </w:p>
        </w:tc>
        <w:tc>
          <w:tcPr>
            <w:tcW w:w="1681" w:type="dxa"/>
          </w:tcPr>
          <w:p w14:paraId="5B8238DE" w14:textId="1B66D701" w:rsidR="0090066D" w:rsidRDefault="00776DCC" w:rsidP="00A3158F">
            <w:pPr>
              <w:pStyle w:val="Paragraph"/>
              <w:jc w:val="center"/>
              <w:cnfStyle w:val="000000000000" w:firstRow="0" w:lastRow="0" w:firstColumn="0" w:lastColumn="0" w:oddVBand="0" w:evenVBand="0" w:oddHBand="0" w:evenHBand="0" w:firstRowFirstColumn="0" w:firstRowLastColumn="0" w:lastRowFirstColumn="0" w:lastRowLastColumn="0"/>
            </w:pPr>
            <w:r w:rsidRPr="00776DCC">
              <w:t>3.4779633</w:t>
            </w:r>
          </w:p>
        </w:tc>
      </w:tr>
      <w:tr w:rsidR="004270DA" w14:paraId="19077532" w14:textId="77777777" w:rsidTr="00900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Pr>
          <w:p w14:paraId="6A9ABED0" w14:textId="082BE120" w:rsidR="004270DA" w:rsidRDefault="004270DA" w:rsidP="00A3158F">
            <w:pPr>
              <w:pStyle w:val="Paragraph"/>
              <w:jc w:val="center"/>
            </w:pPr>
            <w:r>
              <w:t>7</w:t>
            </w:r>
          </w:p>
        </w:tc>
        <w:tc>
          <w:tcPr>
            <w:tcW w:w="1560" w:type="dxa"/>
          </w:tcPr>
          <w:p w14:paraId="4D971F8F" w14:textId="3CE9DB1A" w:rsidR="004270DA" w:rsidRDefault="004270DA" w:rsidP="00A3158F">
            <w:pPr>
              <w:pStyle w:val="Paragraph"/>
              <w:jc w:val="center"/>
              <w:cnfStyle w:val="000000100000" w:firstRow="0" w:lastRow="0" w:firstColumn="0" w:lastColumn="0" w:oddVBand="0" w:evenVBand="0" w:oddHBand="1" w:evenHBand="0" w:firstRowFirstColumn="0" w:firstRowLastColumn="0" w:lastRowFirstColumn="0" w:lastRowLastColumn="0"/>
            </w:pPr>
            <w:r>
              <w:t>Multiple</w:t>
            </w:r>
          </w:p>
        </w:tc>
        <w:tc>
          <w:tcPr>
            <w:tcW w:w="1413" w:type="dxa"/>
          </w:tcPr>
          <w:p w14:paraId="39A27D4D" w14:textId="6F318883" w:rsidR="004270DA" w:rsidRDefault="004270DA" w:rsidP="00A3158F">
            <w:pPr>
              <w:pStyle w:val="Paragraph"/>
              <w:jc w:val="center"/>
              <w:cnfStyle w:val="000000100000" w:firstRow="0" w:lastRow="0" w:firstColumn="0" w:lastColumn="0" w:oddVBand="0" w:evenVBand="0" w:oddHBand="1" w:evenHBand="0" w:firstRowFirstColumn="0" w:firstRowLastColumn="0" w:lastRowFirstColumn="0" w:lastRowLastColumn="0"/>
            </w:pPr>
            <w:r>
              <w:t>1</w:t>
            </w:r>
          </w:p>
        </w:tc>
        <w:tc>
          <w:tcPr>
            <w:tcW w:w="1413" w:type="dxa"/>
          </w:tcPr>
          <w:p w14:paraId="29ADD056" w14:textId="25B5FCCE" w:rsidR="004270DA" w:rsidRDefault="004270DA" w:rsidP="00A3158F">
            <w:pPr>
              <w:pStyle w:val="Paragraph"/>
              <w:jc w:val="center"/>
              <w:cnfStyle w:val="000000100000" w:firstRow="0" w:lastRow="0" w:firstColumn="0" w:lastColumn="0" w:oddVBand="0" w:evenVBand="0" w:oddHBand="1" w:evenHBand="0" w:firstRowFirstColumn="0" w:firstRowLastColumn="0" w:lastRowFirstColumn="0" w:lastRowLastColumn="0"/>
            </w:pPr>
            <w:r>
              <w:t>32</w:t>
            </w:r>
          </w:p>
        </w:tc>
        <w:tc>
          <w:tcPr>
            <w:tcW w:w="1547" w:type="dxa"/>
          </w:tcPr>
          <w:p w14:paraId="0C1E3329" w14:textId="08ED05C7" w:rsidR="004270DA" w:rsidRDefault="00776DCC" w:rsidP="00A3158F">
            <w:pPr>
              <w:pStyle w:val="Paragraph"/>
              <w:jc w:val="center"/>
              <w:cnfStyle w:val="000000100000" w:firstRow="0" w:lastRow="0" w:firstColumn="0" w:lastColumn="0" w:oddVBand="0" w:evenVBand="0" w:oddHBand="1" w:evenHBand="0" w:firstRowFirstColumn="0" w:firstRowLastColumn="0" w:lastRowFirstColumn="0" w:lastRowLastColumn="0"/>
            </w:pPr>
            <w:r w:rsidRPr="00776DCC">
              <w:t>4.3398398</w:t>
            </w:r>
          </w:p>
        </w:tc>
        <w:tc>
          <w:tcPr>
            <w:tcW w:w="1681" w:type="dxa"/>
          </w:tcPr>
          <w:p w14:paraId="7D9D5D0B" w14:textId="0E552EE4" w:rsidR="004270DA" w:rsidRDefault="00776DCC" w:rsidP="00A3158F">
            <w:pPr>
              <w:pStyle w:val="Paragraph"/>
              <w:jc w:val="center"/>
              <w:cnfStyle w:val="000000100000" w:firstRow="0" w:lastRow="0" w:firstColumn="0" w:lastColumn="0" w:oddVBand="0" w:evenVBand="0" w:oddHBand="1" w:evenHBand="0" w:firstRowFirstColumn="0" w:firstRowLastColumn="0" w:lastRowFirstColumn="0" w:lastRowLastColumn="0"/>
            </w:pPr>
            <w:r w:rsidRPr="00776DCC">
              <w:t>3.440013</w:t>
            </w:r>
          </w:p>
        </w:tc>
      </w:tr>
      <w:tr w:rsidR="004270DA" w14:paraId="548B89A2" w14:textId="77777777" w:rsidTr="0090066D">
        <w:tc>
          <w:tcPr>
            <w:cnfStyle w:val="001000000000" w:firstRow="0" w:lastRow="0" w:firstColumn="1" w:lastColumn="0" w:oddVBand="0" w:evenVBand="0" w:oddHBand="0" w:evenHBand="0" w:firstRowFirstColumn="0" w:firstRowLastColumn="0" w:lastRowFirstColumn="0" w:lastRowLastColumn="0"/>
            <w:tcW w:w="655" w:type="dxa"/>
          </w:tcPr>
          <w:p w14:paraId="6757D397" w14:textId="166830DD" w:rsidR="004270DA" w:rsidRDefault="004270DA" w:rsidP="00A3158F">
            <w:pPr>
              <w:pStyle w:val="Paragraph"/>
              <w:jc w:val="center"/>
            </w:pPr>
            <w:r>
              <w:t>8</w:t>
            </w:r>
          </w:p>
        </w:tc>
        <w:tc>
          <w:tcPr>
            <w:tcW w:w="1560" w:type="dxa"/>
          </w:tcPr>
          <w:p w14:paraId="2F5D3840" w14:textId="3CE95C88" w:rsidR="004270DA" w:rsidRDefault="004270DA" w:rsidP="00A3158F">
            <w:pPr>
              <w:pStyle w:val="Paragraph"/>
              <w:jc w:val="center"/>
              <w:cnfStyle w:val="000000000000" w:firstRow="0" w:lastRow="0" w:firstColumn="0" w:lastColumn="0" w:oddVBand="0" w:evenVBand="0" w:oddHBand="0" w:evenHBand="0" w:firstRowFirstColumn="0" w:firstRowLastColumn="0" w:lastRowFirstColumn="0" w:lastRowLastColumn="0"/>
            </w:pPr>
            <w:r>
              <w:t>Multiple</w:t>
            </w:r>
          </w:p>
        </w:tc>
        <w:tc>
          <w:tcPr>
            <w:tcW w:w="1413" w:type="dxa"/>
          </w:tcPr>
          <w:p w14:paraId="2643B469" w14:textId="6F143760" w:rsidR="004270DA" w:rsidRDefault="004270DA" w:rsidP="00A3158F">
            <w:pPr>
              <w:pStyle w:val="Paragraph"/>
              <w:jc w:val="center"/>
              <w:cnfStyle w:val="000000000000" w:firstRow="0" w:lastRow="0" w:firstColumn="0" w:lastColumn="0" w:oddVBand="0" w:evenVBand="0" w:oddHBand="0" w:evenHBand="0" w:firstRowFirstColumn="0" w:firstRowLastColumn="0" w:lastRowFirstColumn="0" w:lastRowLastColumn="0"/>
            </w:pPr>
            <w:r>
              <w:t>32</w:t>
            </w:r>
          </w:p>
        </w:tc>
        <w:tc>
          <w:tcPr>
            <w:tcW w:w="1413" w:type="dxa"/>
          </w:tcPr>
          <w:p w14:paraId="0E6CECB9" w14:textId="2EE77131" w:rsidR="004270DA" w:rsidRDefault="004270DA" w:rsidP="00A3158F">
            <w:pPr>
              <w:pStyle w:val="Paragraph"/>
              <w:jc w:val="center"/>
              <w:cnfStyle w:val="000000000000" w:firstRow="0" w:lastRow="0" w:firstColumn="0" w:lastColumn="0" w:oddVBand="0" w:evenVBand="0" w:oddHBand="0" w:evenHBand="0" w:firstRowFirstColumn="0" w:firstRowLastColumn="0" w:lastRowFirstColumn="0" w:lastRowLastColumn="0"/>
            </w:pPr>
            <w:r>
              <w:t>32</w:t>
            </w:r>
          </w:p>
        </w:tc>
        <w:tc>
          <w:tcPr>
            <w:tcW w:w="1547" w:type="dxa"/>
          </w:tcPr>
          <w:p w14:paraId="03C2411D" w14:textId="227E950C" w:rsidR="004270DA" w:rsidRDefault="00776DCC" w:rsidP="00A3158F">
            <w:pPr>
              <w:pStyle w:val="Paragraph"/>
              <w:jc w:val="center"/>
              <w:cnfStyle w:val="000000000000" w:firstRow="0" w:lastRow="0" w:firstColumn="0" w:lastColumn="0" w:oddVBand="0" w:evenVBand="0" w:oddHBand="0" w:evenHBand="0" w:firstRowFirstColumn="0" w:firstRowLastColumn="0" w:lastRowFirstColumn="0" w:lastRowLastColumn="0"/>
            </w:pPr>
            <w:r w:rsidRPr="00776DCC">
              <w:t>4.529524</w:t>
            </w:r>
          </w:p>
        </w:tc>
        <w:tc>
          <w:tcPr>
            <w:tcW w:w="1681" w:type="dxa"/>
          </w:tcPr>
          <w:p w14:paraId="4E48A916" w14:textId="59BC3371" w:rsidR="004270DA" w:rsidRDefault="00776DCC" w:rsidP="00A3158F">
            <w:pPr>
              <w:pStyle w:val="Paragraph"/>
              <w:jc w:val="center"/>
              <w:cnfStyle w:val="000000000000" w:firstRow="0" w:lastRow="0" w:firstColumn="0" w:lastColumn="0" w:oddVBand="0" w:evenVBand="0" w:oddHBand="0" w:evenHBand="0" w:firstRowFirstColumn="0" w:firstRowLastColumn="0" w:lastRowFirstColumn="0" w:lastRowLastColumn="0"/>
            </w:pPr>
            <w:r w:rsidRPr="00776DCC">
              <w:t>3.4022743</w:t>
            </w:r>
          </w:p>
        </w:tc>
      </w:tr>
      <w:tr w:rsidR="00CA40FE" w14:paraId="1FBCB700" w14:textId="77777777" w:rsidTr="00900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Pr>
          <w:p w14:paraId="63CE5F4D" w14:textId="25C5384B" w:rsidR="00CA40FE" w:rsidRDefault="00CA40FE" w:rsidP="00A3158F">
            <w:pPr>
              <w:pStyle w:val="Paragraph"/>
              <w:jc w:val="center"/>
            </w:pPr>
            <w:r>
              <w:t>9</w:t>
            </w:r>
          </w:p>
        </w:tc>
        <w:tc>
          <w:tcPr>
            <w:tcW w:w="1560" w:type="dxa"/>
          </w:tcPr>
          <w:p w14:paraId="7F2B077A" w14:textId="743786BD" w:rsidR="00CA40FE" w:rsidRDefault="00CA40FE" w:rsidP="00A3158F">
            <w:pPr>
              <w:pStyle w:val="Paragraph"/>
              <w:jc w:val="center"/>
              <w:cnfStyle w:val="000000100000" w:firstRow="0" w:lastRow="0" w:firstColumn="0" w:lastColumn="0" w:oddVBand="0" w:evenVBand="0" w:oddHBand="1" w:evenHBand="0" w:firstRowFirstColumn="0" w:firstRowLastColumn="0" w:lastRowFirstColumn="0" w:lastRowLastColumn="0"/>
            </w:pPr>
            <w:r>
              <w:t>Multiple</w:t>
            </w:r>
          </w:p>
        </w:tc>
        <w:tc>
          <w:tcPr>
            <w:tcW w:w="1413" w:type="dxa"/>
          </w:tcPr>
          <w:p w14:paraId="30CAD2D9" w14:textId="47AAFA14" w:rsidR="00CA40FE" w:rsidRDefault="00141E0E" w:rsidP="00A3158F">
            <w:pPr>
              <w:pStyle w:val="Paragraph"/>
              <w:jc w:val="center"/>
              <w:cnfStyle w:val="000000100000" w:firstRow="0" w:lastRow="0" w:firstColumn="0" w:lastColumn="0" w:oddVBand="0" w:evenVBand="0" w:oddHBand="1" w:evenHBand="0" w:firstRowFirstColumn="0" w:firstRowLastColumn="0" w:lastRowFirstColumn="0" w:lastRowLastColumn="0"/>
            </w:pPr>
            <w:r>
              <w:t>50</w:t>
            </w:r>
          </w:p>
        </w:tc>
        <w:tc>
          <w:tcPr>
            <w:tcW w:w="1413" w:type="dxa"/>
          </w:tcPr>
          <w:p w14:paraId="7007AEAA" w14:textId="0F1AF071" w:rsidR="00CA40FE" w:rsidRDefault="00141E0E" w:rsidP="00A3158F">
            <w:pPr>
              <w:pStyle w:val="Paragraph"/>
              <w:jc w:val="center"/>
              <w:cnfStyle w:val="000000100000" w:firstRow="0" w:lastRow="0" w:firstColumn="0" w:lastColumn="0" w:oddVBand="0" w:evenVBand="0" w:oddHBand="1" w:evenHBand="0" w:firstRowFirstColumn="0" w:firstRowLastColumn="0" w:lastRowFirstColumn="0" w:lastRowLastColumn="0"/>
            </w:pPr>
            <w:r>
              <w:t>50</w:t>
            </w:r>
          </w:p>
        </w:tc>
        <w:tc>
          <w:tcPr>
            <w:tcW w:w="1547" w:type="dxa"/>
          </w:tcPr>
          <w:p w14:paraId="71C495CF" w14:textId="30CD3BAA" w:rsidR="00CA40FE" w:rsidRPr="00776DCC" w:rsidRDefault="00141E0E" w:rsidP="00A3158F">
            <w:pPr>
              <w:pStyle w:val="Paragraph"/>
              <w:jc w:val="center"/>
              <w:cnfStyle w:val="000000100000" w:firstRow="0" w:lastRow="0" w:firstColumn="0" w:lastColumn="0" w:oddVBand="0" w:evenVBand="0" w:oddHBand="1" w:evenHBand="0" w:firstRowFirstColumn="0" w:firstRowLastColumn="0" w:lastRowFirstColumn="0" w:lastRowLastColumn="0"/>
            </w:pPr>
            <w:r w:rsidRPr="00141E0E">
              <w:t>4.713197</w:t>
            </w:r>
          </w:p>
        </w:tc>
        <w:tc>
          <w:tcPr>
            <w:tcW w:w="1681" w:type="dxa"/>
          </w:tcPr>
          <w:p w14:paraId="1DB40F53" w14:textId="7D996DD8" w:rsidR="00CA40FE" w:rsidRPr="00776DCC" w:rsidRDefault="00141E0E" w:rsidP="00A3158F">
            <w:pPr>
              <w:pStyle w:val="Paragraph"/>
              <w:jc w:val="center"/>
              <w:cnfStyle w:val="000000100000" w:firstRow="0" w:lastRow="0" w:firstColumn="0" w:lastColumn="0" w:oddVBand="0" w:evenVBand="0" w:oddHBand="1" w:evenHBand="0" w:firstRowFirstColumn="0" w:firstRowLastColumn="0" w:lastRowFirstColumn="0" w:lastRowLastColumn="0"/>
            </w:pPr>
            <w:r w:rsidRPr="00141E0E">
              <w:t>3.3144912</w:t>
            </w:r>
          </w:p>
        </w:tc>
      </w:tr>
      <w:tr w:rsidR="00141E0E" w14:paraId="5B523CA7" w14:textId="77777777" w:rsidTr="0090066D">
        <w:tc>
          <w:tcPr>
            <w:cnfStyle w:val="001000000000" w:firstRow="0" w:lastRow="0" w:firstColumn="1" w:lastColumn="0" w:oddVBand="0" w:evenVBand="0" w:oddHBand="0" w:evenHBand="0" w:firstRowFirstColumn="0" w:firstRowLastColumn="0" w:lastRowFirstColumn="0" w:lastRowLastColumn="0"/>
            <w:tcW w:w="655" w:type="dxa"/>
          </w:tcPr>
          <w:p w14:paraId="7CE4A819" w14:textId="2DA2D4F0" w:rsidR="00141E0E" w:rsidRPr="00141E0E" w:rsidRDefault="00141E0E" w:rsidP="00141E0E">
            <w:pPr>
              <w:pStyle w:val="Paragraph"/>
              <w:jc w:val="center"/>
              <w:rPr>
                <w:b w:val="0"/>
                <w:bCs w:val="0"/>
              </w:rPr>
            </w:pPr>
            <w:r>
              <w:t>10</w:t>
            </w:r>
          </w:p>
        </w:tc>
        <w:tc>
          <w:tcPr>
            <w:tcW w:w="1560" w:type="dxa"/>
          </w:tcPr>
          <w:p w14:paraId="6B11C915" w14:textId="7183A7CC" w:rsidR="00141E0E" w:rsidRDefault="00141E0E" w:rsidP="00A3158F">
            <w:pPr>
              <w:pStyle w:val="Paragraph"/>
              <w:jc w:val="center"/>
              <w:cnfStyle w:val="000000000000" w:firstRow="0" w:lastRow="0" w:firstColumn="0" w:lastColumn="0" w:oddVBand="0" w:evenVBand="0" w:oddHBand="0" w:evenHBand="0" w:firstRowFirstColumn="0" w:firstRowLastColumn="0" w:lastRowFirstColumn="0" w:lastRowLastColumn="0"/>
            </w:pPr>
            <w:r>
              <w:t>Multiple</w:t>
            </w:r>
          </w:p>
        </w:tc>
        <w:tc>
          <w:tcPr>
            <w:tcW w:w="1413" w:type="dxa"/>
          </w:tcPr>
          <w:p w14:paraId="245C0A2A" w14:textId="1B60B4B7" w:rsidR="00141E0E" w:rsidRDefault="00141E0E" w:rsidP="00A3158F">
            <w:pPr>
              <w:pStyle w:val="Paragraph"/>
              <w:jc w:val="center"/>
              <w:cnfStyle w:val="000000000000" w:firstRow="0" w:lastRow="0" w:firstColumn="0" w:lastColumn="0" w:oddVBand="0" w:evenVBand="0" w:oddHBand="0" w:evenHBand="0" w:firstRowFirstColumn="0" w:firstRowLastColumn="0" w:lastRowFirstColumn="0" w:lastRowLastColumn="0"/>
            </w:pPr>
            <w:r>
              <w:t>100</w:t>
            </w:r>
          </w:p>
        </w:tc>
        <w:tc>
          <w:tcPr>
            <w:tcW w:w="1413" w:type="dxa"/>
          </w:tcPr>
          <w:p w14:paraId="79FEB782" w14:textId="1C7DE7B2" w:rsidR="00141E0E" w:rsidRDefault="00141E0E" w:rsidP="00A3158F">
            <w:pPr>
              <w:pStyle w:val="Paragraph"/>
              <w:jc w:val="center"/>
              <w:cnfStyle w:val="000000000000" w:firstRow="0" w:lastRow="0" w:firstColumn="0" w:lastColumn="0" w:oddVBand="0" w:evenVBand="0" w:oddHBand="0" w:evenHBand="0" w:firstRowFirstColumn="0" w:firstRowLastColumn="0" w:lastRowFirstColumn="0" w:lastRowLastColumn="0"/>
            </w:pPr>
            <w:r>
              <w:t>50</w:t>
            </w:r>
          </w:p>
        </w:tc>
        <w:tc>
          <w:tcPr>
            <w:tcW w:w="1547" w:type="dxa"/>
          </w:tcPr>
          <w:p w14:paraId="3BD2F6A7" w14:textId="11DED253" w:rsidR="00141E0E" w:rsidRPr="00141E0E" w:rsidRDefault="00AC0B7E" w:rsidP="00A3158F">
            <w:pPr>
              <w:pStyle w:val="Paragraph"/>
              <w:jc w:val="center"/>
              <w:cnfStyle w:val="000000000000" w:firstRow="0" w:lastRow="0" w:firstColumn="0" w:lastColumn="0" w:oddVBand="0" w:evenVBand="0" w:oddHBand="0" w:evenHBand="0" w:firstRowFirstColumn="0" w:firstRowLastColumn="0" w:lastRowFirstColumn="0" w:lastRowLastColumn="0"/>
            </w:pPr>
            <w:r w:rsidRPr="00AC0B7E">
              <w:t>4.7247299</w:t>
            </w:r>
          </w:p>
        </w:tc>
        <w:tc>
          <w:tcPr>
            <w:tcW w:w="1681" w:type="dxa"/>
          </w:tcPr>
          <w:p w14:paraId="274D4B66" w14:textId="4C075494" w:rsidR="00141E0E" w:rsidRPr="00141E0E" w:rsidRDefault="00AC0B7E" w:rsidP="00A3158F">
            <w:pPr>
              <w:pStyle w:val="Paragraph"/>
              <w:jc w:val="center"/>
              <w:cnfStyle w:val="000000000000" w:firstRow="0" w:lastRow="0" w:firstColumn="0" w:lastColumn="0" w:oddVBand="0" w:evenVBand="0" w:oddHBand="0" w:evenHBand="0" w:firstRowFirstColumn="0" w:firstRowLastColumn="0" w:lastRowFirstColumn="0" w:lastRowLastColumn="0"/>
            </w:pPr>
            <w:r w:rsidRPr="00AC0B7E">
              <w:t>3.3956434</w:t>
            </w:r>
          </w:p>
        </w:tc>
      </w:tr>
      <w:tr w:rsidR="00141E0E" w14:paraId="5ABA669C" w14:textId="77777777" w:rsidTr="00900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Pr>
          <w:p w14:paraId="0685FD32" w14:textId="6ED6859F" w:rsidR="00141E0E" w:rsidRDefault="00141E0E" w:rsidP="00A3158F">
            <w:pPr>
              <w:pStyle w:val="Paragraph"/>
              <w:jc w:val="center"/>
            </w:pPr>
            <w:r>
              <w:t>11</w:t>
            </w:r>
          </w:p>
        </w:tc>
        <w:tc>
          <w:tcPr>
            <w:tcW w:w="1560" w:type="dxa"/>
          </w:tcPr>
          <w:p w14:paraId="5D4F0C67" w14:textId="7B17A9EA" w:rsidR="00141E0E" w:rsidRDefault="00141E0E" w:rsidP="00A3158F">
            <w:pPr>
              <w:pStyle w:val="Paragraph"/>
              <w:jc w:val="center"/>
              <w:cnfStyle w:val="000000100000" w:firstRow="0" w:lastRow="0" w:firstColumn="0" w:lastColumn="0" w:oddVBand="0" w:evenVBand="0" w:oddHBand="1" w:evenHBand="0" w:firstRowFirstColumn="0" w:firstRowLastColumn="0" w:lastRowFirstColumn="0" w:lastRowLastColumn="0"/>
            </w:pPr>
            <w:r>
              <w:t>Multiple</w:t>
            </w:r>
          </w:p>
        </w:tc>
        <w:tc>
          <w:tcPr>
            <w:tcW w:w="1413" w:type="dxa"/>
          </w:tcPr>
          <w:p w14:paraId="3C9BAFD3" w14:textId="7FBFCACF" w:rsidR="00141E0E" w:rsidRDefault="00141E0E" w:rsidP="00A3158F">
            <w:pPr>
              <w:pStyle w:val="Paragraph"/>
              <w:jc w:val="center"/>
              <w:cnfStyle w:val="000000100000" w:firstRow="0" w:lastRow="0" w:firstColumn="0" w:lastColumn="0" w:oddVBand="0" w:evenVBand="0" w:oddHBand="1" w:evenHBand="0" w:firstRowFirstColumn="0" w:firstRowLastColumn="0" w:lastRowFirstColumn="0" w:lastRowLastColumn="0"/>
            </w:pPr>
            <w:r>
              <w:t>50</w:t>
            </w:r>
          </w:p>
        </w:tc>
        <w:tc>
          <w:tcPr>
            <w:tcW w:w="1413" w:type="dxa"/>
          </w:tcPr>
          <w:p w14:paraId="3BB4F46A" w14:textId="0A75518B" w:rsidR="00141E0E" w:rsidRDefault="00141E0E" w:rsidP="00A3158F">
            <w:pPr>
              <w:pStyle w:val="Paragraph"/>
              <w:jc w:val="center"/>
              <w:cnfStyle w:val="000000100000" w:firstRow="0" w:lastRow="0" w:firstColumn="0" w:lastColumn="0" w:oddVBand="0" w:evenVBand="0" w:oddHBand="1" w:evenHBand="0" w:firstRowFirstColumn="0" w:firstRowLastColumn="0" w:lastRowFirstColumn="0" w:lastRowLastColumn="0"/>
            </w:pPr>
            <w:r>
              <w:t>100</w:t>
            </w:r>
          </w:p>
        </w:tc>
        <w:tc>
          <w:tcPr>
            <w:tcW w:w="1547" w:type="dxa"/>
          </w:tcPr>
          <w:p w14:paraId="28115A48" w14:textId="1142E016" w:rsidR="00141E0E" w:rsidRPr="00141E0E" w:rsidRDefault="009E74CC" w:rsidP="00A3158F">
            <w:pPr>
              <w:pStyle w:val="Paragraph"/>
              <w:jc w:val="center"/>
              <w:cnfStyle w:val="000000100000" w:firstRow="0" w:lastRow="0" w:firstColumn="0" w:lastColumn="0" w:oddVBand="0" w:evenVBand="0" w:oddHBand="1" w:evenHBand="0" w:firstRowFirstColumn="0" w:firstRowLastColumn="0" w:lastRowFirstColumn="0" w:lastRowLastColumn="0"/>
            </w:pPr>
            <w:r w:rsidRPr="009E74CC">
              <w:t>4.7948504</w:t>
            </w:r>
          </w:p>
        </w:tc>
        <w:tc>
          <w:tcPr>
            <w:tcW w:w="1681" w:type="dxa"/>
          </w:tcPr>
          <w:p w14:paraId="3CC1327B" w14:textId="1AA2CAF8" w:rsidR="00141E0E" w:rsidRPr="00141E0E" w:rsidRDefault="009E74CC" w:rsidP="00A3158F">
            <w:pPr>
              <w:pStyle w:val="Paragraph"/>
              <w:jc w:val="center"/>
              <w:cnfStyle w:val="000000100000" w:firstRow="0" w:lastRow="0" w:firstColumn="0" w:lastColumn="0" w:oddVBand="0" w:evenVBand="0" w:oddHBand="1" w:evenHBand="0" w:firstRowFirstColumn="0" w:firstRowLastColumn="0" w:lastRowFirstColumn="0" w:lastRowLastColumn="0"/>
            </w:pPr>
            <w:r w:rsidRPr="009E74CC">
              <w:t>3.4389735</w:t>
            </w:r>
          </w:p>
        </w:tc>
      </w:tr>
      <w:tr w:rsidR="00141E0E" w14:paraId="1BFAB3ED" w14:textId="77777777" w:rsidTr="0090066D">
        <w:tc>
          <w:tcPr>
            <w:cnfStyle w:val="001000000000" w:firstRow="0" w:lastRow="0" w:firstColumn="1" w:lastColumn="0" w:oddVBand="0" w:evenVBand="0" w:oddHBand="0" w:evenHBand="0" w:firstRowFirstColumn="0" w:firstRowLastColumn="0" w:lastRowFirstColumn="0" w:lastRowLastColumn="0"/>
            <w:tcW w:w="655" w:type="dxa"/>
          </w:tcPr>
          <w:p w14:paraId="53DA239B" w14:textId="3F699817" w:rsidR="00141E0E" w:rsidRDefault="00141E0E" w:rsidP="00A3158F">
            <w:pPr>
              <w:pStyle w:val="Paragraph"/>
              <w:jc w:val="center"/>
            </w:pPr>
            <w:r>
              <w:t>12</w:t>
            </w:r>
          </w:p>
        </w:tc>
        <w:tc>
          <w:tcPr>
            <w:tcW w:w="1560" w:type="dxa"/>
          </w:tcPr>
          <w:p w14:paraId="7294E25F" w14:textId="2C534C34" w:rsidR="00141E0E" w:rsidRDefault="00141E0E" w:rsidP="00A3158F">
            <w:pPr>
              <w:pStyle w:val="Paragraph"/>
              <w:jc w:val="center"/>
              <w:cnfStyle w:val="000000000000" w:firstRow="0" w:lastRow="0" w:firstColumn="0" w:lastColumn="0" w:oddVBand="0" w:evenVBand="0" w:oddHBand="0" w:evenHBand="0" w:firstRowFirstColumn="0" w:firstRowLastColumn="0" w:lastRowFirstColumn="0" w:lastRowLastColumn="0"/>
            </w:pPr>
            <w:r>
              <w:t>Multiple</w:t>
            </w:r>
          </w:p>
        </w:tc>
        <w:tc>
          <w:tcPr>
            <w:tcW w:w="1413" w:type="dxa"/>
          </w:tcPr>
          <w:p w14:paraId="54BD5A62" w14:textId="26351407" w:rsidR="00141E0E" w:rsidRDefault="00141E0E" w:rsidP="00A3158F">
            <w:pPr>
              <w:pStyle w:val="Paragraph"/>
              <w:jc w:val="center"/>
              <w:cnfStyle w:val="000000000000" w:firstRow="0" w:lastRow="0" w:firstColumn="0" w:lastColumn="0" w:oddVBand="0" w:evenVBand="0" w:oddHBand="0" w:evenHBand="0" w:firstRowFirstColumn="0" w:firstRowLastColumn="0" w:lastRowFirstColumn="0" w:lastRowLastColumn="0"/>
            </w:pPr>
            <w:r>
              <w:t>100</w:t>
            </w:r>
          </w:p>
        </w:tc>
        <w:tc>
          <w:tcPr>
            <w:tcW w:w="1413" w:type="dxa"/>
          </w:tcPr>
          <w:p w14:paraId="7F4155D0" w14:textId="0FB5D563" w:rsidR="00141E0E" w:rsidRDefault="00141E0E" w:rsidP="00A3158F">
            <w:pPr>
              <w:pStyle w:val="Paragraph"/>
              <w:jc w:val="center"/>
              <w:cnfStyle w:val="000000000000" w:firstRow="0" w:lastRow="0" w:firstColumn="0" w:lastColumn="0" w:oddVBand="0" w:evenVBand="0" w:oddHBand="0" w:evenHBand="0" w:firstRowFirstColumn="0" w:firstRowLastColumn="0" w:lastRowFirstColumn="0" w:lastRowLastColumn="0"/>
            </w:pPr>
            <w:r>
              <w:t>100</w:t>
            </w:r>
          </w:p>
        </w:tc>
        <w:tc>
          <w:tcPr>
            <w:tcW w:w="1547" w:type="dxa"/>
          </w:tcPr>
          <w:p w14:paraId="08860234" w14:textId="68AD5FEB" w:rsidR="00141E0E" w:rsidRPr="00141E0E" w:rsidRDefault="009E74CC" w:rsidP="00A3158F">
            <w:pPr>
              <w:pStyle w:val="Paragraph"/>
              <w:jc w:val="center"/>
              <w:cnfStyle w:val="000000000000" w:firstRow="0" w:lastRow="0" w:firstColumn="0" w:lastColumn="0" w:oddVBand="0" w:evenVBand="0" w:oddHBand="0" w:evenHBand="0" w:firstRowFirstColumn="0" w:firstRowLastColumn="0" w:lastRowFirstColumn="0" w:lastRowLastColumn="0"/>
            </w:pPr>
            <w:r w:rsidRPr="009E74CC">
              <w:t>4.7498103</w:t>
            </w:r>
          </w:p>
        </w:tc>
        <w:tc>
          <w:tcPr>
            <w:tcW w:w="1681" w:type="dxa"/>
          </w:tcPr>
          <w:p w14:paraId="180F3F43" w14:textId="4E6C30B6" w:rsidR="00141E0E" w:rsidRPr="00141E0E" w:rsidRDefault="009E74CC" w:rsidP="00A3158F">
            <w:pPr>
              <w:pStyle w:val="Paragraph"/>
              <w:jc w:val="center"/>
              <w:cnfStyle w:val="000000000000" w:firstRow="0" w:lastRow="0" w:firstColumn="0" w:lastColumn="0" w:oddVBand="0" w:evenVBand="0" w:oddHBand="0" w:evenHBand="0" w:firstRowFirstColumn="0" w:firstRowLastColumn="0" w:lastRowFirstColumn="0" w:lastRowLastColumn="0"/>
            </w:pPr>
            <w:r w:rsidRPr="009E74CC">
              <w:t>3.4859596</w:t>
            </w:r>
          </w:p>
        </w:tc>
      </w:tr>
    </w:tbl>
    <w:p w14:paraId="34C344EB" w14:textId="53B090CA" w:rsidR="00AD0EC6" w:rsidRDefault="00AD0EC6" w:rsidP="007F0E62">
      <w:pPr>
        <w:pStyle w:val="Heading2"/>
      </w:pPr>
      <w:r>
        <w:t>Demo</w:t>
      </w:r>
    </w:p>
    <w:p w14:paraId="3C62FE2F" w14:textId="255C70AC" w:rsidR="003A621A" w:rsidRDefault="00AA0CCF" w:rsidP="00AD0EC6">
      <w:pPr>
        <w:pStyle w:val="Paragraph"/>
      </w:pPr>
      <w:r>
        <w:rPr>
          <w:noProof/>
        </w:rPr>
        <w:drawing>
          <wp:inline distT="0" distB="0" distL="0" distR="0" wp14:anchorId="68EC2D6A" wp14:editId="5603BB52">
            <wp:extent cx="3156585" cy="6096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entprogram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89606" cy="615977"/>
                    </a:xfrm>
                    <a:prstGeom prst="rect">
                      <a:avLst/>
                    </a:prstGeom>
                  </pic:spPr>
                </pic:pic>
              </a:graphicData>
            </a:graphic>
          </wp:inline>
        </w:drawing>
      </w:r>
      <w:r>
        <w:rPr>
          <w:noProof/>
        </w:rPr>
        <w:drawing>
          <wp:inline distT="0" distB="0" distL="0" distR="0" wp14:anchorId="3BD753C5" wp14:editId="1F73F948">
            <wp:extent cx="3188335" cy="5007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ientprogram2.jpg"/>
                    <pic:cNvPicPr/>
                  </pic:nvPicPr>
                  <pic:blipFill>
                    <a:blip r:embed="rId6">
                      <a:extLst>
                        <a:ext uri="{28A0092B-C50C-407E-A947-70E740481C1C}">
                          <a14:useLocalDpi xmlns:a14="http://schemas.microsoft.com/office/drawing/2010/main" val="0"/>
                        </a:ext>
                      </a:extLst>
                    </a:blip>
                    <a:stretch>
                      <a:fillRect/>
                    </a:stretch>
                  </pic:blipFill>
                  <pic:spPr>
                    <a:xfrm>
                      <a:off x="0" y="0"/>
                      <a:ext cx="3235805" cy="508198"/>
                    </a:xfrm>
                    <a:prstGeom prst="rect">
                      <a:avLst/>
                    </a:prstGeom>
                  </pic:spPr>
                </pic:pic>
              </a:graphicData>
            </a:graphic>
          </wp:inline>
        </w:drawing>
      </w:r>
      <w:r>
        <w:rPr>
          <w:noProof/>
        </w:rPr>
        <w:drawing>
          <wp:inline distT="0" distB="0" distL="0" distR="0" wp14:anchorId="665B2A7C" wp14:editId="649DFBC4">
            <wp:extent cx="3133236" cy="31568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rvicehost.jpg"/>
                    <pic:cNvPicPr/>
                  </pic:nvPicPr>
                  <pic:blipFill>
                    <a:blip r:embed="rId7">
                      <a:extLst>
                        <a:ext uri="{28A0092B-C50C-407E-A947-70E740481C1C}">
                          <a14:useLocalDpi xmlns:a14="http://schemas.microsoft.com/office/drawing/2010/main" val="0"/>
                        </a:ext>
                      </a:extLst>
                    </a:blip>
                    <a:stretch>
                      <a:fillRect/>
                    </a:stretch>
                  </pic:blipFill>
                  <pic:spPr>
                    <a:xfrm>
                      <a:off x="0" y="0"/>
                      <a:ext cx="3192467" cy="321653"/>
                    </a:xfrm>
                    <a:prstGeom prst="rect">
                      <a:avLst/>
                    </a:prstGeom>
                  </pic:spPr>
                </pic:pic>
              </a:graphicData>
            </a:graphic>
          </wp:inline>
        </w:drawing>
      </w:r>
    </w:p>
    <w:p w14:paraId="4E0FB74D" w14:textId="00B1092D" w:rsidR="00AD0EC6" w:rsidRDefault="00AD0EC6" w:rsidP="007F0E62">
      <w:pPr>
        <w:pStyle w:val="Heading2"/>
      </w:pPr>
      <w:r>
        <w:t>Code</w:t>
      </w:r>
    </w:p>
    <w:p w14:paraId="7938E7BE" w14:textId="342AED90" w:rsidR="00AD0EC6" w:rsidRDefault="00EC7668" w:rsidP="00AD0EC6">
      <w:pPr>
        <w:pStyle w:val="Paragraph"/>
      </w:pPr>
      <w:r w:rsidRPr="00EC7668">
        <w:t>The entire project code repository is available on GitHub here.</w:t>
      </w:r>
    </w:p>
    <w:sectPr w:rsidR="00AD0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80210"/>
    <w:multiLevelType w:val="hybridMultilevel"/>
    <w:tmpl w:val="7CA68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9528DE"/>
    <w:multiLevelType w:val="hybridMultilevel"/>
    <w:tmpl w:val="EDCAF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cwsTQxMDczMTMxtTBX0lEKTi0uzszPAykwqgUAz2jw+iwAAAA="/>
  </w:docVars>
  <w:rsids>
    <w:rsidRoot w:val="00B075D8"/>
    <w:rsid w:val="000A6F8F"/>
    <w:rsid w:val="000F5B54"/>
    <w:rsid w:val="00116EAA"/>
    <w:rsid w:val="0012735B"/>
    <w:rsid w:val="00141E0E"/>
    <w:rsid w:val="00166D2D"/>
    <w:rsid w:val="00265354"/>
    <w:rsid w:val="0027245C"/>
    <w:rsid w:val="00283675"/>
    <w:rsid w:val="002A2E66"/>
    <w:rsid w:val="003A621A"/>
    <w:rsid w:val="003B1300"/>
    <w:rsid w:val="004270DA"/>
    <w:rsid w:val="00472732"/>
    <w:rsid w:val="00497764"/>
    <w:rsid w:val="004B498B"/>
    <w:rsid w:val="005013C1"/>
    <w:rsid w:val="00534B61"/>
    <w:rsid w:val="0054450C"/>
    <w:rsid w:val="00592FE4"/>
    <w:rsid w:val="005976D1"/>
    <w:rsid w:val="005B1402"/>
    <w:rsid w:val="005C48F2"/>
    <w:rsid w:val="005F2975"/>
    <w:rsid w:val="00601699"/>
    <w:rsid w:val="006563ED"/>
    <w:rsid w:val="006617A3"/>
    <w:rsid w:val="00675CD9"/>
    <w:rsid w:val="0068365E"/>
    <w:rsid w:val="006D36AF"/>
    <w:rsid w:val="006F43E2"/>
    <w:rsid w:val="00703235"/>
    <w:rsid w:val="00735FB8"/>
    <w:rsid w:val="00741E1E"/>
    <w:rsid w:val="00776DCC"/>
    <w:rsid w:val="00777A4D"/>
    <w:rsid w:val="007D42FD"/>
    <w:rsid w:val="007F0E62"/>
    <w:rsid w:val="007F653B"/>
    <w:rsid w:val="00807ACB"/>
    <w:rsid w:val="008305C3"/>
    <w:rsid w:val="00836691"/>
    <w:rsid w:val="0083794D"/>
    <w:rsid w:val="008B16E2"/>
    <w:rsid w:val="008D29E8"/>
    <w:rsid w:val="008E142A"/>
    <w:rsid w:val="0090066D"/>
    <w:rsid w:val="00903740"/>
    <w:rsid w:val="00904747"/>
    <w:rsid w:val="00947F38"/>
    <w:rsid w:val="009744D5"/>
    <w:rsid w:val="00977824"/>
    <w:rsid w:val="009928F4"/>
    <w:rsid w:val="009953DC"/>
    <w:rsid w:val="009E3D9E"/>
    <w:rsid w:val="009E74CC"/>
    <w:rsid w:val="00A3158F"/>
    <w:rsid w:val="00A55A8A"/>
    <w:rsid w:val="00AA0CCF"/>
    <w:rsid w:val="00AC0B7E"/>
    <w:rsid w:val="00AD0EC6"/>
    <w:rsid w:val="00B075D8"/>
    <w:rsid w:val="00B3608F"/>
    <w:rsid w:val="00BA787C"/>
    <w:rsid w:val="00BB2748"/>
    <w:rsid w:val="00BC50E7"/>
    <w:rsid w:val="00C105B8"/>
    <w:rsid w:val="00C30CCE"/>
    <w:rsid w:val="00C46856"/>
    <w:rsid w:val="00CA40FE"/>
    <w:rsid w:val="00CB0EDE"/>
    <w:rsid w:val="00CD166F"/>
    <w:rsid w:val="00CD78FE"/>
    <w:rsid w:val="00CF7A27"/>
    <w:rsid w:val="00D02D6E"/>
    <w:rsid w:val="00D13213"/>
    <w:rsid w:val="00D252E0"/>
    <w:rsid w:val="00D84514"/>
    <w:rsid w:val="00D94725"/>
    <w:rsid w:val="00DB0BD9"/>
    <w:rsid w:val="00DB6BA1"/>
    <w:rsid w:val="00E370F4"/>
    <w:rsid w:val="00E72877"/>
    <w:rsid w:val="00E921EA"/>
    <w:rsid w:val="00EA1493"/>
    <w:rsid w:val="00EB0891"/>
    <w:rsid w:val="00EC29EA"/>
    <w:rsid w:val="00EC7668"/>
    <w:rsid w:val="00ED1981"/>
    <w:rsid w:val="00F05202"/>
    <w:rsid w:val="00F477DA"/>
    <w:rsid w:val="00F75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2D0C9"/>
  <w15:chartTrackingRefBased/>
  <w15:docId w15:val="{4B86C0E5-3707-40D2-BE25-32BD0A4B3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E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976D1"/>
    <w:pPr>
      <w:keepNext/>
      <w:keepLines/>
      <w:spacing w:before="16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5976D1"/>
    <w:pPr>
      <w:keepNext/>
      <w:keepLines/>
      <w:spacing w:before="120" w:after="120"/>
      <w:outlineLvl w:val="2"/>
    </w:pPr>
    <w:rPr>
      <w:rFonts w:asciiTheme="majorHAnsi" w:eastAsiaTheme="majorEastAsia" w:hAnsiTheme="majorHAnsi" w:cstheme="majorBidi"/>
      <w:color w:val="1F3864" w:themeColor="accent1" w:themeShade="80"/>
      <w:sz w:val="28"/>
      <w:szCs w:val="24"/>
    </w:rPr>
  </w:style>
  <w:style w:type="paragraph" w:styleId="Heading4">
    <w:name w:val="heading 4"/>
    <w:basedOn w:val="Normal"/>
    <w:next w:val="Normal"/>
    <w:link w:val="Heading4Char"/>
    <w:uiPriority w:val="9"/>
    <w:unhideWhenUsed/>
    <w:qFormat/>
    <w:rsid w:val="00EA14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autoRedefine/>
    <w:qFormat/>
    <w:rsid w:val="005976D1"/>
    <w:rPr>
      <w:rFonts w:ascii="Times New Roman" w:eastAsia="Times New Roman" w:hAnsi="Times New Roman" w:cs="Times New Roman"/>
      <w:color w:val="333333"/>
      <w:sz w:val="24"/>
      <w:szCs w:val="30"/>
    </w:rPr>
  </w:style>
  <w:style w:type="character" w:customStyle="1" w:styleId="Heading2Char">
    <w:name w:val="Heading 2 Char"/>
    <w:basedOn w:val="DefaultParagraphFont"/>
    <w:link w:val="Heading2"/>
    <w:uiPriority w:val="9"/>
    <w:rsid w:val="005976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5976D1"/>
    <w:rPr>
      <w:rFonts w:asciiTheme="majorHAnsi" w:eastAsiaTheme="majorEastAsia" w:hAnsiTheme="majorHAnsi" w:cstheme="majorBidi"/>
      <w:color w:val="1F3864" w:themeColor="accent1" w:themeShade="80"/>
      <w:sz w:val="28"/>
      <w:szCs w:val="24"/>
    </w:rPr>
  </w:style>
  <w:style w:type="character" w:customStyle="1" w:styleId="Heading1Char">
    <w:name w:val="Heading 1 Char"/>
    <w:basedOn w:val="DefaultParagraphFont"/>
    <w:link w:val="Heading1"/>
    <w:uiPriority w:val="9"/>
    <w:rsid w:val="007F0E6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617A3"/>
    <w:pPr>
      <w:spacing w:after="0" w:line="240" w:lineRule="auto"/>
    </w:pPr>
  </w:style>
  <w:style w:type="character" w:customStyle="1" w:styleId="Heading4Char">
    <w:name w:val="Heading 4 Char"/>
    <w:basedOn w:val="DefaultParagraphFont"/>
    <w:link w:val="Heading4"/>
    <w:uiPriority w:val="9"/>
    <w:rsid w:val="00EA1493"/>
    <w:rPr>
      <w:rFonts w:asciiTheme="majorHAnsi" w:eastAsiaTheme="majorEastAsia" w:hAnsiTheme="majorHAnsi" w:cstheme="majorBidi"/>
      <w:i/>
      <w:iCs/>
      <w:color w:val="2F5496" w:themeColor="accent1" w:themeShade="BF"/>
    </w:rPr>
  </w:style>
  <w:style w:type="paragraph" w:customStyle="1" w:styleId="Default">
    <w:name w:val="Default"/>
    <w:rsid w:val="00947F38"/>
    <w:pPr>
      <w:autoSpaceDE w:val="0"/>
      <w:autoSpaceDN w:val="0"/>
      <w:adjustRightInd w:val="0"/>
      <w:spacing w:after="0" w:line="240" w:lineRule="auto"/>
    </w:pPr>
    <w:rPr>
      <w:rFonts w:ascii="Consolas" w:hAnsi="Consolas" w:cs="Consolas"/>
      <w:color w:val="000000"/>
      <w:sz w:val="24"/>
      <w:szCs w:val="24"/>
    </w:rPr>
  </w:style>
  <w:style w:type="table" w:styleId="TableGrid">
    <w:name w:val="Table Grid"/>
    <w:basedOn w:val="TableNormal"/>
    <w:uiPriority w:val="39"/>
    <w:rsid w:val="00683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68365E"/>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BalloonText">
    <w:name w:val="Balloon Text"/>
    <w:basedOn w:val="Normal"/>
    <w:link w:val="BalloonTextChar"/>
    <w:uiPriority w:val="99"/>
    <w:semiHidden/>
    <w:unhideWhenUsed/>
    <w:rsid w:val="00AA0C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0C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5</Pages>
  <Words>1669</Words>
  <Characters>9515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West</dc:creator>
  <cp:keywords/>
  <dc:description/>
  <cp:lastModifiedBy>Kathleen West</cp:lastModifiedBy>
  <cp:revision>72</cp:revision>
  <dcterms:created xsi:type="dcterms:W3CDTF">2019-03-23T21:16:00Z</dcterms:created>
  <dcterms:modified xsi:type="dcterms:W3CDTF">2019-03-25T00:47:00Z</dcterms:modified>
</cp:coreProperties>
</file>