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1E4B3A"/>
          <w:sz w:val="72"/>
          <w:szCs w:val="72"/>
        </w:rPr>
        <w:t xml:space="preserve">YIELD HEALTHCARE</w:t>
      </w:r>
    </w:p>
    <w:p>
      <w:pPr>
        <w:spacing w:after="600"/>
      </w:pPr>
      <w:r>
        <w:rPr>
          <w:rFonts w:ascii="Arial" w:cs="Arial" w:eastAsia="Arial" w:hAnsi="Arial"/>
          <w:b/>
          <w:bCs/>
          <w:color w:val="8FA687"/>
          <w:sz w:val="30"/>
          <w:szCs w:val="30"/>
        </w:rPr>
        <w:t xml:space="preserve">AI-Driven Coding &amp; Billing for Accountable Care Organizations</w:t>
      </w:r>
    </w:p>
    <w:p>
      <w:pPr>
        <w:spacing w:after="3200"/>
      </w:pPr>
      <w:r>
        <w:rPr>
          <w:rFonts w:ascii="Arial" w:cs="Arial" w:eastAsia="Arial" w:hAnsi="Arial"/>
          <w:i/>
          <w:iCs/>
          <w:color w:val="545759"/>
          <w:sz w:val="24"/>
          <w:szCs w:val="24"/>
        </w:rPr>
        <w:t xml:space="preserve">Business Case — Phase 1 Scope: Coding &amp; Billing (Payments Not Included)</w:t>
      </w:r>
    </w:p>
    <w:p>
      <w:pPr>
        <w:spacing w:after="80"/>
      </w:pPr>
      <w:r>
        <w:rPr>
          <w:rFonts w:ascii="Arial" w:cs="Arial" w:eastAsia="Arial" w:hAnsi="Arial"/>
          <w:color w:val="545759"/>
          <w:sz w:val="20"/>
          <w:szCs w:val="20"/>
        </w:rPr>
        <w:t xml:space="preserve">Prepared August 2026</w:t>
      </w:r>
    </w:p>
    <w:p>
      <w:pPr>
        <w:spacing w:after="80"/>
      </w:pPr>
      <w:r>
        <w:rPr>
          <w:rFonts w:ascii="Arial" w:cs="Arial" w:eastAsia="Arial" w:hAnsi="Arial"/>
          <w:color w:val="545759"/>
          <w:sz w:val="20"/>
          <w:szCs w:val="20"/>
        </w:rPr>
        <w:t xml:space="preserve">Confidential — internal planning document</w:t>
      </w:r>
    </w:p>
    <w:p>
      <w:r>
        <w:br w:type="page"/>
      </w:r>
    </w:p>
    <w:p>
      <w:pPr>
        <w:pStyle w:val="Heading1"/>
        <w:spacing w:after="160" w:before="360"/>
      </w:pPr>
      <w:r>
        <w:rPr>
          <w:rFonts w:ascii="Arial" w:cs="Arial" w:eastAsia="Arial" w:hAnsi="Arial"/>
          <w:b/>
          <w:bCs/>
          <w:color w:val="1E4B3A"/>
          <w:sz w:val="30"/>
          <w:szCs w:val="30"/>
        </w:rPr>
        <w:t xml:space="preserve">Executive Summary</w:t>
      </w:r>
    </w:p>
    <w:p>
      <w:pPr>
        <w:spacing w:after="180" w:line="300"/>
      </w:pPr>
      <w:r>
        <w:rPr>
          <w:rFonts w:ascii="Arial" w:cs="Arial" w:eastAsia="Arial" w:hAnsi="Arial"/>
          <w:b w:val="false"/>
          <w:bCs w:val="false"/>
          <w:i w:val="false"/>
          <w:iCs w:val="false"/>
          <w:color w:val="222222"/>
          <w:sz w:val="21"/>
          <w:szCs w:val="21"/>
        </w:rPr>
        <w:t xml:space="preserve">Yield Healthcare's PMPM population care management line already sells into ACO leadership on the strength of a total-cost-of-care story. Over the course of those relationships, a specific, recurring ask has surfaced from multiple ACO customers: help with medical coding — specifically risk-adjustment (HCC) coding accuracy, which drives the benchmark and risk-score calculations underneath every ACO's shared-savings result — and help with claims billing for the independent, often under-resourced primary care practices that make up much of an ACO's participating network.</w:t>
      </w:r>
    </w:p>
    <w:p>
      <w:pPr>
        <w:spacing w:after="180" w:line="300"/>
      </w:pPr>
      <w:r>
        <w:rPr>
          <w:rFonts w:ascii="Arial" w:cs="Arial" w:eastAsia="Arial" w:hAnsi="Arial"/>
          <w:b w:val="false"/>
          <w:bCs w:val="false"/>
          <w:i w:val="false"/>
          <w:iCs w:val="false"/>
          <w:color w:val="222222"/>
          <w:sz w:val="21"/>
          <w:szCs w:val="21"/>
        </w:rPr>
        <w:t xml:space="preserve">This document proposes Coding &amp; Billing as a third Yield Healthcare line of business, scoped deliberately narrow at launch: AI-driven risk-adjustment coding review and documentation support, plus AI-driven claims billing services for participating practices. The AI does the reading, the flagging, and the pattern-matching at a scale no manual chart-review team can match; a certified coder reviews and confirms every flag before it becomes part of a chart or a claim. That human step is not a compliance afterthought — it is the control that makes this defensible, and it stays in place regardless of how good the underlying models get. Payments — accepting, processing, or moving money on a customer's behalf — is explicitly excluded from this phase. That is not a placeholder for "payments coming soon"; it is a scope decision that keeps Yield Healthcare out of money-transmission and PCI-compliance territory unrelated to its current capabilities, while still capturing the two services ACOs are actually asking for today. Whether to revisit payments later is a decision for a future phase, made once coding and billing have proven themselves, not a commitment made now.</w:t>
      </w:r>
    </w:p>
    <w:p>
      <w:pPr>
        <w:spacing w:after="180" w:line="300"/>
      </w:pPr>
      <w:r>
        <w:rPr>
          <w:rFonts w:ascii="Arial" w:cs="Arial" w:eastAsia="Arial" w:hAnsi="Arial"/>
          <w:b w:val="false"/>
          <w:bCs w:val="false"/>
          <w:i w:val="false"/>
          <w:iCs w:val="false"/>
          <w:color w:val="222222"/>
          <w:sz w:val="21"/>
          <w:szCs w:val="21"/>
        </w:rPr>
        <w:t xml:space="preserve">Because the demand originated inside Yield Healthcare's existing PMPM customer base, the go-to-market motion for this line looks different from TEAM's or PMPM's own launch: the first customers are already relationships, not a cold market. That materially de-risks Year 1 and argues for a deliberately small, pilot-scale launch rather than a full market push.</w:t>
      </w:r>
    </w:p>
    <w:p>
      <w:pPr>
        <w:spacing w:after="180" w:line="300"/>
      </w:pPr>
      <w:r>
        <w:rPr>
          <w:rFonts w:ascii="Arial" w:cs="Arial" w:eastAsia="Arial" w:hAnsi="Arial"/>
          <w:b w:val="false"/>
          <w:bCs w:val="false"/>
          <w:i w:val="false"/>
          <w:iCs w:val="false"/>
          <w:color w:val="222222"/>
          <w:sz w:val="21"/>
          <w:szCs w:val="21"/>
        </w:rPr>
        <w:t xml:space="preserve">Coding is offered two ways. An ACO can contract for coding support across its full attributed population in a single agreement, which is the strongest version of the offer since the ACO's benchmark reflects its entire population, not just the practices that happen to opt in. Or, where an ACO isn't ready to commit at that level, individual practices inside its network can opt in on their own. The AI-driven delivery model is what makes the second path economically workable: serving one practice doesn't require the staffing overhead a manual review process would, so a small opt-in cohort isn't a loss leader the way it would be for a pure-services competitor.</w:t>
      </w:r>
    </w:p>
    <w:p>
      <w:pPr>
        <w:pStyle w:val="Heading3"/>
        <w:spacing w:after="100" w:before="200"/>
      </w:pPr>
      <w:r>
        <w:rPr>
          <w:rFonts w:ascii="Arial" w:cs="Arial" w:eastAsia="Arial" w:hAnsi="Arial"/>
          <w:b/>
          <w:bCs/>
          <w:color w:val="8FA687"/>
          <w:sz w:val="20"/>
          <w:szCs w:val="20"/>
        </w:rPr>
        <w:t xml:space="preserve">The numbers in brief</w:t>
      </w:r>
    </w:p>
    <w:p>
      <w:pPr>
        <w:spacing w:after="60"/>
      </w:pPr>
      <w:r>
        <w:rPr>
          <w:rFonts w:ascii="Arial" w:cs="Arial" w:eastAsia="Arial" w:hAnsi="Arial"/>
          <w:b/>
          <w:bCs/>
          <w:color w:val="1E4B3A"/>
          <w:sz w:val="21"/>
          <w:szCs w:val="21"/>
        </w:rPr>
        <w:t xml:space="preserve">Addressable market:  </w:t>
      </w:r>
      <w:r>
        <w:rPr>
          <w:rFonts w:ascii="Arial" w:cs="Arial" w:eastAsia="Arial" w:hAnsi="Arial"/>
          <w:color w:val="222222"/>
          <w:sz w:val="21"/>
          <w:szCs w:val="21"/>
        </w:rPr>
        <w:t xml:space="preserve">585 Medicare ACOs (511 MSSP, 74 ACO REACH) covering 14.3M attributed beneficiaries in 2026, the same population Yield Healthcare's PMPM line already targets — plus the independent practices inside those ACO networks that need billing support</w:t>
      </w:r>
    </w:p>
    <w:p>
      <w:pPr>
        <w:spacing w:after="60"/>
      </w:pPr>
      <w:r>
        <w:rPr>
          <w:rFonts w:ascii="Arial" w:cs="Arial" w:eastAsia="Arial" w:hAnsi="Arial"/>
          <w:b/>
          <w:bCs/>
          <w:color w:val="1E4B3A"/>
          <w:sz w:val="21"/>
          <w:szCs w:val="21"/>
        </w:rPr>
        <w:t xml:space="preserve">Three-year revenue build:  </w:t>
      </w:r>
      <w:r>
        <w:rPr>
          <w:rFonts w:ascii="Arial" w:cs="Arial" w:eastAsia="Arial" w:hAnsi="Arial"/>
          <w:color w:val="222222"/>
          <w:sz w:val="21"/>
          <w:szCs w:val="21"/>
        </w:rPr>
        <w:t xml:space="preserve">$700,000 (Year 1, coding-only pilot) → $3.20M (Year 2, billing added via a licensed platform partner) → $8.14M (Year 3), at 42-48% blended gross margin</w:t>
      </w:r>
    </w:p>
    <w:p>
      <w:pPr>
        <w:spacing w:after="60"/>
      </w:pPr>
      <w:r>
        <w:rPr>
          <w:rFonts w:ascii="Arial" w:cs="Arial" w:eastAsia="Arial" w:hAnsi="Arial"/>
          <w:b/>
          <w:bCs/>
          <w:color w:val="1E4B3A"/>
          <w:sz w:val="21"/>
          <w:szCs w:val="21"/>
        </w:rPr>
        <w:t xml:space="preserve">Scope:  </w:t>
      </w:r>
      <w:r>
        <w:rPr>
          <w:rFonts w:ascii="Arial" w:cs="Arial" w:eastAsia="Arial" w:hAnsi="Arial"/>
          <w:color w:val="222222"/>
          <w:sz w:val="21"/>
          <w:szCs w:val="21"/>
        </w:rPr>
        <w:t xml:space="preserve">Coding: AI-driven risk-adjustment/HCC coding review and clinical documentation improvement support, every AI flag confirmed by a certified coder, priced per attributed life and sold either ACO-wide or practice by practice. Billing: AI-driven claims scrubbing, submission, and denial management for independent ACO-network practices, delivered through a licensed RCM/clearinghouse partner rather than built in-house at launch. Payments: explicitly out of scope for this phase</w:t>
      </w:r>
    </w:p>
    <w:p>
      <w:pPr>
        <w:spacing w:after="60"/>
      </w:pPr>
      <w:r>
        <w:rPr>
          <w:rFonts w:ascii="Arial" w:cs="Arial" w:eastAsia="Arial" w:hAnsi="Arial"/>
          <w:b/>
          <w:bCs/>
          <w:color w:val="1E4B3A"/>
          <w:sz w:val="21"/>
          <w:szCs w:val="21"/>
        </w:rPr>
        <w:t xml:space="preserve">Key risk:  </w:t>
      </w:r>
      <w:r>
        <w:rPr>
          <w:rFonts w:ascii="Arial" w:cs="Arial" w:eastAsia="Arial" w:hAnsi="Arial"/>
          <w:color w:val="222222"/>
          <w:sz w:val="21"/>
          <w:szCs w:val="21"/>
        </w:rPr>
        <w:t xml:space="preserve">Risk-adjustment coding sits in an area of active federal scrutiny — OIG and DOJ have increased enforcement attention on risk-adjustment coding practices across Medicare Advantage and ACO models in recent years. Pricing and program design need to reward accurate, well-documented coding, not coding volume or risk-score lift, from day one</w:t>
      </w:r>
    </w:p>
    <w:p>
      <w:pPr>
        <w:spacing w:after="100"/>
      </w:pPr>
    </w:p>
    <w:p>
      <w:pPr>
        <w:pStyle w:val="Heading1"/>
        <w:spacing w:after="160" w:before="360"/>
      </w:pPr>
      <w:r>
        <w:rPr>
          <w:rFonts w:ascii="Arial" w:cs="Arial" w:eastAsia="Arial" w:hAnsi="Arial"/>
          <w:b/>
          <w:bCs/>
          <w:color w:val="1E4B3A"/>
          <w:sz w:val="30"/>
          <w:szCs w:val="30"/>
        </w:rPr>
        <w:t xml:space="preserve">The Opportunity</w:t>
      </w:r>
    </w:p>
    <w:p>
      <w:pPr>
        <w:pStyle w:val="Heading2"/>
        <w:spacing w:after="120" w:before="260"/>
      </w:pPr>
      <w:r>
        <w:rPr>
          <w:rFonts w:ascii="Arial" w:cs="Arial" w:eastAsia="Arial" w:hAnsi="Arial"/>
          <w:b/>
          <w:bCs/>
          <w:color w:val="1E4B3A"/>
          <w:sz w:val="24"/>
          <w:szCs w:val="24"/>
        </w:rPr>
        <w:t xml:space="preserve">Coding accuracy is not a back-office issue for an ACO — it sets the scoreboard</w:t>
      </w:r>
    </w:p>
    <w:p>
      <w:pPr>
        <w:spacing w:after="180" w:line="300"/>
      </w:pPr>
      <w:r>
        <w:rPr>
          <w:rFonts w:ascii="Arial" w:cs="Arial" w:eastAsia="Arial" w:hAnsi="Arial"/>
          <w:b w:val="false"/>
          <w:bCs w:val="false"/>
          <w:i w:val="false"/>
          <w:iCs w:val="false"/>
          <w:color w:val="222222"/>
          <w:sz w:val="21"/>
          <w:szCs w:val="21"/>
        </w:rPr>
        <w:t xml:space="preserve">Under both the Medicare Shared Savings Program and ACO REACH, an ACO's financial benchmark is adjusted based on the risk profile of its attributed population. An ACO whose participating practices under-document and under-code chronic conditions looks, on paper, healthier than its patients actually are — which lowers its benchmark and directly shrinks the shared savings it can earn, even in a year where the ACO delivered genuinely strong care. Most ACOs are physician-led organizations built around primary care practices with little to no dedicated coding staff; the people best positioned to know a patient's full clinical picture — the treating physicians — are rarely trained in, or have time for, the specific documentation discipline that risk-adjustment coding requires. That gap is structural, not a matter of individual practice effort, and it recurs across nearly every ACO regardless of the quality of care being delivered.</w:t>
      </w:r>
    </w:p>
    <w:p>
      <w:pPr>
        <w:pStyle w:val="Heading2"/>
        <w:spacing w:after="120" w:before="260"/>
      </w:pPr>
      <w:r>
        <w:rPr>
          <w:rFonts w:ascii="Arial" w:cs="Arial" w:eastAsia="Arial" w:hAnsi="Arial"/>
          <w:b/>
          <w:bCs/>
          <w:color w:val="1E4B3A"/>
          <w:sz w:val="24"/>
          <w:szCs w:val="24"/>
        </w:rPr>
        <w:t xml:space="preserve">Independent practices are similarly underserved on billing</w:t>
      </w:r>
    </w:p>
    <w:p>
      <w:pPr>
        <w:spacing w:after="180" w:line="300"/>
      </w:pPr>
      <w:r>
        <w:rPr>
          <w:rFonts w:ascii="Arial" w:cs="Arial" w:eastAsia="Arial" w:hAnsi="Arial"/>
          <w:b w:val="false"/>
          <w:bCs w:val="false"/>
          <w:i w:val="false"/>
          <w:iCs w:val="false"/>
          <w:color w:val="222222"/>
          <w:sz w:val="21"/>
          <w:szCs w:val="21"/>
        </w:rPr>
        <w:t xml:space="preserve">A meaningful share of ACO-participating providers are small, independent primary care practices — the segment CMS has specifically tried to draw into MSSP and, previously, ACO REACH. These practices frequently lack the scale to run a modern billing operation: claims scrubbing, denial management, and payer follow-up are often handled by one or two administrative staff with no dedicated RCM tooling. That shows up as lost revenue through denied or unfiled claims, and it is a persistent operational drag that has nothing to do with how well the practice is managing its patients.</w:t>
      </w:r>
    </w:p>
    <w:p>
      <w:pPr>
        <w:pStyle w:val="Heading2"/>
        <w:spacing w:after="120" w:before="260"/>
      </w:pPr>
      <w:r>
        <w:rPr>
          <w:rFonts w:ascii="Arial" w:cs="Arial" w:eastAsia="Arial" w:hAnsi="Arial"/>
          <w:b/>
          <w:bCs/>
          <w:color w:val="1E4B3A"/>
          <w:sz w:val="24"/>
          <w:szCs w:val="24"/>
        </w:rPr>
        <w:t xml:space="preserve">The signal here is stronger than usual — ACOs are already asking</w:t>
      </w:r>
    </w:p>
    <w:p>
      <w:pPr>
        <w:spacing w:after="180" w:line="300"/>
      </w:pPr>
      <w:r>
        <w:rPr>
          <w:rFonts w:ascii="Arial" w:cs="Arial" w:eastAsia="Arial" w:hAnsi="Arial"/>
          <w:b w:val="false"/>
          <w:bCs w:val="false"/>
          <w:i w:val="false"/>
          <w:iCs w:val="false"/>
          <w:color w:val="222222"/>
          <w:sz w:val="21"/>
          <w:szCs w:val="21"/>
        </w:rPr>
        <w:t xml:space="preserve">Unlike TEAM and PMPM, where Yield Healthcare had to build a case for a new category of vendor, this line starts from inbound demand inside an existing customer relationship. That changes both the urgency and the risk profile: Yield Healthcare does not need to prove the problem exists, and it has a warm, trusted channel to pilot with rather than a cold outbound motion. The risk is not whether ACOs want this — it is whether Yield Healthcare should build the underlying coding and billing operations itself, and how fast to scale once the pilot proves out.</w:t>
      </w:r>
    </w:p>
    <w:p>
      <w:pPr>
        <w:pStyle w:val="Heading1"/>
        <w:spacing w:after="160" w:before="360"/>
      </w:pPr>
      <w:r>
        <w:rPr>
          <w:rFonts w:ascii="Arial" w:cs="Arial" w:eastAsia="Arial" w:hAnsi="Arial"/>
          <w:b/>
          <w:bCs/>
          <w:color w:val="1E4B3A"/>
          <w:sz w:val="30"/>
          <w:szCs w:val="30"/>
        </w:rPr>
        <w:t xml:space="preserve">Scope of the Offering</w:t>
      </w:r>
    </w:p>
    <w:p>
      <w:pPr>
        <w:pStyle w:val="Heading2"/>
        <w:spacing w:after="120" w:before="260"/>
      </w:pPr>
      <w:r>
        <w:rPr>
          <w:rFonts w:ascii="Arial" w:cs="Arial" w:eastAsia="Arial" w:hAnsi="Arial"/>
          <w:b/>
          <w:bCs/>
          <w:color w:val="1E4B3A"/>
          <w:sz w:val="24"/>
          <w:szCs w:val="24"/>
        </w:rPr>
        <w:t xml:space="preserve">In scope</w:t>
      </w:r>
    </w:p>
    <w:p>
      <w:pPr>
        <w:pStyle w:val="ListParagraph"/>
        <w:numPr>
          <w:ilvl w:val="0"/>
          <w:numId w:val="1"/>
        </w:numPr>
        <w:spacing w:after="90" w:line="280"/>
      </w:pPr>
      <w:r>
        <w:rPr>
          <w:rFonts w:ascii="Arial" w:cs="Arial" w:eastAsia="Arial" w:hAnsi="Arial"/>
          <w:color w:val="222222"/>
          <w:sz w:val="21"/>
          <w:szCs w:val="21"/>
        </w:rPr>
        <w:t xml:space="preserve">AI-driven risk-adjustment (HCC) coding review — software reads clinical documentation as it's captured and flags undercoded conditions and gaps against risk-adjustment coding standards, in place of a purely retrospective, months-later chart audit.</w:t>
      </w:r>
    </w:p>
    <w:p>
      <w:pPr>
        <w:pStyle w:val="ListParagraph"/>
        <w:numPr>
          <w:ilvl w:val="0"/>
          <w:numId w:val="1"/>
        </w:numPr>
        <w:spacing w:after="90" w:line="280"/>
      </w:pPr>
      <w:r>
        <w:rPr>
          <w:rFonts w:ascii="Arial" w:cs="Arial" w:eastAsia="Arial" w:hAnsi="Arial"/>
          <w:color w:val="222222"/>
          <w:sz w:val="21"/>
          <w:szCs w:val="21"/>
        </w:rPr>
        <w:t xml:space="preserve">Human-in-the-loop confirmation on every flag — a certified coder reviews and confirms each AI-surfaced gap before it reaches a physician query or a chart. The AI surfaces candidates; a person decides. No coding recommendation is finalized by the model alone.</w:t>
      </w:r>
    </w:p>
    <w:p>
      <w:pPr>
        <w:pStyle w:val="ListParagraph"/>
        <w:numPr>
          <w:ilvl w:val="0"/>
          <w:numId w:val="1"/>
        </w:numPr>
        <w:spacing w:after="90" w:line="280"/>
      </w:pPr>
      <w:r>
        <w:rPr>
          <w:rFonts w:ascii="Arial" w:cs="Arial" w:eastAsia="Arial" w:hAnsi="Arial"/>
          <w:color w:val="222222"/>
          <w:sz w:val="21"/>
          <w:szCs w:val="21"/>
        </w:rPr>
        <w:t xml:space="preserve">Two ways to buy coding — a single contract with the ACO covering its full attributed population, or opt-in practice by practice for ACOs not ready to commit at the population level. AI-driven delivery keeps the opt-in path economically viable at small scale.</w:t>
      </w:r>
    </w:p>
    <w:p>
      <w:pPr>
        <w:pStyle w:val="ListParagraph"/>
        <w:numPr>
          <w:ilvl w:val="0"/>
          <w:numId w:val="1"/>
        </w:numPr>
        <w:spacing w:after="90" w:line="280"/>
      </w:pPr>
      <w:r>
        <w:rPr>
          <w:rFonts w:ascii="Arial" w:cs="Arial" w:eastAsia="Arial" w:hAnsi="Arial"/>
          <w:color w:val="222222"/>
          <w:sz w:val="21"/>
          <w:szCs w:val="21"/>
        </w:rPr>
        <w:t xml:space="preserve">Clinical documentation improvement (CDI) support and coding education — training and point-of-care documentation guidance for participating physicians, so accuracy improves at the source over time rather than depending on downstream review alone.</w:t>
      </w:r>
    </w:p>
    <w:p>
      <w:pPr>
        <w:pStyle w:val="ListParagraph"/>
        <w:numPr>
          <w:ilvl w:val="0"/>
          <w:numId w:val="1"/>
        </w:numPr>
        <w:spacing w:after="90" w:line="280"/>
      </w:pPr>
      <w:r>
        <w:rPr>
          <w:rFonts w:ascii="Arial" w:cs="Arial" w:eastAsia="Arial" w:hAnsi="Arial"/>
          <w:color w:val="222222"/>
          <w:sz w:val="21"/>
          <w:szCs w:val="21"/>
        </w:rPr>
        <w:t xml:space="preserve">Coding compliance audit trail — a defensible record of every AI-flagged and coder-confirmed recommendation, and the clinical documentation supporting it, built for OIG/DOJ-level scrutiny from day one, not retrofitted later.</w:t>
      </w:r>
    </w:p>
    <w:p>
      <w:pPr>
        <w:pStyle w:val="ListParagraph"/>
        <w:numPr>
          <w:ilvl w:val="0"/>
          <w:numId w:val="1"/>
        </w:numPr>
        <w:spacing w:after="90" w:line="280"/>
      </w:pPr>
      <w:r>
        <w:rPr>
          <w:rFonts w:ascii="Arial" w:cs="Arial" w:eastAsia="Arial" w:hAnsi="Arial"/>
          <w:color w:val="222222"/>
          <w:sz w:val="21"/>
          <w:szCs w:val="21"/>
        </w:rPr>
        <w:t xml:space="preserve">AI-driven claims scrubbing and submission — software checks claims for the errors that trigger denials before they're submitted, then routes clean claims through a licensed clearinghouse/RCM platform partnership. Opt-in practice by practice.</w:t>
      </w:r>
    </w:p>
    <w:p>
      <w:pPr>
        <w:pStyle w:val="ListParagraph"/>
        <w:numPr>
          <w:ilvl w:val="0"/>
          <w:numId w:val="1"/>
        </w:numPr>
        <w:spacing w:after="90" w:line="280"/>
      </w:pPr>
      <w:r>
        <w:rPr>
          <w:rFonts w:ascii="Arial" w:cs="Arial" w:eastAsia="Arial" w:hAnsi="Arial"/>
          <w:color w:val="222222"/>
          <w:sz w:val="21"/>
          <w:szCs w:val="21"/>
        </w:rPr>
        <w:t xml:space="preserve">Denial management and payer follow-up — tracking and resolving denied or underpaid claims on behalf of participating practices.</w:t>
      </w:r>
    </w:p>
    <w:p>
      <w:pPr>
        <w:pStyle w:val="Heading2"/>
        <w:spacing w:after="120" w:before="260"/>
      </w:pPr>
      <w:r>
        <w:rPr>
          <w:rFonts w:ascii="Arial" w:cs="Arial" w:eastAsia="Arial" w:hAnsi="Arial"/>
          <w:b/>
          <w:bCs/>
          <w:color w:val="1E4B3A"/>
          <w:sz w:val="24"/>
          <w:szCs w:val="24"/>
        </w:rPr>
        <w:t xml:space="preserve">Explicitly out of scope for this phase</w:t>
      </w:r>
    </w:p>
    <w:p>
      <w:pPr>
        <w:pStyle w:val="ListParagraph"/>
        <w:numPr>
          <w:ilvl w:val="0"/>
          <w:numId w:val="1"/>
        </w:numPr>
        <w:spacing w:after="90" w:line="280"/>
      </w:pPr>
      <w:r>
        <w:rPr>
          <w:rFonts w:ascii="Arial" w:cs="Arial" w:eastAsia="Arial" w:hAnsi="Arial"/>
          <w:color w:val="222222"/>
          <w:sz w:val="21"/>
          <w:szCs w:val="21"/>
        </w:rPr>
        <w:t xml:space="preserve">Payments — Yield Healthcare will not accept, hold, process, or disburse funds on behalf of an ACO or its practices in this phase. Reimbursement continues to flow directly from payer to practice, exactly as it does today; Yield Healthcare's role stops at getting a clean claim submitted and following up on its status.</w:t>
      </w:r>
    </w:p>
    <w:p>
      <w:pPr>
        <w:pStyle w:val="ListParagraph"/>
        <w:numPr>
          <w:ilvl w:val="0"/>
          <w:numId w:val="1"/>
        </w:numPr>
        <w:spacing w:after="90" w:line="280"/>
      </w:pPr>
      <w:r>
        <w:rPr>
          <w:rFonts w:ascii="Arial" w:cs="Arial" w:eastAsia="Arial" w:hAnsi="Arial"/>
          <w:color w:val="222222"/>
          <w:sz w:val="21"/>
          <w:szCs w:val="21"/>
        </w:rPr>
        <w:t xml:space="preserve">Shared-savings distribution or any other custody-of-funds arrangement.</w:t>
      </w:r>
    </w:p>
    <w:p>
      <w:pPr>
        <w:spacing w:after="180" w:line="300"/>
      </w:pPr>
      <w:r>
        <w:rPr>
          <w:rFonts w:ascii="Arial" w:cs="Arial" w:eastAsia="Arial" w:hAnsi="Arial"/>
          <w:b w:val="false"/>
          <w:bCs w:val="false"/>
          <w:i w:val="false"/>
          <w:iCs w:val="false"/>
          <w:color w:val="222222"/>
          <w:sz w:val="21"/>
          <w:szCs w:val="21"/>
        </w:rPr>
        <w:t xml:space="preserve">This boundary is intentional, not a placeholder. It keeps Yield Healthcare out of money-transmitter licensing, PCI compliance, and banking-relationship requirements that have nothing to do with the coding and billing expertise this line is actually built on. A payments layer is a legitimate future consideration — addressed briefly in the Roadmap section — but is not a commitment this business case is asking for.</w:t>
      </w:r>
    </w:p>
    <w:p>
      <w:pPr>
        <w:spacing w:after="150"/>
      </w:pPr>
    </w:p>
    <w:p>
      <w:pPr>
        <w:pStyle w:val="Heading1"/>
        <w:spacing w:after="160" w:before="360"/>
      </w:pPr>
      <w:r>
        <w:rPr>
          <w:rFonts w:ascii="Arial" w:cs="Arial" w:eastAsia="Arial" w:hAnsi="Arial"/>
          <w:b/>
          <w:bCs/>
          <w:color w:val="1E4B3A"/>
          <w:sz w:val="30"/>
          <w:szCs w:val="30"/>
        </w:rPr>
        <w:t xml:space="preserve">Market Sizing</w:t>
      </w:r>
    </w:p>
    <w:p>
      <w:pPr>
        <w:spacing w:after="180" w:line="300"/>
      </w:pPr>
      <w:r>
        <w:rPr>
          <w:rFonts w:ascii="Arial" w:cs="Arial" w:eastAsia="Arial" w:hAnsi="Arial"/>
          <w:b w:val="false"/>
          <w:bCs w:val="false"/>
          <w:i w:val="false"/>
          <w:iCs w:val="false"/>
          <w:color w:val="222222"/>
          <w:sz w:val="21"/>
          <w:szCs w:val="21"/>
        </w:rPr>
        <w:t xml:space="preserve">This sizing anchors on the same published 2026 CMS ACO participation data used in Yield Healthcare's PMPM business case, since Coding &amp; Billing is being launched into the same population of organizations. All figures should be refined as Yield Healthcare gets real customer-level data from the pilot.</w:t>
      </w:r>
    </w:p>
    <w:p>
      <w:pPr>
        <w:pStyle w:val="Heading3"/>
        <w:spacing w:after="100" w:before="200"/>
      </w:pPr>
      <w:r>
        <w:rPr>
          <w:rFonts w:ascii="Arial" w:cs="Arial" w:eastAsia="Arial" w:hAnsi="Arial"/>
          <w:b/>
          <w:bCs/>
          <w:color w:val="8FA687"/>
          <w:sz w:val="20"/>
          <w:szCs w:val="20"/>
        </w:rPr>
        <w:t xml:space="preserve">TAM — Total Addressable Market</w:t>
      </w:r>
    </w:p>
    <w:p>
      <w:pPr>
        <w:spacing w:after="180" w:line="300"/>
      </w:pPr>
      <w:r>
        <w:rPr>
          <w:rFonts w:ascii="Arial" w:cs="Arial" w:eastAsia="Arial" w:hAnsi="Arial"/>
          <w:b w:val="false"/>
          <w:bCs w:val="false"/>
          <w:i w:val="false"/>
          <w:iCs w:val="false"/>
          <w:color w:val="222222"/>
          <w:sz w:val="21"/>
          <w:szCs w:val="21"/>
        </w:rPr>
        <w:t xml:space="preserve">585 Medicare ACOs are active in 2026 — 511 MSSP ACOs covering 12.6 million beneficiaries, and 74 ACO REACH ACOs covering 1.7 million beneficiaries, for 14.3 million attributed lives in total. If every one of those organizations purchased coding support across its full attributed population at a blended $7 per-beneficiary-per-year fee, that is approximately $100M in annual coding revenue alone. Adding an illustrative billing opportunity across the independent-practice segment of those networks brings the combined TAM to approximately $140M per year, before any commercial ACO-equivalent risk arrangements are counted.</w:t>
      </w:r>
    </w:p>
    <w:p>
      <w:pPr>
        <w:pStyle w:val="Heading3"/>
        <w:spacing w:after="100" w:before="200"/>
      </w:pPr>
      <w:r>
        <w:rPr>
          <w:rFonts w:ascii="Arial" w:cs="Arial" w:eastAsia="Arial" w:hAnsi="Arial"/>
          <w:b/>
          <w:bCs/>
          <w:color w:val="8FA687"/>
          <w:sz w:val="20"/>
          <w:szCs w:val="20"/>
        </w:rPr>
        <w:t xml:space="preserve">SAM — Serviceable Addressable Market</w:t>
      </w:r>
    </w:p>
    <w:p>
      <w:pPr>
        <w:spacing w:after="180" w:line="300"/>
      </w:pPr>
      <w:r>
        <w:rPr>
          <w:rFonts w:ascii="Arial" w:cs="Arial" w:eastAsia="Arial" w:hAnsi="Arial"/>
          <w:b w:val="false"/>
          <w:bCs w:val="false"/>
          <w:i w:val="false"/>
          <w:iCs w:val="false"/>
          <w:color w:val="222222"/>
          <w:sz w:val="21"/>
          <w:szCs w:val="21"/>
        </w:rPr>
        <w:t xml:space="preserve">The realistic near-term buyer is the same population Yield Healthcare's PMPM line already targets: two-sided-risk organizations of sufficient scale (roughly 15,000+ attributed lives) to justify an external vendor relationship — approximately 700 organizations and 24 million attributed lives. Within that group, the practices most likely to want billing support specifically are smaller, independent primary care groups without in-house RCM infrastructure, which is a meaningful but not universal share of ACO-participating providers.</w:t>
      </w:r>
    </w:p>
    <w:p>
      <w:pPr>
        <w:pStyle w:val="Heading3"/>
        <w:spacing w:after="100" w:before="200"/>
      </w:pPr>
      <w:r>
        <w:rPr>
          <w:rFonts w:ascii="Arial" w:cs="Arial" w:eastAsia="Arial" w:hAnsi="Arial"/>
          <w:b/>
          <w:bCs/>
          <w:color w:val="8FA687"/>
          <w:sz w:val="20"/>
          <w:szCs w:val="20"/>
        </w:rPr>
        <w:t xml:space="preserve">SOM — Serviceable Obtainable Market (3-year plan)</w:t>
      </w:r>
    </w:p>
    <w:p>
      <w:pPr>
        <w:spacing w:after="180" w:line="300"/>
      </w:pPr>
      <w:r>
        <w:rPr>
          <w:rFonts w:ascii="Arial" w:cs="Arial" w:eastAsia="Arial" w:hAnsi="Arial"/>
          <w:b w:val="false"/>
          <w:bCs w:val="false"/>
          <w:i w:val="false"/>
          <w:iCs w:val="false"/>
          <w:color w:val="222222"/>
          <w:sz w:val="21"/>
          <w:szCs w:val="21"/>
        </w:rPr>
        <w:t xml:space="preserve">Given the pilot-first approach recommended in this document, the three-year plan reaches roughly 30 ACO relationships for coding and 8 ACO relationships with an active billing offering by the end of Year 3, generating $8.14M in Year 3 revenue. That is a deliberately small fraction of TAM — this line is sized to prove the model on Yield Healthcare's existing relationships before deciding whether to invest in scaling it to the full market. The practice-level opt-in path for coding is not separately modeled in these figures; it is a smaller, earlier-revenue addition to the 30-ACO figure above, and should be sized properly once Year 1 pilot data shows how many practices inside a non-contracted ACO actually opt in on their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560"/>
      </w:tblGrid>
      <w:tr>
        <w:trPr>
          <w:tblHeader/>
        </w:trPr>
        <w:tc>
          <w:tcPr>
            <w:tcW w:type="dxa" w:w="460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
            </w:r>
          </w:p>
        </w:tc>
        <w:tc>
          <w:tcPr>
            <w:tcW w:type="dxa" w:w="220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Organizations</w:t>
            </w:r>
          </w:p>
        </w:tc>
        <w:tc>
          <w:tcPr>
            <w:tcW w:type="dxa" w:w="256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Annual Revenue Potential</w:t>
            </w:r>
          </w:p>
        </w:tc>
      </w:tr>
      <w:tr>
        <w:tc>
          <w:tcPr>
            <w:tcW w:type="dxa" w:w="460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TAM (all Medicare ACOs, full coding + billing penetration)</w:t>
            </w:r>
          </w:p>
        </w:tc>
        <w:tc>
          <w:tcPr>
            <w:tcW w:type="dxa" w:w="220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585</w:t>
            </w:r>
          </w:p>
        </w:tc>
        <w:tc>
          <w:tcPr>
            <w:tcW w:type="dxa" w:w="256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~$140M</w:t>
            </w:r>
          </w:p>
        </w:tc>
      </w:tr>
      <w:tr>
        <w:tc>
          <w:tcPr>
            <w:tcW w:type="dxa" w:w="460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SAM (two-sided-risk organizations, 15,000+ lives — same base as PMPM)</w:t>
            </w:r>
          </w:p>
        </w:tc>
        <w:tc>
          <w:tcPr>
            <w:tcW w:type="dxa" w:w="220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~700</w:t>
            </w:r>
          </w:p>
        </w:tc>
        <w:tc>
          <w:tcPr>
            <w:tcW w:type="dxa" w:w="256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~$65M (coding only, illustrative)</w:t>
            </w:r>
          </w:p>
        </w:tc>
      </w:tr>
      <w:tr>
        <w:tc>
          <w:tcPr>
            <w:tcW w:type="dxa" w:w="460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SOM (Year 3 plan, coding + billing, pilot-led)</w:t>
            </w:r>
          </w:p>
        </w:tc>
        <w:tc>
          <w:tcPr>
            <w:tcW w:type="dxa" w:w="220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30 coding / 8 billing</w:t>
            </w:r>
          </w:p>
        </w:tc>
        <w:tc>
          <w:tcPr>
            <w:tcW w:type="dxa" w:w="256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$8.14M</w:t>
            </w:r>
          </w:p>
        </w:tc>
      </w:tr>
    </w:tbl>
    <w:p>
      <w:pPr>
        <w:spacing w:after="150"/>
      </w:pPr>
    </w:p>
    <w:p>
      <w:pPr>
        <w:pStyle w:val="Heading1"/>
        <w:spacing w:after="160" w:before="360"/>
      </w:pPr>
      <w:r>
        <w:rPr>
          <w:rFonts w:ascii="Arial" w:cs="Arial" w:eastAsia="Arial" w:hAnsi="Arial"/>
          <w:b/>
          <w:bCs/>
          <w:color w:val="1E4B3A"/>
          <w:sz w:val="30"/>
          <w:szCs w:val="30"/>
        </w:rPr>
        <w:t xml:space="preserve">Product &amp; Pricing Structure</w:t>
      </w:r>
    </w:p>
    <w:p>
      <w:pPr>
        <w:spacing w:after="180" w:line="300"/>
      </w:pPr>
      <w:r>
        <w:rPr>
          <w:rFonts w:ascii="Arial" w:cs="Arial" w:eastAsia="Arial" w:hAnsi="Arial"/>
          <w:b w:val="false"/>
          <w:bCs w:val="false"/>
          <w:i w:val="false"/>
          <w:iCs w:val="false"/>
          <w:color w:val="222222"/>
          <w:sz w:val="21"/>
          <w:szCs w:val="21"/>
        </w:rPr>
        <w:t xml:space="preserve">Coding &amp; Billing is structured as two related but separable services. An ACO can buy coding support without billing, and — for the segment of its network that wants it — layer on billing support for participating practices. Neither requires the other, which keeps the initial sale simple and matches how the demand has actually shown up: some ACOs are asking specifically about coding, others specifically about billing for their smaller practices.</w:t>
      </w:r>
    </w:p>
    <w:p>
      <w:pPr>
        <w:pStyle w:val="Heading2"/>
        <w:spacing w:after="120" w:before="260"/>
      </w:pPr>
      <w:r>
        <w:rPr>
          <w:rFonts w:ascii="Arial" w:cs="Arial" w:eastAsia="Arial" w:hAnsi="Arial"/>
          <w:b/>
          <w:bCs/>
          <w:color w:val="1E4B3A"/>
          <w:sz w:val="24"/>
          <w:szCs w:val="24"/>
        </w:rPr>
        <w:t xml:space="preserve">Coding &amp; Risk-Adjustment Documentation Support</w:t>
      </w:r>
    </w:p>
    <w:p>
      <w:pPr>
        <w:spacing w:after="180" w:line="300"/>
      </w:pPr>
      <w:r>
        <w:rPr>
          <w:rFonts w:ascii="Arial" w:cs="Arial" w:eastAsia="Arial" w:hAnsi="Arial"/>
          <w:b w:val="false"/>
          <w:bCs w:val="false"/>
          <w:i w:val="false"/>
          <w:iCs w:val="false"/>
          <w:color w:val="222222"/>
          <w:sz w:val="21"/>
          <w:szCs w:val="21"/>
        </w:rPr>
        <w:t xml:space="preserve">AI-driven chart-level HCC coding review paired with clinical documentation improvement support. The model reads clinical documentation and flags undercoded conditions; a certified coder reviews and confirms every flag before anything is finalized. Sold two ways: a single ACO-wide contract covering the full attributed population (the stronger offer, since the benchmark reflects the whole population), or opt-in practice by practice for ACOs not ready to commit at that level. Priced per attributed beneficiary per year (PMPY) rather than as a percentage of risk-score lift or shared-savings result in either case — a deliberate choice that keeps the incentive on documentation accuracy rather than on maximizing coded risk, which matters given the regulatory environment around risk-adjustment coding.</w:t>
      </w:r>
    </w:p>
    <w:p>
      <w:pPr>
        <w:spacing w:after="180" w:line="300"/>
      </w:pPr>
      <w:r>
        <w:rPr>
          <w:rFonts w:ascii="Arial" w:cs="Arial" w:eastAsia="Arial" w:hAnsi="Arial"/>
          <w:b w:val="false"/>
          <w:bCs w:val="false"/>
          <w:i w:val="false"/>
          <w:iCs w:val="false"/>
          <w:color w:val="222222"/>
          <w:sz w:val="21"/>
          <w:szCs w:val="21"/>
        </w:rPr>
        <w:t xml:space="preserve">Pricing: blended $6-$9 PMPY for an ACO-wide contract, $10-$14 PMPY for practice-level opt-in (smaller scale per contract, more relationship overhead per beneficiary covered), at an estimated 45-50% delivery margin. The AI does the volume work of reading documentation and surfacing candidates; certified coders and CDI specialists reviewing those flags are the primary remaining cost driver, and that cost scales sub-linearly with volume in a way a fully manual review process would not.</w:t>
      </w:r>
    </w:p>
    <w:p>
      <w:pPr>
        <w:pStyle w:val="Heading2"/>
        <w:spacing w:after="120" w:before="260"/>
      </w:pPr>
      <w:r>
        <w:rPr>
          <w:rFonts w:ascii="Arial" w:cs="Arial" w:eastAsia="Arial" w:hAnsi="Arial"/>
          <w:b/>
          <w:bCs/>
          <w:color w:val="1E4B3A"/>
          <w:sz w:val="24"/>
          <w:szCs w:val="24"/>
        </w:rPr>
        <w:t xml:space="preserve">Billing / Claims Support</w:t>
      </w:r>
    </w:p>
    <w:p>
      <w:pPr>
        <w:spacing w:after="180" w:line="300"/>
      </w:pPr>
      <w:r>
        <w:rPr>
          <w:rFonts w:ascii="Arial" w:cs="Arial" w:eastAsia="Arial" w:hAnsi="Arial"/>
          <w:b w:val="false"/>
          <w:bCs w:val="false"/>
          <w:i w:val="false"/>
          <w:iCs w:val="false"/>
          <w:color w:val="222222"/>
          <w:sz w:val="21"/>
          <w:szCs w:val="21"/>
        </w:rPr>
        <w:t xml:space="preserve">AI-driven claims scrubbing, submission, and denial management for independent practices inside an ACO's network that lack in-house billing infrastructure. The model checks claims for the errors that typically trigger denials before submission; clean claims route through a licensed clearinghouse/RCM platform partnership rather than Yield Healthcare-built claims infrastructure — see Build vs. Partner below. Opt-in practice by practice; there is no ACO-wide version of this service, since billing is inherently a practice-level operational function, not a population-level benchmark like coding.</w:t>
      </w:r>
    </w:p>
    <w:p>
      <w:pPr>
        <w:spacing w:after="180" w:line="300"/>
      </w:pPr>
      <w:r>
        <w:rPr>
          <w:rFonts w:ascii="Arial" w:cs="Arial" w:eastAsia="Arial" w:hAnsi="Arial"/>
          <w:b w:val="false"/>
          <w:bCs w:val="false"/>
          <w:i w:val="false"/>
          <w:iCs w:val="false"/>
          <w:color w:val="222222"/>
          <w:sz w:val="21"/>
          <w:szCs w:val="21"/>
        </w:rPr>
        <w:t xml:space="preserve">Pricing: either a percentage of collected claims revenue (4-6%, for practices that want full outsourcing) or a flat per-provider monthly fee ($450-$650, for practices that want claims scrubbing and denial management only, while keeping submission in-house). Estimated 25-30% delivery margin at launch, reflecting the revenue share paid to the platform partner; margin should improve as volume grows, the AI models mature, and portions of the workflow are brought in-house.</w:t>
      </w:r>
    </w:p>
    <w:p>
      <w:pPr>
        <w:pStyle w:val="Heading2"/>
        <w:spacing w:after="120" w:before="260"/>
      </w:pPr>
      <w:r>
        <w:rPr>
          <w:rFonts w:ascii="Arial" w:cs="Arial" w:eastAsia="Arial" w:hAnsi="Arial"/>
          <w:b/>
          <w:bCs/>
          <w:color w:val="1E4B3A"/>
          <w:sz w:val="24"/>
          <w:szCs w:val="24"/>
        </w:rPr>
        <w:t xml:space="preserve">Pricing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40"/>
        <w:gridCol w:w="3520"/>
      </w:tblGrid>
      <w:tr>
        <w:trPr>
          <w:tblHeader/>
        </w:trPr>
        <w:tc>
          <w:tcPr>
            <w:tcW w:type="dxa" w:w="240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
            </w:r>
          </w:p>
        </w:tc>
        <w:tc>
          <w:tcPr>
            <w:tcW w:type="dxa" w:w="344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Coding &amp; Documentation Support</w:t>
            </w:r>
          </w:p>
        </w:tc>
        <w:tc>
          <w:tcPr>
            <w:tcW w:type="dxa" w:w="352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Billing / Claims Support</w:t>
            </w:r>
          </w:p>
        </w:tc>
      </w:tr>
      <w:tr>
        <w:tc>
          <w:tcPr>
            <w:tcW w:type="dxa" w:w="240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Structure</w:t>
            </w:r>
          </w:p>
        </w:tc>
        <w:tc>
          <w:tcPr>
            <w:tcW w:type="dxa" w:w="344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PMPY fee, ACO-wide contract or practice opt-in</w:t>
            </w:r>
          </w:p>
        </w:tc>
        <w:tc>
          <w:tcPr>
            <w:tcW w:type="dxa" w:w="352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 of collections or flat per-provider fee, opt-in only</w:t>
            </w:r>
          </w:p>
        </w:tc>
      </w:tr>
      <w:tr>
        <w:tc>
          <w:tcPr>
            <w:tcW w:type="dxa" w:w="240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Illustrative price</w:t>
            </w:r>
          </w:p>
        </w:tc>
        <w:tc>
          <w:tcPr>
            <w:tcW w:type="dxa" w:w="344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$6-$9 PMPY (ACO-wide) / $10-$14 PMPY (practice opt-in)</w:t>
            </w:r>
          </w:p>
        </w:tc>
        <w:tc>
          <w:tcPr>
            <w:tcW w:type="dxa" w:w="352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4-6% of collections, or $450-$650/provider/month</w:t>
            </w:r>
          </w:p>
        </w:tc>
      </w:tr>
      <w:tr>
        <w:tc>
          <w:tcPr>
            <w:tcW w:type="dxa" w:w="240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Delivery model</w:t>
            </w:r>
          </w:p>
        </w:tc>
        <w:tc>
          <w:tcPr>
            <w:tcW w:type="dxa" w:w="344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AI-driven review + in-house certified coders/CDI, human confirms every flag</w:t>
            </w:r>
          </w:p>
        </w:tc>
        <w:tc>
          <w:tcPr>
            <w:tcW w:type="dxa" w:w="352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AI-driven claims scrubbing + licensed RCM/clearinghouse partner</w:t>
            </w:r>
          </w:p>
        </w:tc>
      </w:tr>
      <w:tr>
        <w:tc>
          <w:tcPr>
            <w:tcW w:type="dxa" w:w="240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Estimated margin</w:t>
            </w:r>
          </w:p>
        </w:tc>
        <w:tc>
          <w:tcPr>
            <w:tcW w:type="dxa" w:w="344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45-50%</w:t>
            </w:r>
          </w:p>
        </w:tc>
        <w:tc>
          <w:tcPr>
            <w:tcW w:type="dxa" w:w="352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25-30% at launch</w:t>
            </w:r>
          </w:p>
        </w:tc>
      </w:tr>
      <w:tr>
        <w:tc>
          <w:tcPr>
            <w:tcW w:type="dxa" w:w="240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Sold to</w:t>
            </w:r>
          </w:p>
        </w:tc>
        <w:tc>
          <w:tcPr>
            <w:tcW w:type="dxa" w:w="344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ACO leadership, or individual practices directly</w:t>
            </w:r>
          </w:p>
        </w:tc>
        <w:tc>
          <w:tcPr>
            <w:tcW w:type="dxa" w:w="352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ACO-participating independent practices, via the ACO relationship</w:t>
            </w:r>
          </w:p>
        </w:tc>
      </w:tr>
    </w:tbl>
    <w:p>
      <w:pPr>
        <w:spacing w:after="200"/>
      </w:pPr>
      <w:r>
        <w:rPr>
          <w:rFonts w:ascii="Arial" w:cs="Arial" w:eastAsia="Arial" w:hAnsi="Arial"/>
          <w:i/>
          <w:iCs/>
          <w:color w:val="808080"/>
          <w:sz w:val="16"/>
          <w:szCs w:val="16"/>
        </w:rPr>
        <w:t xml:space="preserve">All prices and margins are Yield Healthcare planning estimates, to be refined once pilot customer contracts are signed.</w:t>
      </w:r>
    </w:p>
    <w:p>
      <w:pPr>
        <w:pStyle w:val="Heading1"/>
        <w:spacing w:after="160" w:before="360"/>
      </w:pPr>
      <w:r>
        <w:rPr>
          <w:rFonts w:ascii="Arial" w:cs="Arial" w:eastAsia="Arial" w:hAnsi="Arial"/>
          <w:b/>
          <w:bCs/>
          <w:color w:val="1E4B3A"/>
          <w:sz w:val="30"/>
          <w:szCs w:val="30"/>
        </w:rPr>
        <w:t xml:space="preserve">Build vs. Partner</w:t>
      </w:r>
    </w:p>
    <w:p>
      <w:pPr>
        <w:spacing w:after="180" w:line="300"/>
      </w:pPr>
      <w:r>
        <w:rPr>
          <w:rFonts w:ascii="Arial" w:cs="Arial" w:eastAsia="Arial" w:hAnsi="Arial"/>
          <w:b w:val="false"/>
          <w:bCs w:val="false"/>
          <w:i w:val="false"/>
          <w:iCs w:val="false"/>
          <w:color w:val="222222"/>
          <w:sz w:val="21"/>
          <w:szCs w:val="21"/>
        </w:rPr>
        <w:t xml:space="preserve">The two services warrant different answers to this question, and getting it right matters more here than it did for TEAM or PMPM, because billing infrastructure in particular is not something Yield Healthcare has ever built before.</w:t>
      </w:r>
    </w:p>
    <w:p>
      <w:pPr>
        <w:pStyle w:val="Heading2"/>
        <w:spacing w:after="120" w:before="260"/>
      </w:pPr>
      <w:r>
        <w:rPr>
          <w:rFonts w:ascii="Arial" w:cs="Arial" w:eastAsia="Arial" w:hAnsi="Arial"/>
          <w:b/>
          <w:bCs/>
          <w:color w:val="1E4B3A"/>
          <w:sz w:val="24"/>
          <w:szCs w:val="24"/>
        </w:rPr>
        <w:t xml:space="preserve">Coding — build in-house</w:t>
      </w:r>
    </w:p>
    <w:p>
      <w:pPr>
        <w:spacing w:after="180" w:line="300"/>
      </w:pPr>
      <w:r>
        <w:rPr>
          <w:rFonts w:ascii="Arial" w:cs="Arial" w:eastAsia="Arial" w:hAnsi="Arial"/>
          <w:b w:val="false"/>
          <w:bCs w:val="false"/>
          <w:i w:val="false"/>
          <w:iCs w:val="false"/>
          <w:color w:val="222222"/>
          <w:sz w:val="21"/>
          <w:szCs w:val="21"/>
        </w:rPr>
        <w:t xml:space="preserve">Coding review and documentation improvement is the differentiated, higher-margin half of this line, and it is close to Yield Healthcare's existing capabilities: it depends on clinical judgment, claims data fluency, and the same population-level analytics muscle already built for PMPM. This is worth building directly rather than outsourcing the core service a customer is paying for, which now means two things, not one: hiring certified coders (CPC/CRC) and CDI specialists to review and confirm every AI-surfaced flag, and building or licensing the underlying coding-detection models those coders review. The second piece is a genuinely new capability for Yield Healthcare, closer to a data science hire than a clinical one, and it should be planned as such rather than assumed to fall out of the existing PMPM analytics team.</w:t>
      </w:r>
    </w:p>
    <w:p>
      <w:pPr>
        <w:pStyle w:val="Heading2"/>
        <w:spacing w:after="120" w:before="260"/>
      </w:pPr>
      <w:r>
        <w:rPr>
          <w:rFonts w:ascii="Arial" w:cs="Arial" w:eastAsia="Arial" w:hAnsi="Arial"/>
          <w:b/>
          <w:bCs/>
          <w:color w:val="1E4B3A"/>
          <w:sz w:val="24"/>
          <w:szCs w:val="24"/>
        </w:rPr>
        <w:t xml:space="preserve">Billing — partner at launch, revisit build later</w:t>
      </w:r>
    </w:p>
    <w:p>
      <w:pPr>
        <w:spacing w:after="180" w:line="300"/>
      </w:pPr>
      <w:r>
        <w:rPr>
          <w:rFonts w:ascii="Arial" w:cs="Arial" w:eastAsia="Arial" w:hAnsi="Arial"/>
          <w:b w:val="false"/>
          <w:bCs w:val="false"/>
          <w:i w:val="false"/>
          <w:iCs w:val="false"/>
          <w:color w:val="222222"/>
          <w:sz w:val="21"/>
          <w:szCs w:val="21"/>
        </w:rPr>
        <w:t xml:space="preserve">Claims submission requires clearinghouse connectivity, payer enrollment, and EDI infrastructure that Yield Healthcare has no existing footprint in, and building it from scratch would slow the pilot down by months without adding differentiation — the value Yield Healthcare brings is the ACO relationship and oversight, not a proprietary clearinghouse. The recommendation is to license or white-label an established RCM/clearinghouse platform (comparable to the infrastructure vendors like Waystar or Availity provide, or a smaller platform willing to structure a white-label or revenue-share agreement) and wrap Yield Healthcare's ACO relationship, practice onboarding, and oversight on top of it. Once billing volume is proven and meaningful, bringing more of the workflow in-house becomes a legitimate Year 3+ margin-improvement decision, not a Year 1 requirement.</w:t>
      </w:r>
    </w:p>
    <w:p>
      <w:pPr>
        <w:spacing w:after="150"/>
      </w:pPr>
    </w:p>
    <w:p>
      <w:pPr>
        <w:pStyle w:val="Heading1"/>
        <w:spacing w:after="160" w:before="360"/>
      </w:pPr>
      <w:r>
        <w:rPr>
          <w:rFonts w:ascii="Arial" w:cs="Arial" w:eastAsia="Arial" w:hAnsi="Arial"/>
          <w:b/>
          <w:bCs/>
          <w:color w:val="1E4B3A"/>
          <w:sz w:val="30"/>
          <w:szCs w:val="30"/>
        </w:rPr>
        <w:t xml:space="preserve">Competitive Landscape</w:t>
      </w:r>
    </w:p>
    <w:p>
      <w:pPr>
        <w:spacing w:after="180" w:line="300"/>
      </w:pPr>
      <w:r>
        <w:rPr>
          <w:rFonts w:ascii="Arial" w:cs="Arial" w:eastAsia="Arial" w:hAnsi="Arial"/>
          <w:b w:val="false"/>
          <w:bCs w:val="false"/>
          <w:i w:val="false"/>
          <w:iCs w:val="false"/>
          <w:color w:val="222222"/>
          <w:sz w:val="21"/>
          <w:szCs w:val="21"/>
        </w:rPr>
        <w:t xml:space="preserve">Coding and billing are each served by established, mature vendor categories — but almost no vendor does both alongside a population-level PMPM relationship the way Yield Healthcare is positioned to.</w:t>
      </w:r>
    </w:p>
    <w:p>
      <w:pPr>
        <w:pStyle w:val="ListParagraph"/>
        <w:numPr>
          <w:ilvl w:val="0"/>
          <w:numId w:val="1"/>
        </w:numPr>
        <w:spacing w:after="90" w:line="280"/>
      </w:pPr>
      <w:r>
        <w:rPr>
          <w:rFonts w:ascii="Arial" w:cs="Arial" w:eastAsia="Arial" w:hAnsi="Arial"/>
          <w:color w:val="222222"/>
          <w:sz w:val="21"/>
          <w:szCs w:val="21"/>
        </w:rPr>
        <w:t xml:space="preserve">Risk-adjustment coding specialists (Episource, Vatica Health, Reveleer, Apixio, and similar) are focused, credible players in HCC coding and in-home risk-adjustment assessments, but generally sell coding as a standalone service, disconnected from any broader population care management relationship.</w:t>
      </w:r>
    </w:p>
    <w:p>
      <w:pPr>
        <w:pStyle w:val="ListParagraph"/>
        <w:numPr>
          <w:ilvl w:val="0"/>
          <w:numId w:val="1"/>
        </w:numPr>
        <w:spacing w:after="90" w:line="280"/>
      </w:pPr>
      <w:r>
        <w:rPr>
          <w:rFonts w:ascii="Arial" w:cs="Arial" w:eastAsia="Arial" w:hAnsi="Arial"/>
          <w:color w:val="222222"/>
          <w:sz w:val="21"/>
          <w:szCs w:val="21"/>
        </w:rPr>
        <w:t xml:space="preserve">RCM and billing platforms (R1 RCM, Waystar, athenahealth, and smaller independent-practice-focused players such as Tebra/Kareo) are strong at claims infrastructure but are not ACO-specific and have no natural tie to risk-adjustment coding or population health management.</w:t>
      </w:r>
    </w:p>
    <w:p>
      <w:pPr>
        <w:pStyle w:val="ListParagraph"/>
        <w:numPr>
          <w:ilvl w:val="0"/>
          <w:numId w:val="1"/>
        </w:numPr>
        <w:spacing w:after="90" w:line="280"/>
      </w:pPr>
      <w:r>
        <w:rPr>
          <w:rFonts w:ascii="Arial" w:cs="Arial" w:eastAsia="Arial" w:hAnsi="Arial"/>
          <w:color w:val="222222"/>
          <w:sz w:val="21"/>
          <w:szCs w:val="21"/>
        </w:rPr>
        <w:t xml:space="preserve">ACO enablement platforms (Aledade, Evolent Care Partners) increasingly touch coding and quality reporting as part of their infrastructure layer, and are a real long-term competitive risk if they choose to build or acquire billing capability — but today neither offers the combination of coding, billing, and hands-on population care management Yield Healthcare already has underway through PMPM.</w:t>
      </w:r>
    </w:p>
    <w:p>
      <w:pPr>
        <w:pStyle w:val="ListParagraph"/>
        <w:numPr>
          <w:ilvl w:val="0"/>
          <w:numId w:val="1"/>
        </w:numPr>
        <w:spacing w:after="90" w:line="280"/>
      </w:pPr>
      <w:r>
        <w:rPr>
          <w:rFonts w:ascii="Arial" w:cs="Arial" w:eastAsia="Arial" w:hAnsi="Arial"/>
          <w:color w:val="222222"/>
          <w:sz w:val="21"/>
          <w:szCs w:val="21"/>
        </w:rPr>
        <w:t xml:space="preserve">Yield Healthcare's differentiation is the same as it was for PMPM: real operating relationships with ACOs already in place, and a claims-data and analytics foundation this line can extend rather than build from zero.</w:t>
      </w:r>
    </w:p>
    <w:p>
      <w:pPr>
        <w:spacing w:after="150"/>
      </w:pPr>
    </w:p>
    <w:p>
      <w:pPr>
        <w:pStyle w:val="Heading1"/>
        <w:spacing w:after="160" w:before="360"/>
      </w:pPr>
      <w:r>
        <w:rPr>
          <w:rFonts w:ascii="Arial" w:cs="Arial" w:eastAsia="Arial" w:hAnsi="Arial"/>
          <w:b/>
          <w:bCs/>
          <w:color w:val="1E4B3A"/>
          <w:sz w:val="30"/>
          <w:szCs w:val="30"/>
        </w:rPr>
        <w:t xml:space="preserve">Go-to-Market Strategy</w:t>
      </w:r>
    </w:p>
    <w:p>
      <w:pPr>
        <w:spacing w:after="180" w:line="300"/>
      </w:pPr>
      <w:r>
        <w:rPr>
          <w:rFonts w:ascii="Arial" w:cs="Arial" w:eastAsia="Arial" w:hAnsi="Arial"/>
          <w:b w:val="false"/>
          <w:bCs w:val="false"/>
          <w:i w:val="false"/>
          <w:iCs w:val="false"/>
          <w:color w:val="222222"/>
          <w:sz w:val="21"/>
          <w:szCs w:val="21"/>
        </w:rPr>
        <w:t xml:space="preserve">The primary channel is not new business development — it is Yield Healthcare's existing PMPM customer base, several of whom have already asked for exactly this. That should shape both the pace and the sequencing: prove the model with willing, already-engaged customers before deciding how hard to push into net-new ACO relationships.</w:t>
      </w:r>
    </w:p>
    <w:p>
      <w:pPr>
        <w:pStyle w:val="Heading3"/>
        <w:spacing w:after="100" w:before="200"/>
      </w:pPr>
      <w:r>
        <w:rPr>
          <w:rFonts w:ascii="Arial" w:cs="Arial" w:eastAsia="Arial" w:hAnsi="Arial"/>
          <w:b/>
          <w:bCs/>
          <w:color w:val="8FA687"/>
          <w:sz w:val="20"/>
          <w:szCs w:val="20"/>
        </w:rPr>
        <w:t xml:space="preserve">Year 1 — Pilot with existing relationships</w:t>
      </w:r>
    </w:p>
    <w:p>
      <w:pPr>
        <w:spacing w:after="180" w:line="300"/>
      </w:pPr>
      <w:r>
        <w:rPr>
          <w:rFonts w:ascii="Arial" w:cs="Arial" w:eastAsia="Arial" w:hAnsi="Arial"/>
          <w:b w:val="false"/>
          <w:bCs w:val="false"/>
          <w:i w:val="false"/>
          <w:iCs w:val="false"/>
          <w:color w:val="222222"/>
          <w:sz w:val="21"/>
          <w:szCs w:val="21"/>
        </w:rPr>
        <w:t xml:space="preserve">Launch coding support only, with 5 pilot ACOs drawn from Yield Healthcare's current PMPM book of business — prioritizing the customers who initiated the ask. No billing offering yet. Priority: get the coding methodology, the documentation-support workflow, and the compliance audit trail right with a small, trusted group before adding a second service line.</w:t>
      </w:r>
    </w:p>
    <w:p>
      <w:pPr>
        <w:pStyle w:val="Heading3"/>
        <w:spacing w:after="100" w:before="200"/>
      </w:pPr>
      <w:r>
        <w:rPr>
          <w:rFonts w:ascii="Arial" w:cs="Arial" w:eastAsia="Arial" w:hAnsi="Arial"/>
          <w:b/>
          <w:bCs/>
          <w:color w:val="8FA687"/>
          <w:sz w:val="20"/>
          <w:szCs w:val="20"/>
        </w:rPr>
        <w:t xml:space="preserve">Year 2 — Add billing, expand coding beyond the installed base</w:t>
      </w:r>
    </w:p>
    <w:p>
      <w:pPr>
        <w:spacing w:after="180" w:line="300"/>
      </w:pPr>
      <w:r>
        <w:rPr>
          <w:rFonts w:ascii="Arial" w:cs="Arial" w:eastAsia="Arial" w:hAnsi="Arial"/>
          <w:b w:val="false"/>
          <w:bCs w:val="false"/>
          <w:i w:val="false"/>
          <w:iCs w:val="false"/>
          <w:color w:val="222222"/>
          <w:sz w:val="21"/>
          <w:szCs w:val="21"/>
        </w:rPr>
        <w:t xml:space="preserve">Stand up the billing/claims support offering through a licensed RCM partner, piloting with 3 ACOs whose independent-practice networks have the clearest billing infrastructure gap. Expand coding to 10 net-new ACOs beyond the original PMPM-affiliated pilot group, testing whether coding sells as a standalone offering, not just a PMPM add-on.</w:t>
      </w:r>
    </w:p>
    <w:p>
      <w:pPr>
        <w:pStyle w:val="Heading3"/>
        <w:spacing w:after="100" w:before="200"/>
      </w:pPr>
      <w:r>
        <w:rPr>
          <w:rFonts w:ascii="Arial" w:cs="Arial" w:eastAsia="Arial" w:hAnsi="Arial"/>
          <w:b/>
          <w:bCs/>
          <w:color w:val="8FA687"/>
          <w:sz w:val="20"/>
          <w:szCs w:val="20"/>
        </w:rPr>
        <w:t xml:space="preserve">Year 3 — Scale both lines</w:t>
      </w:r>
    </w:p>
    <w:p>
      <w:pPr>
        <w:spacing w:after="180" w:line="300"/>
      </w:pPr>
      <w:r>
        <w:rPr>
          <w:rFonts w:ascii="Arial" w:cs="Arial" w:eastAsia="Arial" w:hAnsi="Arial"/>
          <w:b w:val="false"/>
          <w:bCs w:val="false"/>
          <w:i w:val="false"/>
          <w:iCs w:val="false"/>
          <w:color w:val="222222"/>
          <w:sz w:val="21"/>
          <w:szCs w:val="21"/>
        </w:rPr>
        <w:t xml:space="preserve">Twelve additional ACOs for coding (30 total) and 5 additional ACOs for billing (8 total), with retention assumed at 90% annually on both. Use Year 3 as the checkpoint for whether this remains a bolt-on to PMPM or justifies dedicated go-to-market investment of its own.</w:t>
      </w:r>
    </w:p>
    <w:p>
      <w:pPr>
        <w:spacing w:after="180" w:line="300"/>
      </w:pPr>
      <w:r>
        <w:rPr>
          <w:rFonts w:ascii="Arial" w:cs="Arial" w:eastAsia="Arial" w:hAnsi="Arial"/>
          <w:b w:val="false"/>
          <w:bCs w:val="false"/>
          <w:i w:val="false"/>
          <w:iCs w:val="false"/>
          <w:color w:val="222222"/>
          <w:sz w:val="21"/>
          <w:szCs w:val="21"/>
        </w:rPr>
        <w:t xml:space="preserve">Sales motion: for the first 12-18 months, this is closer to account management than net-new sales — the existing PMPM enterprise sales and customer success function is the right owner, not a separate sales team. A dedicated Coding &amp; Billing sales motion only becomes worth building once Year 2-3 data shows the offering sells well outside the installed base.</w:t>
      </w:r>
    </w:p>
    <w:p>
      <w:pPr>
        <w:pStyle w:val="Heading1"/>
        <w:spacing w:after="160" w:before="360"/>
      </w:pPr>
      <w:r>
        <w:rPr>
          <w:rFonts w:ascii="Arial" w:cs="Arial" w:eastAsia="Arial" w:hAnsi="Arial"/>
          <w:b/>
          <w:bCs/>
          <w:color w:val="1E4B3A"/>
          <w:sz w:val="30"/>
          <w:szCs w:val="30"/>
        </w:rPr>
        <w:t xml:space="preserve">Financial Summary</w:t>
      </w:r>
    </w:p>
    <w:p>
      <w:pPr>
        <w:spacing w:after="180" w:line="300"/>
      </w:pPr>
      <w:r>
        <w:rPr>
          <w:rFonts w:ascii="Arial" w:cs="Arial" w:eastAsia="Arial" w:hAnsi="Arial"/>
          <w:b w:val="false"/>
          <w:bCs w:val="false"/>
          <w:i w:val="false"/>
          <w:iCs w:val="false"/>
          <w:color w:val="222222"/>
          <w:sz w:val="21"/>
          <w:szCs w:val="21"/>
        </w:rPr>
        <w:t xml:space="preserve">This build is deliberately smaller and slower-ramping than TEAM's or PMPM's, reflecting the pilot-first recommendation above. It assumes 90% annual retention once a customer is signed and no committed billing revenue until Year 2, when the platform partnership is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2136"/>
        <w:gridCol w:w="2136"/>
        <w:gridCol w:w="2136"/>
      </w:tblGrid>
      <w:tr>
        <w:trPr>
          <w:tblHeader/>
        </w:trPr>
        <w:tc>
          <w:tcPr>
            <w:tcW w:type="dxa" w:w="296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
            </w:r>
          </w:p>
        </w:tc>
        <w:tc>
          <w:tcPr>
            <w:tcW w:type="dxa" w:w="2136"/>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Year 1</w:t>
            </w:r>
          </w:p>
        </w:tc>
        <w:tc>
          <w:tcPr>
            <w:tcW w:type="dxa" w:w="2136"/>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Year 2</w:t>
            </w:r>
          </w:p>
        </w:tc>
        <w:tc>
          <w:tcPr>
            <w:tcW w:type="dxa" w:w="2136"/>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Year 3</w:t>
            </w:r>
          </w:p>
        </w:tc>
      </w:tr>
      <w:tr>
        <w:tc>
          <w:tcPr>
            <w:tcW w:type="dxa" w:w="296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Coding revenue</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$700,000</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$2,475,000</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$5,760,000</w:t>
            </w:r>
          </w:p>
        </w:tc>
      </w:tr>
      <w:tr>
        <w:tc>
          <w:tcPr>
            <w:tcW w:type="dxa" w:w="296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Billing revenue</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$0</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$720,000</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$2,376,000</w:t>
            </w:r>
          </w:p>
        </w:tc>
      </w:tr>
      <w:tr>
        <w:tc>
          <w:tcPr>
            <w:tcW w:type="dxa" w:w="296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Total revenue</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$700,000</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$3,195,000</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$8,136,000</w:t>
            </w:r>
          </w:p>
        </w:tc>
      </w:tr>
      <w:tr>
        <w:tc>
          <w:tcPr>
            <w:tcW w:type="dxa" w:w="296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Total cost</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$364,000</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$1,821,150</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$4,724,323</w:t>
            </w:r>
          </w:p>
        </w:tc>
      </w:tr>
      <w:tr>
        <w:tc>
          <w:tcPr>
            <w:tcW w:type="dxa" w:w="296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Gross profit</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$336,000</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$1,373,850</w:t>
            </w:r>
          </w:p>
        </w:tc>
        <w:tc>
          <w:tcPr>
            <w:tcW w:type="dxa" w:w="2136"/>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$3,411,677</w:t>
            </w:r>
          </w:p>
        </w:tc>
      </w:tr>
      <w:tr>
        <w:tc>
          <w:tcPr>
            <w:tcW w:type="dxa" w:w="296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Gross margin</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48.0%</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43.0%</w:t>
            </w:r>
          </w:p>
        </w:tc>
        <w:tc>
          <w:tcPr>
            <w:tcW w:type="dxa" w:w="2136"/>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41.9%</w:t>
            </w:r>
          </w:p>
        </w:tc>
      </w:tr>
    </w:tbl>
    <w:p>
      <w:pPr>
        <w:spacing w:after="100"/>
      </w:pPr>
    </w:p>
    <w:p>
      <w:pPr>
        <w:spacing w:after="180" w:line="300"/>
      </w:pPr>
      <w:r>
        <w:rPr>
          <w:rFonts w:ascii="Arial" w:cs="Arial" w:eastAsia="Arial" w:hAnsi="Arial"/>
          <w:b w:val="false"/>
          <w:bCs w:val="false"/>
          <w:i w:val="false"/>
          <w:iCs w:val="false"/>
          <w:color w:val="222222"/>
          <w:sz w:val="21"/>
          <w:szCs w:val="21"/>
        </w:rPr>
        <w:t xml:space="preserve">Margin declines modestly across the three years as billing — the lower-margin, partner-dependent service — becomes a larger share of the mix. That is an expected trade-off of the partner-first approach recommended above, and it improves in later years if Yield Healthcare brings more of the billing workflow in-house once volume justifies it. Coding alone holds a healthy 45-50% margin throughout, since it stays in-house from day one.</w:t>
      </w:r>
    </w:p>
    <w:p>
      <w:pPr>
        <w:spacing w:after="200"/>
      </w:pPr>
      <w:r>
        <w:rPr>
          <w:rFonts w:ascii="Arial" w:cs="Arial" w:eastAsia="Arial" w:hAnsi="Arial"/>
          <w:i/>
          <w:iCs/>
          <w:color w:val="808080"/>
          <w:sz w:val="16"/>
          <w:szCs w:val="16"/>
        </w:rPr>
        <w:t xml:space="preserve">Figures are illustrative planning estimates built for this business case; a full companion pricing workbook, modeled on TEAM_Pricing_Model.xlsx and PMPM_Pricing_Model.xlsx, can be built once pilot ACO conversations firm up real assumptions.</w:t>
      </w:r>
    </w:p>
    <w:p>
      <w:pPr>
        <w:pStyle w:val="Heading1"/>
        <w:spacing w:after="160" w:before="360"/>
      </w:pPr>
      <w:r>
        <w:rPr>
          <w:rFonts w:ascii="Arial" w:cs="Arial" w:eastAsia="Arial" w:hAnsi="Arial"/>
          <w:b/>
          <w:bCs/>
          <w:color w:val="1E4B3A"/>
          <w:sz w:val="30"/>
          <w:szCs w:val="30"/>
        </w:rPr>
        <w:t xml:space="preserve">Regulatory &amp; Compliance Considerations</w:t>
      </w:r>
    </w:p>
    <w:p>
      <w:pPr>
        <w:pStyle w:val="Heading2"/>
        <w:spacing w:after="120" w:before="260"/>
      </w:pPr>
      <w:r>
        <w:rPr>
          <w:rFonts w:ascii="Arial" w:cs="Arial" w:eastAsia="Arial" w:hAnsi="Arial"/>
          <w:b/>
          <w:bCs/>
          <w:color w:val="1E4B3A"/>
          <w:sz w:val="24"/>
          <w:szCs w:val="24"/>
        </w:rPr>
        <w:t xml:space="preserve">Risk-adjustment coding is under active federal scrutiny</w:t>
      </w:r>
    </w:p>
    <w:p>
      <w:pPr>
        <w:spacing w:after="180" w:line="300"/>
      </w:pPr>
      <w:r>
        <w:rPr>
          <w:rFonts w:ascii="Arial" w:cs="Arial" w:eastAsia="Arial" w:hAnsi="Arial"/>
          <w:b w:val="false"/>
          <w:bCs w:val="false"/>
          <w:i w:val="false"/>
          <w:iCs w:val="false"/>
          <w:color w:val="222222"/>
          <w:sz w:val="21"/>
          <w:szCs w:val="21"/>
        </w:rPr>
        <w:t xml:space="preserve">Federal regulators — including the HHS Office of Inspector General and the Department of Justice — have increased enforcement attention on risk-adjustment coding practices across Medicare Advantage plans and ACO models in recent years, including False Claims Act cases tied to coding practices that inflated risk scores without adequate clinical documentation to support them. This is the single most important design constraint on the coding offering: pricing and incentive structure must reward documentation accuracy, not risk-score lift or coding volume. The PMPY pricing model recommended above, and the compliance audit trail built into the offering from day one, are both direct responses to this risk — not add-ons to consider later.</w:t>
      </w:r>
    </w:p>
    <w:p>
      <w:pPr>
        <w:spacing w:after="180" w:line="300"/>
      </w:pPr>
      <w:r>
        <w:rPr>
          <w:rFonts w:ascii="Arial" w:cs="Arial" w:eastAsia="Arial" w:hAnsi="Arial"/>
          <w:b w:val="false"/>
          <w:bCs w:val="false"/>
          <w:i w:val="false"/>
          <w:iCs w:val="false"/>
          <w:color w:val="222222"/>
          <w:sz w:val="21"/>
          <w:szCs w:val="21"/>
        </w:rPr>
        <w:t xml:space="preserve">Using AI to surface coding gaps raises the same question in a sharper form: an automated system that is even indirectly rewarded for finding more risk starts to look like an automated upcoding engine, regardless of intent. The answer is the same human-in-the-loop requirement stated throughout this document, made non-negotiable rather than aspirational: the model flags candidates, a certified coder reviews the clinical documentation and confirms or rejects each one, and only confirmed, human-reviewed codes reach a chart or a claim. That workflow, not a policy statement, is what should be shown to outside compliance counsel and, if it ever comes to it, to a regulator.</w:t>
      </w:r>
    </w:p>
    <w:p>
      <w:pPr>
        <w:pStyle w:val="Heading2"/>
        <w:spacing w:after="120" w:before="260"/>
      </w:pPr>
      <w:r>
        <w:rPr>
          <w:rFonts w:ascii="Arial" w:cs="Arial" w:eastAsia="Arial" w:hAnsi="Arial"/>
          <w:b/>
          <w:bCs/>
          <w:color w:val="1E4B3A"/>
          <w:sz w:val="24"/>
          <w:szCs w:val="24"/>
        </w:rPr>
        <w:t xml:space="preserve">Billing carries claims-accuracy liability</w:t>
      </w:r>
    </w:p>
    <w:p>
      <w:pPr>
        <w:spacing w:after="180" w:line="300"/>
      </w:pPr>
      <w:r>
        <w:rPr>
          <w:rFonts w:ascii="Arial" w:cs="Arial" w:eastAsia="Arial" w:hAnsi="Arial"/>
          <w:b w:val="false"/>
          <w:bCs w:val="false"/>
          <w:i w:val="false"/>
          <w:iCs w:val="false"/>
          <w:color w:val="222222"/>
          <w:sz w:val="21"/>
          <w:szCs w:val="21"/>
        </w:rPr>
        <w:t xml:space="preserve">Once Yield Healthcare is submitting or managing claims on a practice's behalf, errors — incorrect codes, missed timely-filing deadlines, denied claims mishandled — create real liability exposure. This should be addressed with clear service-level agreements with participating practices, errors-and-omissions insurance, and clean audit logging through the licensed RCM partner, all of which should be in place before the Year 2 billing pilot launches, not retrofitted after a first incident.</w:t>
      </w:r>
    </w:p>
    <w:p>
      <w:pPr>
        <w:pStyle w:val="Heading2"/>
        <w:spacing w:after="120" w:before="260"/>
      </w:pPr>
      <w:r>
        <w:rPr>
          <w:rFonts w:ascii="Arial" w:cs="Arial" w:eastAsia="Arial" w:hAnsi="Arial"/>
          <w:b/>
          <w:bCs/>
          <w:color w:val="1E4B3A"/>
          <w:sz w:val="24"/>
          <w:szCs w:val="24"/>
        </w:rPr>
        <w:t xml:space="preserve">Payments remains explicitly out of scope</w:t>
      </w:r>
    </w:p>
    <w:p>
      <w:pPr>
        <w:spacing w:after="180" w:line="300"/>
      </w:pPr>
      <w:r>
        <w:rPr>
          <w:rFonts w:ascii="Arial" w:cs="Arial" w:eastAsia="Arial" w:hAnsi="Arial"/>
          <w:b w:val="false"/>
          <w:bCs w:val="false"/>
          <w:i w:val="false"/>
          <w:iCs w:val="false"/>
          <w:color w:val="222222"/>
          <w:sz w:val="21"/>
          <w:szCs w:val="21"/>
        </w:rPr>
        <w:t xml:space="preserve">Because Yield Healthcare will not accept, hold, or move funds in this phase, it avoids money-transmitter licensing and PCI-DSS compliance scope entirely for now. This should be revisited only as a deliberate, counsel-reviewed decision in a future phase — not allowed to creep into the offering informally as customers ask for it, which is a realistic risk once billing relationships are established and a practice asks Yield Healthcare to "just handle everything."</w:t>
      </w:r>
    </w:p>
    <w:p>
      <w:pPr>
        <w:spacing w:after="150"/>
      </w:pPr>
    </w:p>
    <w:p>
      <w:pPr>
        <w:pStyle w:val="Heading1"/>
        <w:spacing w:after="160" w:before="360"/>
      </w:pPr>
      <w:r>
        <w:rPr>
          <w:rFonts w:ascii="Arial" w:cs="Arial" w:eastAsia="Arial" w:hAnsi="Arial"/>
          <w:b/>
          <w:bCs/>
          <w:color w:val="1E4B3A"/>
          <w:sz w:val="30"/>
          <w:szCs w:val="30"/>
        </w:rPr>
        <w:t xml:space="preserve">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Risk</w:t>
            </w:r>
          </w:p>
        </w:tc>
        <w:tc>
          <w:tcPr>
            <w:tcW w:type="dxa" w:w="576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Mitigation</w:t>
            </w:r>
          </w:p>
        </w:tc>
      </w:tr>
      <w:tr>
        <w:tc>
          <w:tcPr>
            <w:tcW w:type="dxa" w:w="360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Regulatory risk — risk-adjustment coding is an active OIG/DOJ enforcement area, and a coding error or aggressive documentation practice could expose Yield Healthcare and its ACO customers to False Claims Act liability.</w:t>
            </w:r>
          </w:p>
        </w:tc>
        <w:tc>
          <w:tcPr>
            <w:tcW w:type="dxa" w:w="576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Price on a flat PMPY basis, not risk-score lift; build the compliance audit trail into the coding workflow from day one; have coding methodology reviewed by outside healthcare compliance counsel before the Year 1 pilot launches.</w:t>
            </w:r>
          </w:p>
        </w:tc>
      </w:tr>
      <w:tr>
        <w:tc>
          <w:tcPr>
            <w:tcW w:type="dxa" w:w="360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Partner dependency risk — the billing offering depends on a licensed RCM/clearinghouse partner whose pricing, reliability, or willingness to white-label could change.</w:t>
            </w:r>
          </w:p>
        </w:tc>
        <w:tc>
          <w:tcPr>
            <w:tcW w:type="dxa" w:w="576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Structure the partnership with a defined term and clear exit/migration rights; treat Year 3's build-vs-continue-partnering decision as a planned checkpoint rather than a reactive one.</w:t>
            </w:r>
          </w:p>
        </w:tc>
      </w:tr>
      <w:tr>
        <w:tc>
          <w:tcPr>
            <w:tcW w:type="dxa" w:w="360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Scope creep toward payments — practices and ACOs may ask Yield Healthcare to also collect or disburse funds once a billing relationship is established.</w:t>
            </w:r>
          </w:p>
        </w:tc>
        <w:tc>
          <w:tcPr>
            <w:tcW w:type="dxa" w:w="576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Keep the payments boundary explicit in every contract and customer conversation; route any customer request to touch payments through a formal, counsel-reviewed phase decision rather than an ad hoc yes.</w:t>
            </w:r>
          </w:p>
        </w:tc>
      </w:tr>
      <w:tr>
        <w:tc>
          <w:tcPr>
            <w:tcW w:type="dxa" w:w="360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Cannibalization/margin risk — bundling coding and billing into existing PMPM contracts at no incremental price could erode the standalone value of this line.</w:t>
            </w:r>
          </w:p>
        </w:tc>
        <w:tc>
          <w:tcPr>
            <w:tcW w:type="dxa" w:w="576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Price coding and billing as separate line items with their own contract terms, even when sold to an existing PMPM customer, so the revenue and margin of this line stay visible and defensible on their own.</w:t>
            </w:r>
          </w:p>
        </w:tc>
      </w:tr>
      <w:tr>
        <w:tc>
          <w:tcPr>
            <w:tcW w:type="dxa" w:w="360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Talent risk — the coding offering depends on hiring certified coders (CPC/CRC) and CDI specialists at the pace the plan assumes, a skill set Yield Healthcare has not hired for before.</w:t>
            </w:r>
          </w:p>
        </w:tc>
        <w:tc>
          <w:tcPr>
            <w:tcW w:type="dxa" w:w="576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Start recruiting ahead of the Year 1 pilot rather than after contracts are signed; consider a contract-to-hire coding staffing partner for the first cohort to de-risk the initial hiring ramp.</w:t>
            </w:r>
          </w:p>
        </w:tc>
      </w:tr>
    </w:tbl>
    <w:p>
      <w:pPr>
        <w:pStyle w:val="Heading1"/>
        <w:spacing w:after="160" w:before="360"/>
      </w:pPr>
      <w:r>
        <w:rPr>
          <w:rFonts w:ascii="Arial" w:cs="Arial" w:eastAsia="Arial" w:hAnsi="Arial"/>
          <w:b/>
          <w:bCs/>
          <w:color w:val="1E4B3A"/>
          <w:sz w:val="30"/>
          <w:szCs w:val="30"/>
        </w:rPr>
        <w:t xml:space="preserve">Organization &amp; Capital Requirements</w:t>
      </w:r>
    </w:p>
    <w:p>
      <w:pPr>
        <w:pStyle w:val="Heading2"/>
        <w:spacing w:after="120" w:before="260"/>
      </w:pPr>
      <w:r>
        <w:rPr>
          <w:rFonts w:ascii="Arial" w:cs="Arial" w:eastAsia="Arial" w:hAnsi="Arial"/>
          <w:b/>
          <w:bCs/>
          <w:color w:val="1E4B3A"/>
          <w:sz w:val="24"/>
          <w:szCs w:val="24"/>
        </w:rPr>
        <w:t xml:space="preserve">Team needed to execute the pilot</w:t>
      </w:r>
    </w:p>
    <w:p>
      <w:pPr>
        <w:spacing w:after="180" w:line="300"/>
      </w:pPr>
      <w:r>
        <w:rPr>
          <w:rFonts w:ascii="Arial" w:cs="Arial" w:eastAsia="Arial" w:hAnsi="Arial"/>
          <w:b w:val="false"/>
          <w:bCs w:val="false"/>
          <w:i w:val="false"/>
          <w:iCs w:val="false"/>
          <w:color w:val="222222"/>
          <w:sz w:val="21"/>
          <w:szCs w:val="21"/>
        </w:rPr>
        <w:t xml:space="preserve">A small, focused build: a coding operations lead (certified coder background) to own methodology and hire the initial coding/CDI team, a data science or ML lead to build and validate the AI coding-detection models against that team's chart review (a genuinely new hire profile for Yield Healthcare, not an extension of the existing PMPM analytics function), a compliance lead — likely the same function already supporting TEAM's Embedded billing structure and PMPM's revenue-share arrangements — extended to cover coding compliance and the RCM partner agreement, and the existing PMPM customer success team as the primary channel into pilot ACOs, rather than a new sales function.</w:t>
      </w:r>
    </w:p>
    <w:p>
      <w:pPr>
        <w:pStyle w:val="Heading2"/>
        <w:spacing w:after="120" w:before="260"/>
      </w:pPr>
      <w:r>
        <w:rPr>
          <w:rFonts w:ascii="Arial" w:cs="Arial" w:eastAsia="Arial" w:hAnsi="Arial"/>
          <w:b/>
          <w:bCs/>
          <w:color w:val="1E4B3A"/>
          <w:sz w:val="24"/>
          <w:szCs w:val="24"/>
        </w:rPr>
        <w:t xml:space="preserve">Use of proceeds</w:t>
      </w:r>
    </w:p>
    <w:p>
      <w:pPr>
        <w:spacing w:after="180" w:line="300"/>
      </w:pPr>
      <w:r>
        <w:rPr>
          <w:rFonts w:ascii="Arial" w:cs="Arial" w:eastAsia="Arial" w:hAnsi="Arial"/>
          <w:b w:val="false"/>
          <w:bCs w:val="false"/>
          <w:i w:val="false"/>
          <w:iCs w:val="false"/>
          <w:color w:val="222222"/>
          <w:sz w:val="21"/>
          <w:szCs w:val="21"/>
        </w:rPr>
        <w:t xml:space="preserve">Year 1 gross profit of roughly $336,000 does not fund the initial coding team hiring, the RCM partner agreement and integration work for Year 2, or the compliance/legal review this line specifically requires — this should draw on the same funding conversation as the broader Yield Healthcare business rather than be raised or justified separately. Illustrative incremental allocation:</w:t>
      </w:r>
    </w:p>
    <w:p>
      <w:pPr>
        <w:pStyle w:val="ListParagraph"/>
        <w:numPr>
          <w:ilvl w:val="0"/>
          <w:numId w:val="1"/>
        </w:numPr>
        <w:spacing w:after="90" w:line="280"/>
      </w:pPr>
      <w:r>
        <w:rPr>
          <w:rFonts w:ascii="Arial" w:cs="Arial" w:eastAsia="Arial" w:hAnsi="Arial"/>
          <w:color w:val="222222"/>
          <w:sz w:val="21"/>
          <w:szCs w:val="21"/>
        </w:rPr>
        <w:t xml:space="preserve">Initial certified coding and CDI staff hiring, ahead of the Year 1 pilot going live</w:t>
      </w:r>
    </w:p>
    <w:p>
      <w:pPr>
        <w:pStyle w:val="ListParagraph"/>
        <w:numPr>
          <w:ilvl w:val="0"/>
          <w:numId w:val="1"/>
        </w:numPr>
        <w:spacing w:after="90" w:line="280"/>
      </w:pPr>
      <w:r>
        <w:rPr>
          <w:rFonts w:ascii="Arial" w:cs="Arial" w:eastAsia="Arial" w:hAnsi="Arial"/>
          <w:color w:val="222222"/>
          <w:sz w:val="21"/>
          <w:szCs w:val="21"/>
        </w:rPr>
        <w:t xml:space="preserve">AI/ML model development and validation for the coding-detection engine, including the data science hire to own it</w:t>
      </w:r>
    </w:p>
    <w:p>
      <w:pPr>
        <w:pStyle w:val="ListParagraph"/>
        <w:numPr>
          <w:ilvl w:val="0"/>
          <w:numId w:val="1"/>
        </w:numPr>
        <w:spacing w:after="90" w:line="280"/>
      </w:pPr>
      <w:r>
        <w:rPr>
          <w:rFonts w:ascii="Arial" w:cs="Arial" w:eastAsia="Arial" w:hAnsi="Arial"/>
          <w:color w:val="222222"/>
          <w:sz w:val="21"/>
          <w:szCs w:val="21"/>
        </w:rPr>
        <w:t xml:space="preserve">Healthcare compliance counsel review of the coding methodology, the AI human-in-the-loop workflow, and the pricing structure before launch</w:t>
      </w:r>
    </w:p>
    <w:p>
      <w:pPr>
        <w:pStyle w:val="ListParagraph"/>
        <w:numPr>
          <w:ilvl w:val="0"/>
          <w:numId w:val="1"/>
        </w:numPr>
        <w:spacing w:after="90" w:line="280"/>
      </w:pPr>
      <w:r>
        <w:rPr>
          <w:rFonts w:ascii="Arial" w:cs="Arial" w:eastAsia="Arial" w:hAnsi="Arial"/>
          <w:color w:val="222222"/>
          <w:sz w:val="21"/>
          <w:szCs w:val="21"/>
        </w:rPr>
        <w:t xml:space="preserve">RCM/clearinghouse partner selection, contracting, and integration work ahead of the Year 2 billing pilot</w:t>
      </w:r>
    </w:p>
    <w:p>
      <w:pPr>
        <w:pStyle w:val="ListParagraph"/>
        <w:numPr>
          <w:ilvl w:val="0"/>
          <w:numId w:val="1"/>
        </w:numPr>
        <w:spacing w:after="90" w:line="280"/>
      </w:pPr>
      <w:r>
        <w:rPr>
          <w:rFonts w:ascii="Arial" w:cs="Arial" w:eastAsia="Arial" w:hAnsi="Arial"/>
          <w:color w:val="222222"/>
          <w:sz w:val="21"/>
          <w:szCs w:val="21"/>
        </w:rPr>
        <w:t xml:space="preserve">Errors-and-omissions insurance and SLA framework for the billing offering</w:t>
      </w:r>
    </w:p>
    <w:p>
      <w:pPr>
        <w:spacing w:after="150"/>
      </w:pPr>
    </w:p>
    <w:p>
      <w:pPr>
        <w:pStyle w:val="Heading1"/>
        <w:spacing w:after="160" w:before="360"/>
      </w:pPr>
      <w:r>
        <w:rPr>
          <w:rFonts w:ascii="Arial" w:cs="Arial" w:eastAsia="Arial" w:hAnsi="Arial"/>
          <w:b/>
          <w:bCs/>
          <w:color w:val="1E4B3A"/>
          <w:sz w:val="30"/>
          <w:szCs w:val="30"/>
        </w:rPr>
        <w:t xml:space="preserve">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Phase</w:t>
            </w:r>
          </w:p>
        </w:tc>
        <w:tc>
          <w:tcPr>
            <w:tcW w:type="dxa" w:w="160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Timing</w:t>
            </w:r>
          </w:p>
        </w:tc>
        <w:tc>
          <w:tcPr>
            <w:tcW w:type="dxa" w:w="4560"/>
            <w:shd w:fill="1E4B3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Scope</w:t>
            </w:r>
          </w:p>
        </w:tc>
      </w:tr>
      <w:tr>
        <w:tc>
          <w:tcPr>
            <w:tcW w:type="dxa" w:w="320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Phase 1 — Coding pilot</w:t>
            </w:r>
          </w:p>
        </w:tc>
        <w:tc>
          <w:tcPr>
            <w:tcW w:type="dxa" w:w="160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Year 1</w:t>
            </w:r>
          </w:p>
        </w:tc>
        <w:tc>
          <w:tcPr>
            <w:tcW w:type="dxa" w:w="456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AI-driven coding and CDI support only, with 5 existing PMPM ACO customers under ACO-wide contracts. Validate the AI-flagging models against certified-coder review before any expansion. No billing offering yet.</w:t>
            </w:r>
          </w:p>
        </w:tc>
      </w:tr>
      <w:tr>
        <w:tc>
          <w:tcPr>
            <w:tcW w:type="dxa" w:w="320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Phase 2 — Add billing</w:t>
            </w:r>
          </w:p>
        </w:tc>
        <w:tc>
          <w:tcPr>
            <w:tcW w:type="dxa" w:w="160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Year 2</w:t>
            </w:r>
          </w:p>
        </w:tc>
        <w:tc>
          <w:tcPr>
            <w:tcW w:type="dxa" w:w="456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Launch AI-driven billing/claims support via a licensed RCM partner with 3 pilot ACOs; expand coding to net-new ACOs, and open the practice-level opt-in path for ACOs not ready for a full contract.</w:t>
            </w:r>
          </w:p>
        </w:tc>
      </w:tr>
      <w:tr>
        <w:tc>
          <w:tcPr>
            <w:tcW w:type="dxa" w:w="3200"/>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Phase 3 — Scale &amp; reassess build vs. partner</w:t>
            </w:r>
          </w:p>
        </w:tc>
        <w:tc>
          <w:tcPr>
            <w:tcW w:type="dxa" w:w="160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Year 3</w:t>
            </w:r>
          </w:p>
        </w:tc>
        <w:tc>
          <w:tcPr>
            <w:tcW w:type="dxa" w:w="4560"/>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Scale both lines; formally reassess whether to bring billing infrastructure in-house based on proven volume and margin.</w:t>
            </w:r>
          </w:p>
        </w:tc>
      </w:tr>
      <w:tr>
        <w:tc>
          <w:tcPr>
            <w:tcW w:type="dxa" w:w="3200"/>
            <w:shd w:fill="F2F2F2" w:val="clear"/>
            <w:tcMar>
              <w:top w:type="dxa" w:w="80"/>
              <w:left w:type="dxa" w:w="100"/>
              <w:bottom w:type="dxa" w:w="80"/>
              <w:right w:type="dxa" w:w="100"/>
            </w:tcMar>
          </w:tcPr>
          <w:p>
            <w:pPr>
              <w:jc w:val="left"/>
            </w:pPr>
            <w:r>
              <w:rPr>
                <w:rFonts w:ascii="Arial" w:cs="Arial" w:eastAsia="Arial" w:hAnsi="Arial"/>
                <w:b w:val="false"/>
                <w:bCs w:val="false"/>
                <w:color w:val="222222"/>
                <w:sz w:val="19"/>
                <w:szCs w:val="19"/>
              </w:rPr>
              <w:t xml:space="preserve">Phase 4 — Payments (future consideration only)</w:t>
            </w:r>
          </w:p>
        </w:tc>
        <w:tc>
          <w:tcPr>
            <w:tcW w:type="dxa" w:w="160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Not committed</w:t>
            </w:r>
          </w:p>
        </w:tc>
        <w:tc>
          <w:tcPr>
            <w:tcW w:type="dxa" w:w="4560"/>
            <w:shd w:fill="F2F2F2" w:val="clear"/>
            <w:tcMar>
              <w:top w:type="dxa" w:w="80"/>
              <w:left w:type="dxa" w:w="100"/>
              <w:bottom w:type="dxa" w:w="80"/>
              <w:right w:type="dxa" w:w="100"/>
            </w:tcMar>
          </w:tcPr>
          <w:p>
            <w:pPr>
              <w:jc w:val="center"/>
            </w:pPr>
            <w:r>
              <w:rPr>
                <w:rFonts w:ascii="Arial" w:cs="Arial" w:eastAsia="Arial" w:hAnsi="Arial"/>
                <w:b w:val="false"/>
                <w:bCs w:val="false"/>
                <w:color w:val="222222"/>
                <w:sz w:val="19"/>
                <w:szCs w:val="19"/>
              </w:rPr>
              <w:t xml:space="preserve">Only after coding and billing are proven at scale, and only following a dedicated, counsel-reviewed evaluation of money-transmission and PCI-compliance requirements. Not part of this business case.</w:t>
            </w:r>
          </w:p>
        </w:tc>
      </w:tr>
    </w:tbl>
    <w:p>
      <w:pPr>
        <w:spacing w:after="150"/>
      </w:pPr>
    </w:p>
    <w:p>
      <w:pPr>
        <w:pStyle w:val="Heading1"/>
        <w:spacing w:after="160" w:before="360"/>
      </w:pPr>
      <w:r>
        <w:rPr>
          <w:rFonts w:ascii="Arial" w:cs="Arial" w:eastAsia="Arial" w:hAnsi="Arial"/>
          <w:b/>
          <w:bCs/>
          <w:color w:val="1E4B3A"/>
          <w:sz w:val="30"/>
          <w:szCs w:val="30"/>
        </w:rPr>
        <w:t xml:space="preserve">Sources</w:t>
      </w:r>
    </w:p>
    <w:p>
      <w:pPr>
        <w:spacing w:after="180" w:line="300"/>
      </w:pPr>
      <w:r>
        <w:rPr>
          <w:rFonts w:ascii="Arial" w:cs="Arial" w:eastAsia="Arial" w:hAnsi="Arial"/>
          <w:b w:val="false"/>
          <w:bCs w:val="false"/>
          <w:i w:val="false"/>
          <w:iCs w:val="false"/>
          <w:color w:val="222222"/>
          <w:sz w:val="21"/>
          <w:szCs w:val="21"/>
        </w:rPr>
        <w:t xml:space="preserve">Fierce Healthcare / Becker's Payer Issues, CMS 2026 ACO participation estimates — 14.3 million Medicare beneficiaries attributed to an ACO for 2026 (511 MSSP ACOs covering 12.6 million lives; 74 ACO REACH ACOs covering 1.7 million lives)</w:t>
      </w:r>
    </w:p>
    <w:p>
      <w:pPr>
        <w:spacing w:after="180" w:line="300"/>
      </w:pPr>
      <w:r>
        <w:rPr>
          <w:rFonts w:ascii="Arial" w:cs="Arial" w:eastAsia="Arial" w:hAnsi="Arial"/>
          <w:b w:val="false"/>
          <w:bCs w:val="false"/>
          <w:i w:val="false"/>
          <w:iCs w:val="false"/>
          <w:color w:val="222222"/>
          <w:sz w:val="21"/>
          <w:szCs w:val="21"/>
        </w:rPr>
        <w:t xml:space="preserve">CMS, Shared Savings Program (MSSP) overview and 2026 program data — cms.gov/medicare/payment/fee-for-service-providers/shared-savings-program-ssp-acos</w:t>
      </w:r>
    </w:p>
    <w:p>
      <w:pPr>
        <w:spacing w:after="180" w:line="300"/>
      </w:pPr>
      <w:r>
        <w:rPr>
          <w:rFonts w:ascii="Arial" w:cs="Arial" w:eastAsia="Arial" w:hAnsi="Arial"/>
          <w:b w:val="false"/>
          <w:bCs w:val="false"/>
          <w:i w:val="false"/>
          <w:iCs w:val="false"/>
          <w:color w:val="222222"/>
          <w:sz w:val="21"/>
          <w:szCs w:val="21"/>
        </w:rPr>
        <w:t xml:space="preserve">CMS, ACO REACH Model overview, 2026 performance year participants, and program updates — cms.gov/priorities/innovation/innovation-models/aco-reach</w:t>
      </w:r>
    </w:p>
    <w:p>
      <w:pPr>
        <w:spacing w:after="180" w:line="300"/>
      </w:pPr>
      <w:r>
        <w:rPr>
          <w:rFonts w:ascii="Arial" w:cs="Arial" w:eastAsia="Arial" w:hAnsi="Arial"/>
          <w:b w:val="false"/>
          <w:bCs w:val="false"/>
          <w:i w:val="false"/>
          <w:iCs w:val="false"/>
          <w:color w:val="222222"/>
          <w:sz w:val="21"/>
          <w:szCs w:val="21"/>
        </w:rPr>
        <w:t xml:space="preserve">CMS, LEAD (Long-Term Enhanced ACO Design) Model overview, announced as the successor to ACO REACH beginning after the 2026 performance year — cms.gov/priorities/innovation/innovation-models/lead</w:t>
      </w:r>
    </w:p>
    <w:p>
      <w:pPr>
        <w:spacing w:after="180" w:line="300"/>
      </w:pPr>
      <w:r>
        <w:rPr>
          <w:rFonts w:ascii="Arial" w:cs="Arial" w:eastAsia="Arial" w:hAnsi="Arial"/>
          <w:b w:val="false"/>
          <w:bCs w:val="false"/>
          <w:i w:val="false"/>
          <w:iCs w:val="false"/>
          <w:color w:val="222222"/>
          <w:sz w:val="21"/>
          <w:szCs w:val="21"/>
        </w:rPr>
        <w:t xml:space="preserve">All pricing, margin, staffing, and customer-acquisition figures are Yield Healthcare planning assumptions, not published third-party figures, and should be refined once pilot ACO contracts are in place.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Yield Healthcare Coding &amp; Billing Business Case</dc:title>
  <dc:creator>Yield Healthcare</dc:creator>
  <cp:lastModifiedBy>Un-named</cp:lastModifiedBy>
  <cp:revision>1</cp:revision>
  <dcterms:created xsi:type="dcterms:W3CDTF">2026-08-07T16:56:13.626Z</dcterms:created>
  <dcterms:modified xsi:type="dcterms:W3CDTF">2026-08-07T16:56:13.627Z</dcterms:modified>
</cp:coreProperties>
</file>

<file path=docProps/custom.xml><?xml version="1.0" encoding="utf-8"?>
<Properties xmlns="http://schemas.openxmlformats.org/officeDocument/2006/custom-properties" xmlns:vt="http://schemas.openxmlformats.org/officeDocument/2006/docPropsVTypes"/>
</file>