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4B3A"/>
          <w:sz w:val="60"/>
          <w:szCs w:val="60"/>
        </w:rPr>
        <w:t xml:space="preserve">YIELD HEALTHCARE</w:t>
      </w:r>
    </w:p>
    <w:p>
      <w:pPr>
        <w:spacing w:after="600"/>
      </w:pPr>
      <w:r>
        <w:rPr>
          <w:rFonts w:ascii="Arial" w:cs="Arial" w:eastAsia="Arial" w:hAnsi="Arial"/>
          <w:b/>
          <w:bCs/>
          <w:color w:val="8FA687"/>
          <w:sz w:val="28"/>
          <w:szCs w:val="28"/>
        </w:rPr>
        <w:t xml:space="preserve">Population Care Management — Post-Acute, Peri-Operative &amp; Complex Chronic</w:t>
      </w:r>
    </w:p>
    <w:p>
      <w:pPr>
        <w:spacing w:after="3200"/>
      </w:pPr>
      <w:r>
        <w:rPr>
          <w:rFonts w:ascii="Arial" w:cs="Arial" w:eastAsia="Arial" w:hAnsi="Arial"/>
          <w:i/>
          <w:iCs/>
          <w:color w:val="545759"/>
          <w:sz w:val="24"/>
          <w:szCs w:val="24"/>
        </w:rPr>
        <w:t xml:space="preserve">Business Case &amp; Go-to-Market Plan</w:t>
      </w:r>
    </w:p>
    <w:p>
      <w:pPr>
        <w:spacing w:after="80"/>
      </w:pPr>
      <w:r>
        <w:rPr>
          <w:rFonts w:ascii="Arial" w:cs="Arial" w:eastAsia="Arial" w:hAnsi="Arial"/>
          <w:color w:val="545759"/>
          <w:sz w:val="20"/>
          <w:szCs w:val="20"/>
        </w:rPr>
        <w:t xml:space="preserve">Prepared July 2026</w:t>
      </w:r>
    </w:p>
    <w:p>
      <w:pPr>
        <w:spacing w:after="80"/>
      </w:pPr>
      <w:r>
        <w:rPr>
          <w:rFonts w:ascii="Arial" w:cs="Arial" w:eastAsia="Arial" w:hAnsi="Arial"/>
          <w:color w:val="545759"/>
          <w:sz w:val="20"/>
          <w:szCs w:val="20"/>
        </w:rPr>
        <w:t xml:space="preserve">Confidential — internal planning document</w:t>
      </w:r>
    </w:p>
    <w:p>
      <w:r>
        <w:br w:type="page"/>
      </w:r>
    </w:p>
    <w:p>
      <w:pPr>
        <w:pStyle w:val="Heading1"/>
        <w:spacing w:after="160" w:before="360"/>
      </w:pPr>
      <w:r>
        <w:rPr>
          <w:rFonts w:ascii="Arial" w:cs="Arial" w:eastAsia="Arial" w:hAnsi="Arial"/>
          <w:b/>
          <w:bCs/>
          <w:color w:val="1E4B3A"/>
          <w:sz w:val="30"/>
          <w:szCs w:val="30"/>
        </w:rPr>
        <w:t xml:space="preserve">Executive Summary</w:t>
      </w:r>
    </w:p>
    <w:p>
      <w:pPr>
        <w:spacing w:after="180" w:line="300"/>
      </w:pPr>
      <w:r>
        <w:rPr>
          <w:rFonts w:ascii="Arial" w:cs="Arial" w:eastAsia="Arial" w:hAnsi="Arial"/>
          <w:b w:val="false"/>
          <w:bCs w:val="false"/>
          <w:i w:val="false"/>
          <w:iCs w:val="false"/>
          <w:color w:val="222222"/>
          <w:sz w:val="21"/>
          <w:szCs w:val="21"/>
        </w:rPr>
        <w:t xml:space="preserve">Yield Healthcare built its operating muscle managing hospitals through CMS's mandatory TEAM episode model — claims-based analytics paired with dedicated navigators who manage patients through a defined post-acute window. That same muscle is the foundation for a second, larger line of business: a PMPM (per member per month) population care management program sold directly to risk-bearing provider groups and ACOs, extending beyond a single 30-day episode into three population segments where proactive management moves the total-cost-of-care needle — post-acute transitions, peri-operative optimization, and complex chronic care management.</w:t>
      </w:r>
    </w:p>
    <w:p>
      <w:pPr>
        <w:spacing w:after="180" w:line="300"/>
      </w:pPr>
      <w:r>
        <w:rPr>
          <w:rFonts w:ascii="Arial" w:cs="Arial" w:eastAsia="Arial" w:hAnsi="Arial"/>
          <w:b w:val="false"/>
          <w:bCs w:val="false"/>
          <w:i w:val="false"/>
          <w:iCs w:val="false"/>
          <w:color w:val="222222"/>
          <w:sz w:val="21"/>
          <w:szCs w:val="21"/>
        </w:rPr>
        <w:t xml:space="preserve">Where TEAM revenue is earned per surgical episode, this program is earned per enrolled member per month across a risk-bearing organization's full population, plus a contracted share of the CMS billing revenue (chronic care management, principal care management, transitional care management, remote monitoring) that proactive management makes newly collectible. It is a natural next chapter for Yield Healthcare, not a new company: the same post-acute discipline, the same navigator model, sold into the ACOs and risk-bearing groups that are often affiliated with Yield Healthcare's existing TEAM hospital relationships.</w:t>
      </w:r>
    </w:p>
    <w:p>
      <w:pPr>
        <w:spacing w:after="180" w:line="300"/>
      </w:pPr>
      <w:r>
        <w:rPr>
          <w:rFonts w:ascii="Arial" w:cs="Arial" w:eastAsia="Arial" w:hAnsi="Arial"/>
          <w:b w:val="false"/>
          <w:bCs w:val="false"/>
          <w:i w:val="false"/>
          <w:iCs w:val="false"/>
          <w:color w:val="222222"/>
          <w:sz w:val="21"/>
          <w:szCs w:val="21"/>
        </w:rPr>
        <w:t xml:space="preserve">This document lays out the market opportunity, the three-segment product structure, a bottom-up three-year financial build, the competitive landscape, and the risks that matter most. The companion pricing model (PMPM_Pricing_Model.xlsx) contains the full working numbers; the figures cited here are pulled directly from it so the two stay in sync.</w:t>
      </w:r>
    </w:p>
    <w:p>
      <w:pPr>
        <w:pStyle w:val="Heading3"/>
        <w:spacing w:after="100" w:before="200"/>
      </w:pPr>
      <w:r>
        <w:rPr>
          <w:rFonts w:ascii="Arial" w:cs="Arial" w:eastAsia="Arial" w:hAnsi="Arial"/>
          <w:b/>
          <w:bCs/>
          <w:color w:val="8FA687"/>
          <w:sz w:val="20"/>
          <w:szCs w:val="20"/>
        </w:rPr>
        <w:t xml:space="preserve">The numbers in brief</w:t>
      </w:r>
    </w:p>
    <w:p>
      <w:pPr>
        <w:spacing w:after="60"/>
      </w:pPr>
      <w:r>
        <w:rPr>
          <w:rFonts w:ascii="Arial" w:cs="Arial" w:eastAsia="Arial" w:hAnsi="Arial"/>
          <w:b/>
          <w:bCs/>
          <w:color w:val="1E4B3A"/>
          <w:sz w:val="21"/>
          <w:szCs w:val="21"/>
        </w:rPr>
        <w:t xml:space="preserve">Addressable market:  </w:t>
      </w:r>
      <w:r>
        <w:rPr>
          <w:rFonts w:ascii="Arial" w:cs="Arial" w:eastAsia="Arial" w:hAnsi="Arial"/>
          <w:color w:val="222222"/>
          <w:sz w:val="21"/>
          <w:szCs w:val="21"/>
        </w:rPr>
        <w:t xml:space="preserve">14.3M Medicare beneficiaries attributed to an ACO in 2026 (511 MSSP ACOs, 74 ACO REACH ACOs), plus an estimated equivalent scale of commercial risk-bearing lives — commercial and Medicare Advantage blended is this program's target population</w:t>
      </w:r>
    </w:p>
    <w:p>
      <w:pPr>
        <w:spacing w:after="60"/>
      </w:pPr>
      <w:r>
        <w:rPr>
          <w:rFonts w:ascii="Arial" w:cs="Arial" w:eastAsia="Arial" w:hAnsi="Arial"/>
          <w:b/>
          <w:bCs/>
          <w:color w:val="1E4B3A"/>
          <w:sz w:val="21"/>
          <w:szCs w:val="21"/>
        </w:rPr>
        <w:t xml:space="preserve">Three-year revenue build:  </w:t>
      </w:r>
      <w:r>
        <w:rPr>
          <w:rFonts w:ascii="Arial" w:cs="Arial" w:eastAsia="Arial" w:hAnsi="Arial"/>
          <w:color w:val="222222"/>
          <w:sz w:val="21"/>
          <w:szCs w:val="21"/>
        </w:rPr>
        <w:t xml:space="preserve">$2.18M (Year 1) → $12.22M (Year 2) → $36.48M (Year 3), at approximately 60% gross margin, on 17 active risk-bearing customer relationships by the end of Year 3</w:t>
      </w:r>
    </w:p>
    <w:p>
      <w:pPr>
        <w:spacing w:after="60"/>
      </w:pPr>
      <w:r>
        <w:rPr>
          <w:rFonts w:ascii="Arial" w:cs="Arial" w:eastAsia="Arial" w:hAnsi="Arial"/>
          <w:b/>
          <w:bCs/>
          <w:color w:val="1E4B3A"/>
          <w:sz w:val="21"/>
          <w:szCs w:val="21"/>
        </w:rPr>
        <w:t xml:space="preserve">Product structure:  </w:t>
      </w:r>
      <w:r>
        <w:rPr>
          <w:rFonts w:ascii="Arial" w:cs="Arial" w:eastAsia="Arial" w:hAnsi="Arial"/>
          <w:color w:val="222222"/>
          <w:sz w:val="21"/>
          <w:szCs w:val="21"/>
        </w:rPr>
        <w:t xml:space="preserve">Three population segments — Post-Acute Transitions, Peri-Operative Optimization, Complex Chronic Care Management — each priced as a PMPM fee to the risk-bearing customer plus a contracted share of the CMS billing revenue the program makes collectible</w:t>
      </w:r>
    </w:p>
    <w:p>
      <w:pPr>
        <w:spacing w:after="60"/>
      </w:pPr>
      <w:r>
        <w:rPr>
          <w:rFonts w:ascii="Arial" w:cs="Arial" w:eastAsia="Arial" w:hAnsi="Arial"/>
          <w:b/>
          <w:bCs/>
          <w:color w:val="1E4B3A"/>
          <w:sz w:val="21"/>
          <w:szCs w:val="21"/>
        </w:rPr>
        <w:t xml:space="preserve">Key risk:  </w:t>
      </w:r>
      <w:r>
        <w:rPr>
          <w:rFonts w:ascii="Arial" w:cs="Arial" w:eastAsia="Arial" w:hAnsi="Arial"/>
          <w:color w:val="222222"/>
          <w:sz w:val="21"/>
          <w:szCs w:val="21"/>
        </w:rPr>
        <w:t xml:space="preserve">Revenue depends on accurate population identification and sustained enrollment inside a customer's existing risk contract; the CMS billing revenue-share component depends on a compliant billing delegation structure, the same open item already being resolved for the TEAM Embedded tier</w:t>
      </w:r>
    </w:p>
    <w:p>
      <w:pPr>
        <w:spacing w:after="100"/>
      </w:pPr>
    </w:p>
    <w:p>
      <w:pPr>
        <w:pStyle w:val="Heading1"/>
        <w:spacing w:after="160" w:before="360"/>
      </w:pPr>
      <w:r>
        <w:rPr>
          <w:rFonts w:ascii="Arial" w:cs="Arial" w:eastAsia="Arial" w:hAnsi="Arial"/>
          <w:b/>
          <w:bCs/>
          <w:color w:val="1E4B3A"/>
          <w:sz w:val="30"/>
          <w:szCs w:val="30"/>
        </w:rPr>
        <w:t xml:space="preserve">The Opportunity</w:t>
      </w:r>
    </w:p>
    <w:p>
      <w:pPr>
        <w:pStyle w:val="Heading2"/>
        <w:spacing w:after="120" w:before="260"/>
      </w:pPr>
      <w:r>
        <w:rPr>
          <w:rFonts w:ascii="Arial" w:cs="Arial" w:eastAsia="Arial" w:hAnsi="Arial"/>
          <w:b/>
          <w:bCs/>
          <w:color w:val="1E4B3A"/>
          <w:sz w:val="24"/>
          <w:szCs w:val="24"/>
        </w:rPr>
        <w:t xml:space="preserve">Risk-bearing organizations are accumulating downside exposure faster than they're building the muscle to manage it</w:t>
      </w:r>
    </w:p>
    <w:p>
      <w:pPr>
        <w:spacing w:after="180" w:line="300"/>
      </w:pPr>
      <w:r>
        <w:rPr>
          <w:rFonts w:ascii="Arial" w:cs="Arial" w:eastAsia="Arial" w:hAnsi="Arial"/>
          <w:b w:val="false"/>
          <w:bCs w:val="false"/>
          <w:i w:val="false"/>
          <w:iCs w:val="false"/>
          <w:color w:val="222222"/>
          <w:sz w:val="21"/>
          <w:szCs w:val="21"/>
        </w:rPr>
        <w:t xml:space="preserve">14.3 million Medicare beneficiaries are now attributed to an ACO — up 4.4% from 13.7 million in 2025 — split across 511 MSSP ACOs covering 12.6 million lives and 74 ACO REACH ACOs covering 1.7 million lives. Both programs have been moving participants toward two-sided risk: REACH is two-sided by design, and CMS has steadily narrowed the on-ramp for MSSP entrants to remain in a no-downside track indefinitely. On the commercial side, roughly half of covered lives in value-based contracts already carry downside risk. The organizations bearing that risk are, in large part, the same primary care and multi-specialty groups Yield Healthcare already works alongside through its TEAM hospital relationships — many of them affiliated with or sponsoring an ACO of their own.</w:t>
      </w:r>
    </w:p>
    <w:p>
      <w:pPr>
        <w:spacing w:after="180" w:line="300"/>
      </w:pPr>
      <w:r>
        <w:rPr>
          <w:rFonts w:ascii="Arial" w:cs="Arial" w:eastAsia="Arial" w:hAnsi="Arial"/>
          <w:b w:val="false"/>
          <w:bCs w:val="false"/>
          <w:i w:val="false"/>
          <w:iCs w:val="false"/>
          <w:color w:val="222222"/>
          <w:sz w:val="21"/>
          <w:szCs w:val="21"/>
        </w:rPr>
        <w:t xml:space="preserve">The mechanics of that risk are unforgiving to an organization without dedicated population infrastructure. A member's cost trajectory is disproportionately set by three moments: the 30-90 days after a hospital or SNF stay, the weeks around a major elective surgery, and the ongoing month-to-month management of two or more chronic conditions. Primary care panels are sized for visit-based care, not for proactively identifying which attributed member just had a fall, which one has a knee replacement scheduled in six weeks, or which one hasn't had their diabetes and CHF medications reconciled since their last hospitalization. Without a dedicated layer watching for those moments, the risk-bearing organization finds out about the cost only after it has already happened.</w:t>
      </w:r>
    </w:p>
    <w:p>
      <w:pPr>
        <w:pStyle w:val="Heading2"/>
        <w:spacing w:after="120" w:before="260"/>
      </w:pPr>
      <w:r>
        <w:rPr>
          <w:rFonts w:ascii="Arial" w:cs="Arial" w:eastAsia="Arial" w:hAnsi="Arial"/>
          <w:b/>
          <w:bCs/>
          <w:color w:val="1E4B3A"/>
          <w:sz w:val="24"/>
          <w:szCs w:val="24"/>
        </w:rPr>
        <w:t xml:space="preserve">The tools on the market today solve pieces of this, not the whole thing</w:t>
      </w:r>
    </w:p>
    <w:p>
      <w:pPr>
        <w:spacing w:after="180" w:line="300"/>
      </w:pPr>
      <w:r>
        <w:rPr>
          <w:rFonts w:ascii="Arial" w:cs="Arial" w:eastAsia="Arial" w:hAnsi="Arial"/>
          <w:b w:val="false"/>
          <w:bCs w:val="false"/>
          <w:i w:val="false"/>
          <w:iCs w:val="false"/>
          <w:color w:val="222222"/>
          <w:sz w:val="21"/>
          <w:szCs w:val="21"/>
        </w:rPr>
        <w:t xml:space="preserve">ACO enablement platforms (Aledade, Evolent Care Partners, and similar) are strong at the infrastructure layer — attribution, quality reporting, EHR integration, shared-savings analytics — but are not typically staffed to run hands-on transitional or chronic care management themselves; that responsibility usually falls back on a primary care practice that is already stretched. Chronic care management vendors run the CMS billing codes (CCM, PCM, RPM) but are usually narrowly scoped to that billing motion rather than the full post-acute-to-chronic continuum, and rarely have real experience inside a CMS episode model like TEAM. The two rarely meet: an organization that wants both proactive post-acute/peri-operative navigation and disciplined complex chronic management, delivered by one team with real bundled-payment operating experience, is choosing between vendors built for adjacent but different jobs.</w:t>
      </w:r>
    </w:p>
    <w:p>
      <w:pPr>
        <w:pStyle w:val="Heading2"/>
        <w:spacing w:after="120" w:before="260"/>
      </w:pPr>
      <w:r>
        <w:rPr>
          <w:rFonts w:ascii="Arial" w:cs="Arial" w:eastAsia="Arial" w:hAnsi="Arial"/>
          <w:b/>
          <w:bCs/>
          <w:color w:val="1E4B3A"/>
          <w:sz w:val="24"/>
          <w:szCs w:val="24"/>
        </w:rPr>
        <w:t xml:space="preserve">Yield Healthcare starts this build already ahead</w:t>
      </w:r>
    </w:p>
    <w:p>
      <w:pPr>
        <w:spacing w:after="180" w:line="300"/>
      </w:pPr>
      <w:r>
        <w:rPr>
          <w:rFonts w:ascii="Arial" w:cs="Arial" w:eastAsia="Arial" w:hAnsi="Arial"/>
          <w:b w:val="false"/>
          <w:bCs w:val="false"/>
          <w:i w:val="false"/>
          <w:iCs w:val="false"/>
          <w:color w:val="222222"/>
          <w:sz w:val="21"/>
          <w:szCs w:val="21"/>
        </w:rPr>
        <w:t xml:space="preserve">The navigator staffing model, the post-acute vendor relationships, the claims-based identification logic, and the discharge-to-30-day playbook Yield Healthcare built for TEAM hospitals transfer directly into this program's Post-Acute Transitions segment, and extend naturally into Peri-Operative Optimization (the same discipline, applied before the surgical episode rather than only after it) and Complex Chronic Care Management (the same navigators, working a longer-duration panel rather than a fixed episode window). This is the single biggest structural advantage this line of business has over a standalone chronic-care-management startup: it is not starting from zero on the hardest part — the actual operating discipline of managing a patient through a high-risk transition.</w:t>
      </w:r>
    </w:p>
    <w:p>
      <w:pPr>
        <w:pStyle w:val="Heading1"/>
        <w:spacing w:after="160" w:before="360"/>
      </w:pPr>
      <w:r>
        <w:rPr>
          <w:rFonts w:ascii="Arial" w:cs="Arial" w:eastAsia="Arial" w:hAnsi="Arial"/>
          <w:b/>
          <w:bCs/>
          <w:color w:val="1E4B3A"/>
          <w:sz w:val="30"/>
          <w:szCs w:val="30"/>
        </w:rPr>
        <w:t xml:space="preserve">Market Sizing</w:t>
      </w:r>
    </w:p>
    <w:p>
      <w:pPr>
        <w:spacing w:after="180" w:line="300"/>
      </w:pPr>
      <w:r>
        <w:rPr>
          <w:rFonts w:ascii="Arial" w:cs="Arial" w:eastAsia="Arial" w:hAnsi="Arial"/>
          <w:b w:val="false"/>
          <w:bCs w:val="false"/>
          <w:i w:val="false"/>
          <w:iCs w:val="false"/>
          <w:color w:val="222222"/>
          <w:sz w:val="21"/>
          <w:szCs w:val="21"/>
        </w:rPr>
        <w:t xml:space="preserve">The sizing below anchors on published 2026 ACO participation data for the Medicare book of business and applies a labeled planning estimate to extend it to the commercial risk-bearing population this program is also built to serve. All figures should be refined as Yield Healthcare gets real underwriting data from prospective customers.</w:t>
      </w:r>
    </w:p>
    <w:p>
      <w:pPr>
        <w:pStyle w:val="Heading3"/>
        <w:spacing w:after="100" w:before="200"/>
      </w:pPr>
      <w:r>
        <w:rPr>
          <w:rFonts w:ascii="Arial" w:cs="Arial" w:eastAsia="Arial" w:hAnsi="Arial"/>
          <w:b/>
          <w:bCs/>
          <w:color w:val="8FA687"/>
          <w:sz w:val="20"/>
          <w:szCs w:val="20"/>
        </w:rPr>
        <w:t xml:space="preserve">TAM — Total Addressable Market</w:t>
      </w:r>
    </w:p>
    <w:p>
      <w:pPr>
        <w:spacing w:after="180" w:line="300"/>
      </w:pPr>
      <w:r>
        <w:rPr>
          <w:rFonts w:ascii="Arial" w:cs="Arial" w:eastAsia="Arial" w:hAnsi="Arial"/>
          <w:b w:val="false"/>
          <w:bCs w:val="false"/>
          <w:i w:val="false"/>
          <w:iCs w:val="false"/>
          <w:color w:val="222222"/>
          <w:sz w:val="21"/>
          <w:szCs w:val="21"/>
        </w:rPr>
        <w:t xml:space="preserve">14.3 million Medicare beneficiaries are attributed to an ACO in 2026. Adding a planning estimate for commercial risk-bearing lives at organizations with meaningful downside exposure — roughly comparable in scale to the Medicare ACO population, consistent with the finding that about half of commercial value-based lives already carry downside risk — puts the blended commercial-plus-Medicare addressable population at approximately 25-30 million lives, held by roughly 1,000-1,200 risk-bearing provider organizations of varying size across both books of business.</w:t>
      </w:r>
    </w:p>
    <w:p>
      <w:pPr>
        <w:pStyle w:val="Heading3"/>
        <w:spacing w:after="100" w:before="200"/>
      </w:pPr>
      <w:r>
        <w:rPr>
          <w:rFonts w:ascii="Arial" w:cs="Arial" w:eastAsia="Arial" w:hAnsi="Arial"/>
          <w:b/>
          <w:bCs/>
          <w:color w:val="8FA687"/>
          <w:sz w:val="20"/>
          <w:szCs w:val="20"/>
        </w:rPr>
        <w:t xml:space="preserve">SAM — Serviceable Addressable Market</w:t>
      </w:r>
    </w:p>
    <w:p>
      <w:pPr>
        <w:spacing w:after="180" w:line="300"/>
      </w:pPr>
      <w:r>
        <w:rPr>
          <w:rFonts w:ascii="Arial" w:cs="Arial" w:eastAsia="Arial" w:hAnsi="Arial"/>
          <w:b w:val="false"/>
          <w:bCs w:val="false"/>
          <w:i w:val="false"/>
          <w:iCs w:val="false"/>
          <w:color w:val="222222"/>
          <w:sz w:val="21"/>
          <w:szCs w:val="21"/>
        </w:rPr>
        <w:t xml:space="preserve">Not every ACO is a realistic near-term buyer. Small, single-market MSSP entrants on a no-downside track have limited urgency and limited budget authority to fund an external PMPM vendor. The realistic near-term buyer is a two-sided-risk organization — ACO REACH by design, an MSSP Enhanced-track ACO, or a commercial risk-bearing group — of sufficient scale (roughly 15,000+ attributed lives) to make an external program economically sensible. On that basis, the serviceable market is approximately 700 organizations and roughly 24 million attributed lives.</w:t>
      </w:r>
    </w:p>
    <w:p>
      <w:pPr>
        <w:pStyle w:val="Heading3"/>
        <w:spacing w:after="100" w:before="200"/>
      </w:pPr>
      <w:r>
        <w:rPr>
          <w:rFonts w:ascii="Arial" w:cs="Arial" w:eastAsia="Arial" w:hAnsi="Arial"/>
          <w:b/>
          <w:bCs/>
          <w:color w:val="8FA687"/>
          <w:sz w:val="20"/>
          <w:szCs w:val="20"/>
        </w:rPr>
        <w:t xml:space="preserve">SOM — Serviceable Obtainable Market (3-year plan)</w:t>
      </w:r>
    </w:p>
    <w:p>
      <w:pPr>
        <w:spacing w:after="180" w:line="300"/>
      </w:pPr>
      <w:r>
        <w:rPr>
          <w:rFonts w:ascii="Arial" w:cs="Arial" w:eastAsia="Arial" w:hAnsi="Arial"/>
          <w:b w:val="false"/>
          <w:bCs w:val="false"/>
          <w:i w:val="false"/>
          <w:iCs w:val="false"/>
          <w:color w:val="222222"/>
          <w:sz w:val="21"/>
          <w:szCs w:val="21"/>
        </w:rPr>
        <w:t xml:space="preserve">The go-to-market plan detailed later in this document reaches 17 active customer relationships by the end of Year 3, covering approximately 702,000 lives on the roster and generating $36.5M in Year 3 revenue. That is well under 3% penetration of the serviceable market by organization count — deliberately conservative for a new line of business's first three years, prioritizing a small number of deep, well-run relationships over rapid, thin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1700"/>
        <w:gridCol w:w="1560"/>
      </w:tblGrid>
      <w:tr>
        <w:trPr>
          <w:tblHeader/>
        </w:trPr>
        <w:tc>
          <w:tcPr>
            <w:tcW w:type="dxa" w:w="42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19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Organizations</w:t>
            </w:r>
          </w:p>
        </w:tc>
        <w:tc>
          <w:tcPr>
            <w:tcW w:type="dxa" w:w="17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Attributed Lives</w:t>
            </w:r>
          </w:p>
        </w:tc>
        <w:tc>
          <w:tcPr>
            <w:tcW w:type="dxa" w:w="15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Annual Revenue Potential</w:t>
            </w:r>
          </w:p>
        </w:tc>
      </w:tr>
      <w:tr>
        <w:tc>
          <w:tcPr>
            <w:tcW w:type="dxa" w:w="4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TAM (all risk-bearing organizations, commercial + Medicare)</w:t>
            </w:r>
          </w:p>
        </w:tc>
        <w:tc>
          <w:tcPr>
            <w:tcW w:type="dxa" w:w="19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~1,000-1,200</w:t>
            </w:r>
          </w:p>
        </w:tc>
        <w:tc>
          <w:tcPr>
            <w:tcW w:type="dxa" w:w="17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~25-30M</w:t>
            </w:r>
          </w:p>
        </w:tc>
        <w:tc>
          <w:tcPr>
            <w:tcW w:type="dxa" w:w="15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n/a — full-market ceiling</w:t>
            </w:r>
          </w:p>
        </w:tc>
      </w:tr>
      <w:tr>
        <w:tc>
          <w:tcPr>
            <w:tcW w:type="dxa" w:w="42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SAM (two-sided risk, 15,000+ lives, realistic near-term buyers)</w:t>
            </w:r>
          </w:p>
        </w:tc>
        <w:tc>
          <w:tcPr>
            <w:tcW w:type="dxa" w:w="19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~700</w:t>
            </w:r>
          </w:p>
        </w:tc>
        <w:tc>
          <w:tcPr>
            <w:tcW w:type="dxa" w:w="17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~24M</w:t>
            </w:r>
          </w:p>
        </w:tc>
        <w:tc>
          <w:tcPr>
            <w:tcW w:type="dxa" w:w="15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n/a — realistic near-term ceiling</w:t>
            </w:r>
          </w:p>
        </w:tc>
      </w:tr>
      <w:tr>
        <w:tc>
          <w:tcPr>
            <w:tcW w:type="dxa" w:w="4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SOM (Year 3 plan)</w:t>
            </w:r>
          </w:p>
        </w:tc>
        <w:tc>
          <w:tcPr>
            <w:tcW w:type="dxa" w:w="19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w:t>
            </w:r>
          </w:p>
        </w:tc>
        <w:tc>
          <w:tcPr>
            <w:tcW w:type="dxa" w:w="17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~702,000</w:t>
            </w:r>
          </w:p>
        </w:tc>
        <w:tc>
          <w:tcPr>
            <w:tcW w:type="dxa" w:w="15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$36.5M</w:t>
            </w:r>
          </w:p>
        </w:tc>
      </w:tr>
    </w:tbl>
    <w:p>
      <w:pPr>
        <w:spacing w:after="150"/>
      </w:pPr>
    </w:p>
    <w:p>
      <w:pPr>
        <w:pStyle w:val="Heading1"/>
        <w:spacing w:after="160" w:before="360"/>
      </w:pPr>
      <w:r>
        <w:rPr>
          <w:rFonts w:ascii="Arial" w:cs="Arial" w:eastAsia="Arial" w:hAnsi="Arial"/>
          <w:b/>
          <w:bCs/>
          <w:color w:val="1E4B3A"/>
          <w:sz w:val="30"/>
          <w:szCs w:val="30"/>
        </w:rPr>
        <w:t xml:space="preserve">Product Offerings</w:t>
      </w:r>
    </w:p>
    <w:p>
      <w:pPr>
        <w:spacing w:after="180" w:line="300"/>
      </w:pPr>
      <w:r>
        <w:rPr>
          <w:rFonts w:ascii="Arial" w:cs="Arial" w:eastAsia="Arial" w:hAnsi="Arial"/>
          <w:b w:val="false"/>
          <w:bCs w:val="false"/>
          <w:i w:val="false"/>
          <w:iCs w:val="false"/>
          <w:color w:val="222222"/>
          <w:sz w:val="21"/>
          <w:szCs w:val="21"/>
        </w:rPr>
        <w:t xml:space="preserve">The program is sold as a single PMPM relationship with a risk-bearing organization, structured around three population segments that reflect where proactive management most changes a member's cost trajectory. A customer typically enrolls in all three from the start, since they draw on the same navigator team and the same underlying claims feed — segmentation exists to price and staff correctly against very different intensity levels, not to sell three separate products.</w:t>
      </w:r>
    </w:p>
    <w:p>
      <w:pPr>
        <w:pStyle w:val="Heading2"/>
        <w:spacing w:after="120" w:before="260"/>
      </w:pPr>
      <w:r>
        <w:rPr>
          <w:rFonts w:ascii="Arial" w:cs="Arial" w:eastAsia="Arial" w:hAnsi="Arial"/>
          <w:b/>
          <w:bCs/>
          <w:color w:val="1E4B3A"/>
          <w:sz w:val="24"/>
          <w:szCs w:val="24"/>
        </w:rPr>
        <w:t xml:space="preserve">Segment 1 — Post-Acute Transitions</w:t>
      </w:r>
    </w:p>
    <w:p>
      <w:pPr>
        <w:spacing w:after="180" w:line="300"/>
      </w:pPr>
      <w:r>
        <w:rPr>
          <w:rFonts w:ascii="Arial" w:cs="Arial" w:eastAsia="Arial" w:hAnsi="Arial"/>
          <w:b w:val="false"/>
          <w:bCs w:val="false"/>
          <w:i w:val="false"/>
          <w:iCs w:val="false"/>
          <w:color w:val="222222"/>
          <w:sz w:val="21"/>
          <w:szCs w:val="21"/>
        </w:rPr>
        <w:t xml:space="preserve">Members with a recent inpatient stay or a TEAM-eligible surgical episode enter a 60-90 day intensive management window: discharge planning support, post-acute site selection, medication reconciliation, and structured follow-up contact through the highest-risk weeks after discharge — the same discipline Yield Healthcare already runs for TEAM hospitals, now extended to any attributed member's transition, not only a TEAM episode.</w:t>
      </w:r>
    </w:p>
    <w:p>
      <w:pPr>
        <w:spacing w:after="180" w:line="300"/>
      </w:pPr>
      <w:r>
        <w:rPr>
          <w:rFonts w:ascii="Arial" w:cs="Arial" w:eastAsia="Arial" w:hAnsi="Arial"/>
          <w:b w:val="false"/>
          <w:bCs w:val="false"/>
          <w:i w:val="false"/>
          <w:iCs w:val="false"/>
          <w:color w:val="222222"/>
          <w:sz w:val="21"/>
          <w:szCs w:val="21"/>
        </w:rPr>
        <w:t xml:space="preserve">Pricing: $175 PMPM per enrolled member, plus a contracted share of Transitional Care Management billing revenue (CPT 99495/99496) generated at the close of the episode. Blended, this segment generates roughly $1.01M in annual revenue per full-run-rate customer at approximately 50% gross margin.</w:t>
      </w:r>
    </w:p>
    <w:p>
      <w:pPr>
        <w:pStyle w:val="Heading2"/>
        <w:spacing w:after="120" w:before="260"/>
      </w:pPr>
      <w:r>
        <w:rPr>
          <w:rFonts w:ascii="Arial" w:cs="Arial" w:eastAsia="Arial" w:hAnsi="Arial"/>
          <w:b/>
          <w:bCs/>
          <w:color w:val="1E4B3A"/>
          <w:sz w:val="24"/>
          <w:szCs w:val="24"/>
        </w:rPr>
        <w:t xml:space="preserve">Segment 2 — Peri-Operative Optimization</w:t>
      </w:r>
    </w:p>
    <w:p>
      <w:pPr>
        <w:spacing w:after="180" w:line="300"/>
      </w:pPr>
      <w:r>
        <w:rPr>
          <w:rFonts w:ascii="Arial" w:cs="Arial" w:eastAsia="Arial" w:hAnsi="Arial"/>
          <w:b w:val="false"/>
          <w:bCs w:val="false"/>
          <w:i w:val="false"/>
          <w:iCs w:val="false"/>
          <w:color w:val="222222"/>
          <w:sz w:val="21"/>
          <w:szCs w:val="21"/>
        </w:rPr>
        <w:t xml:space="preserve">Members with a scheduled major surgery enter management before the surgical date — pre-operative risk optimization, medication and comorbidity review, prehabilitation coordination — and continue through the same post-acute transition discipline used in Segment 1 once surgery occurs. This is the most direct extension of Yield Healthcare's existing TEAM experience: the same episode types, managed earlier in the timeline.</w:t>
      </w:r>
    </w:p>
    <w:p>
      <w:pPr>
        <w:spacing w:after="180" w:line="300"/>
      </w:pPr>
      <w:r>
        <w:rPr>
          <w:rFonts w:ascii="Arial" w:cs="Arial" w:eastAsia="Arial" w:hAnsi="Arial"/>
          <w:b w:val="false"/>
          <w:bCs w:val="false"/>
          <w:i w:val="false"/>
          <w:iCs w:val="false"/>
          <w:color w:val="222222"/>
          <w:sz w:val="21"/>
          <w:szCs w:val="21"/>
        </w:rPr>
        <w:t xml:space="preserve">Pricing: $195 PMPM per enrolled member, plus a contracted share of TCM and, for higher-complexity surgical patients, Principal Illness Navigation billing revenue (HCPCS G0023/G0024). Blended, this segment generates roughly $693,000 in annual revenue per full-run-rate customer at approximately 49% gross margin.</w:t>
      </w:r>
    </w:p>
    <w:p>
      <w:pPr>
        <w:pStyle w:val="Heading2"/>
        <w:spacing w:after="120" w:before="260"/>
      </w:pPr>
      <w:r>
        <w:rPr>
          <w:rFonts w:ascii="Arial" w:cs="Arial" w:eastAsia="Arial" w:hAnsi="Arial"/>
          <w:b/>
          <w:bCs/>
          <w:color w:val="1E4B3A"/>
          <w:sz w:val="24"/>
          <w:szCs w:val="24"/>
        </w:rPr>
        <w:t xml:space="preserve">Segment 3 — Complex Chronic Care Management</w:t>
      </w:r>
    </w:p>
    <w:p>
      <w:pPr>
        <w:spacing w:after="180" w:line="300"/>
      </w:pPr>
      <w:r>
        <w:rPr>
          <w:rFonts w:ascii="Arial" w:cs="Arial" w:eastAsia="Arial" w:hAnsi="Arial"/>
          <w:b w:val="false"/>
          <w:bCs w:val="false"/>
          <w:i w:val="false"/>
          <w:iCs w:val="false"/>
          <w:color w:val="222222"/>
          <w:sz w:val="21"/>
          <w:szCs w:val="21"/>
        </w:rPr>
        <w:t xml:space="preserve">Multi-condition, high-HCC members enter ongoing monthly management outside of any single admission or surgery — care plan development, medication reconciliation, symptom monitoring, and structured outreach calibrated to acuity. This is the largest segment by enrolled-member count and the highest-margin, since it draws on lower-intensity staffing ratios than an active transition.</w:t>
      </w:r>
    </w:p>
    <w:p>
      <w:pPr>
        <w:spacing w:after="180" w:line="300"/>
      </w:pPr>
      <w:r>
        <w:rPr>
          <w:rFonts w:ascii="Arial" w:cs="Arial" w:eastAsia="Arial" w:hAnsi="Arial"/>
          <w:b w:val="false"/>
          <w:bCs w:val="false"/>
          <w:i w:val="false"/>
          <w:iCs w:val="false"/>
          <w:color w:val="222222"/>
          <w:sz w:val="21"/>
          <w:szCs w:val="21"/>
        </w:rPr>
        <w:t xml:space="preserve">Pricing: $85 PMPM per enrolled member, plus a contracted share of complex Chronic Care Management (CPT 99487/99489), Principal Care Management (CPT 99424 and related codes), and Remote Patient Monitoring (CPT 99453/99454/99457/99458) billing revenue generated across the panel. Blended, this segment generates roughly $3.56M in annual revenue per full-run-rate customer at approximately 64% gross margin — the largest single contributor to total revenue at scale.</w:t>
      </w:r>
    </w:p>
    <w:p>
      <w:pPr>
        <w:pStyle w:val="Heading2"/>
        <w:spacing w:after="120" w:before="260"/>
      </w:pPr>
      <w:r>
        <w:rPr>
          <w:rFonts w:ascii="Arial" w:cs="Arial" w:eastAsia="Arial" w:hAnsi="Arial"/>
          <w:b/>
          <w:bCs/>
          <w:color w:val="1E4B3A"/>
          <w:sz w:val="24"/>
          <w:szCs w:val="24"/>
        </w:rPr>
        <w:t xml:space="preserve">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1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Post-Acute Transitions</w:t>
            </w:r>
          </w:p>
        </w:tc>
        <w:tc>
          <w:tcPr>
            <w:tcW w:type="dxa" w:w="21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Peri-Operative Optimization</w:t>
            </w:r>
          </w:p>
        </w:tc>
        <w:tc>
          <w:tcPr>
            <w:tcW w:type="dxa" w:w="21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Complex Chronic CM</w:t>
            </w:r>
          </w:p>
        </w:tc>
      </w:tr>
      <w:tr>
        <w:tc>
          <w:tcPr>
            <w:tcW w:type="dxa" w:w="30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Enrollment rate</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0.8% of covered lives</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0.5% of covered lives</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4.0% of covered lives</w:t>
            </w:r>
          </w:p>
        </w:tc>
      </w:tr>
      <w:tr>
        <w:tc>
          <w:tcPr>
            <w:tcW w:type="dxa" w:w="30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PMPM client fee</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$175</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$195</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$85</w:t>
            </w:r>
          </w:p>
        </w:tc>
      </w:tr>
      <w:tr>
        <w:tc>
          <w:tcPr>
            <w:tcW w:type="dxa" w:w="30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Net CMS billing PMPM</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$80</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$85</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$95</w:t>
            </w:r>
          </w:p>
        </w:tc>
      </w:tr>
      <w:tr>
        <w:tc>
          <w:tcPr>
            <w:tcW w:type="dxa" w:w="30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Delivery cost PMPM</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$115</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$130</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w:t>
            </w:r>
          </w:p>
        </w:tc>
      </w:tr>
      <w:tr>
        <w:tc>
          <w:tcPr>
            <w:tcW w:type="dxa" w:w="30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Segment gross margin</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~50%</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~49%</w:t>
            </w:r>
          </w:p>
        </w:tc>
        <w:tc>
          <w:tcPr>
            <w:tcW w:type="dxa" w:w="21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~64%</w:t>
            </w:r>
          </w:p>
        </w:tc>
      </w:tr>
      <w:tr>
        <w:tc>
          <w:tcPr>
            <w:tcW w:type="dxa" w:w="30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Annual revenue per full-run-rate customer</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~$1.01M</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~$693K</w:t>
            </w:r>
          </w:p>
        </w:tc>
        <w:tc>
          <w:tcPr>
            <w:tcW w:type="dxa" w:w="21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~$3.56M</w:t>
            </w:r>
          </w:p>
        </w:tc>
      </w:tr>
    </w:tbl>
    <w:p>
      <w:pPr>
        <w:spacing w:after="200"/>
      </w:pPr>
      <w:r>
        <w:rPr>
          <w:rFonts w:ascii="Arial" w:cs="Arial" w:eastAsia="Arial" w:hAnsi="Arial"/>
          <w:i/>
          <w:iCs/>
          <w:color w:val="808080"/>
          <w:sz w:val="16"/>
          <w:szCs w:val="16"/>
        </w:rPr>
        <w:t xml:space="preserve">Figures are from the Segment Unit Economics tab of PMPM_Pricing_Model.xlsx, based on a blended customer of 41,250 covered lives (50% small / 35% medium / 15% large risk-bearing organizations). See the workbook for the full per-size breakdown and every underlying assumption.</w:t>
      </w:r>
    </w:p>
    <w:p>
      <w:pPr>
        <w:pStyle w:val="Heading1"/>
        <w:spacing w:after="160" w:before="360"/>
      </w:pPr>
      <w:r>
        <w:rPr>
          <w:rFonts w:ascii="Arial" w:cs="Arial" w:eastAsia="Arial" w:hAnsi="Arial"/>
          <w:b/>
          <w:bCs/>
          <w:color w:val="1E4B3A"/>
          <w:sz w:val="30"/>
          <w:szCs w:val="30"/>
        </w:rPr>
        <w:t xml:space="preserve">Competitive Landscape</w:t>
      </w:r>
    </w:p>
    <w:p>
      <w:pPr>
        <w:spacing w:after="180" w:line="300"/>
      </w:pPr>
      <w:r>
        <w:rPr>
          <w:rFonts w:ascii="Arial" w:cs="Arial" w:eastAsia="Arial" w:hAnsi="Arial"/>
          <w:b w:val="false"/>
          <w:bCs w:val="false"/>
          <w:i w:val="false"/>
          <w:iCs w:val="false"/>
          <w:color w:val="222222"/>
          <w:sz w:val="21"/>
          <w:szCs w:val="21"/>
        </w:rPr>
        <w:t xml:space="preserve">Population care management sits at the intersection of two vendor categories that rarely overlap: ACO enablement platforms and chronic-care-management billing vendors. Yield Healthcare's positioning against the field:</w:t>
      </w:r>
    </w:p>
    <w:p>
      <w:pPr>
        <w:pStyle w:val="ListParagraph"/>
        <w:numPr>
          <w:ilvl w:val="0"/>
          <w:numId w:val="1"/>
        </w:numPr>
        <w:spacing w:after="90" w:line="280"/>
      </w:pPr>
      <w:r>
        <w:rPr>
          <w:rFonts w:ascii="Arial" w:cs="Arial" w:eastAsia="Arial" w:hAnsi="Arial"/>
          <w:color w:val="222222"/>
          <w:sz w:val="21"/>
          <w:szCs w:val="21"/>
        </w:rPr>
        <w:t xml:space="preserve">ACO enablement platforms (Aledade — the top-ranked 2026 KLAS value-based care enablement vendor and the largest MSSP-affiliated network; Evolent Care Partners) are strong on attribution, quality reporting, and shared-savings analytics, but are not generally staffed to run hands-on post-acute, peri-operative, or chronic care management themselves. Aledade's own July 2026 ACCESS program launch — cellular-enabled devices and pharmacist-led counseling for hypertension and diabetes — signals the category is reaching toward this capability, not that it already has it at scale.</w:t>
      </w:r>
    </w:p>
    <w:p>
      <w:pPr>
        <w:pStyle w:val="ListParagraph"/>
        <w:numPr>
          <w:ilvl w:val="0"/>
          <w:numId w:val="1"/>
        </w:numPr>
        <w:spacing w:after="90" w:line="280"/>
      </w:pPr>
      <w:r>
        <w:rPr>
          <w:rFonts w:ascii="Arial" w:cs="Arial" w:eastAsia="Arial" w:hAnsi="Arial"/>
          <w:color w:val="222222"/>
          <w:sz w:val="21"/>
          <w:szCs w:val="21"/>
        </w:rPr>
        <w:t xml:space="preserve">Chronic-care-management billing vendors run the CCM/PCM/RPM billing motion efficiently but are typically scoped narrowly to that billing workflow, not the full post-acute-to-chronic continuum, and rarely bring real operating experience inside a CMS bundled-payment model.</w:t>
      </w:r>
    </w:p>
    <w:p>
      <w:pPr>
        <w:pStyle w:val="ListParagraph"/>
        <w:numPr>
          <w:ilvl w:val="0"/>
          <w:numId w:val="1"/>
        </w:numPr>
        <w:spacing w:after="90" w:line="280"/>
      </w:pPr>
      <w:r>
        <w:rPr>
          <w:rFonts w:ascii="Arial" w:cs="Arial" w:eastAsia="Arial" w:hAnsi="Arial"/>
          <w:color w:val="222222"/>
          <w:sz w:val="21"/>
          <w:szCs w:val="21"/>
        </w:rPr>
        <w:t xml:space="preserve">Large incumbent post-acute conveners (naviHealth, now part of Optum; CenterWell/Signify Health, part of UnitedHealth) bring scale but are embedded inside payer-owned organizations, creating the same channel-conflict concern for an independent risk-bearing group that it does for a hospital choosing a TEAM partner.</w:t>
      </w:r>
    </w:p>
    <w:p>
      <w:pPr>
        <w:pStyle w:val="ListParagraph"/>
        <w:numPr>
          <w:ilvl w:val="0"/>
          <w:numId w:val="1"/>
        </w:numPr>
        <w:spacing w:after="90" w:line="280"/>
      </w:pPr>
      <w:r>
        <w:rPr>
          <w:rFonts w:ascii="Arial" w:cs="Arial" w:eastAsia="Arial" w:hAnsi="Arial"/>
          <w:color w:val="222222"/>
          <w:sz w:val="21"/>
          <w:szCs w:val="21"/>
        </w:rPr>
        <w:t xml:space="preserve">Yield Healthcare's differentiation is structural: it is the only offering built by an operator with real, current bundled-payment execution experience (via TEAM), extending that discipline earlier (peri-operative) and later (chronic) in the patient's relationship with the risk-bearing organization — one navigator team spanning all three moments, rather than three vendors handing a patient off between them.</w:t>
      </w:r>
    </w:p>
    <w:p>
      <w:pPr>
        <w:spacing w:after="150"/>
      </w:pPr>
    </w:p>
    <w:p>
      <w:pPr>
        <w:pStyle w:val="Heading1"/>
        <w:spacing w:after="160" w:before="360"/>
      </w:pPr>
      <w:r>
        <w:rPr>
          <w:rFonts w:ascii="Arial" w:cs="Arial" w:eastAsia="Arial" w:hAnsi="Arial"/>
          <w:b/>
          <w:bCs/>
          <w:color w:val="1E4B3A"/>
          <w:sz w:val="30"/>
          <w:szCs w:val="30"/>
        </w:rPr>
        <w:t xml:space="preserve">Go-to-Market Strategy</w:t>
      </w:r>
    </w:p>
    <w:p>
      <w:pPr>
        <w:spacing w:after="180" w:line="300"/>
      </w:pPr>
      <w:r>
        <w:rPr>
          <w:rFonts w:ascii="Arial" w:cs="Arial" w:eastAsia="Arial" w:hAnsi="Arial"/>
          <w:b w:val="false"/>
          <w:bCs w:val="false"/>
          <w:i w:val="false"/>
          <w:iCs w:val="false"/>
          <w:color w:val="222222"/>
          <w:sz w:val="21"/>
          <w:szCs w:val="21"/>
        </w:rPr>
        <w:t xml:space="preserve">The primary channel is Yield Healthcare's own installed base: TEAM hospital relationships frequently have an affiliated or sponsoring ACO, physician group, or health system risk arrangement, and the TEAM engagement itself is the proof point and the warm introduction. Net-new outbound targets two-sided-risk organizations directly, prioritized by attributed lives and downside exposure.</w:t>
      </w:r>
    </w:p>
    <w:p>
      <w:pPr>
        <w:pStyle w:val="Heading3"/>
        <w:spacing w:after="100" w:before="200"/>
      </w:pPr>
      <w:r>
        <w:rPr>
          <w:rFonts w:ascii="Arial" w:cs="Arial" w:eastAsia="Arial" w:hAnsi="Arial"/>
          <w:b/>
          <w:bCs/>
          <w:color w:val="8FA687"/>
          <w:sz w:val="20"/>
          <w:szCs w:val="20"/>
        </w:rPr>
        <w:t xml:space="preserve">Year 1 — Design partners</w:t>
      </w:r>
    </w:p>
    <w:p>
      <w:pPr>
        <w:spacing w:after="180" w:line="300"/>
      </w:pPr>
      <w:r>
        <w:rPr>
          <w:rFonts w:ascii="Arial" w:cs="Arial" w:eastAsia="Arial" w:hAnsi="Arial"/>
          <w:b w:val="false"/>
          <w:bCs w:val="false"/>
          <w:i w:val="false"/>
          <w:iCs w:val="false"/>
          <w:color w:val="222222"/>
          <w:sz w:val="21"/>
          <w:szCs w:val="21"/>
        </w:rPr>
        <w:t xml:space="preserve">Sign 2 design-partner risk-bearing organizations, prioritizing ACOs or physician groups affiliated with an existing TEAM hospital relationship. Priority: build the enrollment and billing-delegation workflow correctly with a small number of sophisticated partners before scaling outreach.</w:t>
      </w:r>
    </w:p>
    <w:p>
      <w:pPr>
        <w:pStyle w:val="Heading3"/>
        <w:spacing w:after="100" w:before="200"/>
      </w:pPr>
      <w:r>
        <w:rPr>
          <w:rFonts w:ascii="Arial" w:cs="Arial" w:eastAsia="Arial" w:hAnsi="Arial"/>
          <w:b/>
          <w:bCs/>
          <w:color w:val="8FA687"/>
          <w:sz w:val="20"/>
          <w:szCs w:val="20"/>
        </w:rPr>
        <w:t xml:space="preserve">Year 2 — Prove the model, start the outbound motion</w:t>
      </w:r>
    </w:p>
    <w:p>
      <w:pPr>
        <w:spacing w:after="180" w:line="300"/>
      </w:pPr>
      <w:r>
        <w:rPr>
          <w:rFonts w:ascii="Arial" w:cs="Arial" w:eastAsia="Arial" w:hAnsi="Arial"/>
          <w:b w:val="false"/>
          <w:bCs w:val="false"/>
          <w:i w:val="false"/>
          <w:iCs w:val="false"/>
          <w:color w:val="222222"/>
          <w:sz w:val="21"/>
          <w:szCs w:val="21"/>
        </w:rPr>
        <w:t xml:space="preserve">Add 6 new customers, split between TEAM-affiliated introductions and direct outbound to two-sided-risk organizations. Begin building a repeatable enrollment and onboarding playbook from the Year 1 cohort's experience.</w:t>
      </w:r>
    </w:p>
    <w:p>
      <w:pPr>
        <w:pStyle w:val="Heading3"/>
        <w:spacing w:after="100" w:before="200"/>
      </w:pPr>
      <w:r>
        <w:rPr>
          <w:rFonts w:ascii="Arial" w:cs="Arial" w:eastAsia="Arial" w:hAnsi="Arial"/>
          <w:b/>
          <w:bCs/>
          <w:color w:val="8FA687"/>
          <w:sz w:val="20"/>
          <w:szCs w:val="20"/>
        </w:rPr>
        <w:t xml:space="preserve">Year 3 — Scale</w:t>
      </w:r>
    </w:p>
    <w:p>
      <w:pPr>
        <w:spacing w:after="180" w:line="300"/>
      </w:pPr>
      <w:r>
        <w:rPr>
          <w:rFonts w:ascii="Arial" w:cs="Arial" w:eastAsia="Arial" w:hAnsi="Arial"/>
          <w:b w:val="false"/>
          <w:bCs w:val="false"/>
          <w:i w:val="false"/>
          <w:iCs w:val="false"/>
          <w:color w:val="222222"/>
          <w:sz w:val="21"/>
          <w:szCs w:val="21"/>
        </w:rPr>
        <w:t xml:space="preserve">Add 10 new customers, with the enrollment maturity curve from Years 1-2 cohorts reaching full run-rate. By year-end, 17 active customer relationships are covering approximately 702,000 lives, at roughly 60% blended gross margin.</w:t>
      </w:r>
    </w:p>
    <w:p>
      <w:pPr>
        <w:spacing w:after="180" w:line="300"/>
      </w:pPr>
      <w:r>
        <w:rPr>
          <w:rFonts w:ascii="Arial" w:cs="Arial" w:eastAsia="Arial" w:hAnsi="Arial"/>
          <w:b w:val="false"/>
          <w:bCs w:val="false"/>
          <w:i w:val="false"/>
          <w:iCs w:val="false"/>
          <w:color w:val="222222"/>
          <w:sz w:val="21"/>
          <w:szCs w:val="21"/>
        </w:rPr>
        <w:t xml:space="preserve">Sales motion: a direct enterprise sales team calling on ACO executive directors, physician group CMOs, and VP-level population health leaders, supported by Yield Healthcare's TEAM track record as the credibility anchor — a rare asset among population-health vendors, most of whom have never actually operated inside a CMS risk model themselves.</w:t>
      </w:r>
    </w:p>
    <w:p>
      <w:pPr>
        <w:pStyle w:val="Heading1"/>
        <w:spacing w:after="160" w:before="360"/>
      </w:pPr>
      <w:r>
        <w:rPr>
          <w:rFonts w:ascii="Arial" w:cs="Arial" w:eastAsia="Arial" w:hAnsi="Arial"/>
          <w:b/>
          <w:bCs/>
          <w:color w:val="1E4B3A"/>
          <w:sz w:val="30"/>
          <w:szCs w:val="30"/>
        </w:rPr>
        <w:t xml:space="preserve">Financial Summary</w:t>
      </w:r>
    </w:p>
    <w:p>
      <w:pPr>
        <w:spacing w:after="180" w:line="300"/>
      </w:pPr>
      <w:r>
        <w:rPr>
          <w:rFonts w:ascii="Arial" w:cs="Arial" w:eastAsia="Arial" w:hAnsi="Arial"/>
          <w:b w:val="false"/>
          <w:bCs w:val="false"/>
          <w:i w:val="false"/>
          <w:iCs w:val="false"/>
          <w:color w:val="222222"/>
          <w:sz w:val="21"/>
          <w:szCs w:val="21"/>
        </w:rPr>
        <w:t xml:space="preserve">The three-year build below is generated directly from the pricing model's customer acquisition plan, enrollment maturity ramp, and segment-level unit economics — every number here recalculates if the assumptions in the workbook change. It assumes 90% annual customer retention and a three-year enrollment maturity curve (20% of target enrollment in a customer's first year, 60% in year two, 100% from year three onward), reflecting the real time it takes a new customer to build identification workflows and ramp referral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136"/>
        <w:gridCol w:w="2136"/>
        <w:gridCol w:w="2136"/>
      </w:tblGrid>
      <w:tr>
        <w:trPr>
          <w:tblHeader/>
        </w:trPr>
        <w:tc>
          <w:tcPr>
            <w:tcW w:type="dxa" w:w="2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1</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2</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3</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Cumulative customers</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7.8</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17.0</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Covered lives on roster</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82,500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321,750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702,075</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revenue</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$2,176,720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$12,218,304</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$36,480,248</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cost</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$876,296</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$4,928,737</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$14,730,801</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profit</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$1,300,424</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$7,289,567</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$21,749,447</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margin</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59.7%</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59.7%</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59.6%</w:t>
            </w:r>
          </w:p>
        </w:tc>
      </w:tr>
    </w:tbl>
    <w:p>
      <w:pPr>
        <w:spacing w:after="100"/>
      </w:pPr>
    </w:p>
    <w:p>
      <w:pPr>
        <w:spacing w:after="180" w:line="300"/>
      </w:pPr>
      <w:r>
        <w:rPr>
          <w:rFonts w:ascii="Arial" w:cs="Arial" w:eastAsia="Arial" w:hAnsi="Arial"/>
          <w:b w:val="false"/>
          <w:bCs w:val="false"/>
          <w:i w:val="false"/>
          <w:iCs w:val="false"/>
          <w:color w:val="222222"/>
          <w:sz w:val="21"/>
          <w:szCs w:val="21"/>
        </w:rPr>
        <w:t xml:space="preserve">Two dynamics are worth flagging. First, gross margin holds steady around 60% across all three years — materially higher than TEAM's blended margin, because this program is priced as a recurring PMPM relationship with a favorable mix toward the high-margin Complex Chronic segment (64% segment margin, and the largest revenue contributor at scale) rather than TEAM's episode-based shared-savings structure. Second, revenue scales faster than TEAM's did at a comparable customer count, because a single risk-bearing organization's covered-life population is a much larger revenue base than a single hospital's annual TEAM episode volume — this is a structurally larger line of business than TEAM at maturity, not a smaller adjacent one.</w:t>
      </w:r>
    </w:p>
    <w:p>
      <w:pPr>
        <w:spacing w:after="200"/>
      </w:pPr>
      <w:r>
        <w:rPr>
          <w:rFonts w:ascii="Arial" w:cs="Arial" w:eastAsia="Arial" w:hAnsi="Arial"/>
          <w:i/>
          <w:iCs/>
          <w:color w:val="808080"/>
          <w:sz w:val="16"/>
          <w:szCs w:val="16"/>
        </w:rPr>
        <w:t xml:space="preserve">Full detail, including per-segment unit economics, the cohort-level enrollment ramp, and every input assumption, is in PMPM_Pricing_Model.xlsx (tabs: Assumptions, Segment Unit Economics, 3-Year Build, Summary).</w:t>
      </w:r>
    </w:p>
    <w:p>
      <w:pPr>
        <w:pStyle w:val="Heading1"/>
        <w:spacing w:after="160" w:before="360"/>
      </w:pPr>
      <w:r>
        <w:rPr>
          <w:rFonts w:ascii="Arial" w:cs="Arial" w:eastAsia="Arial" w:hAnsi="Arial"/>
          <w:b/>
          <w:bCs/>
          <w:color w:val="1E4B3A"/>
          <w:sz w:val="30"/>
          <w:szCs w:val="30"/>
        </w:rPr>
        <w:t xml:space="preserve">Regulatory &amp; Compliance Considerations</w:t>
      </w:r>
    </w:p>
    <w:p>
      <w:pPr>
        <w:spacing w:after="180" w:line="300"/>
      </w:pPr>
      <w:r>
        <w:rPr>
          <w:rFonts w:ascii="Arial" w:cs="Arial" w:eastAsia="Arial" w:hAnsi="Arial"/>
          <w:b w:val="false"/>
          <w:bCs w:val="false"/>
          <w:i w:val="false"/>
          <w:iCs w:val="false"/>
          <w:color w:val="222222"/>
          <w:sz w:val="21"/>
          <w:szCs w:val="21"/>
        </w:rPr>
        <w:t xml:space="preserve">This program shares its core compliance question with the TEAM Embedded tier, and should be resolved alongside it rather than as a separate legal work stream.</w:t>
      </w:r>
    </w:p>
    <w:p>
      <w:pPr>
        <w:pStyle w:val="Heading3"/>
        <w:spacing w:after="100" w:before="200"/>
      </w:pPr>
      <w:r>
        <w:rPr>
          <w:rFonts w:ascii="Arial" w:cs="Arial" w:eastAsia="Arial" w:hAnsi="Arial"/>
          <w:b/>
          <w:bCs/>
          <w:color w:val="8FA687"/>
          <w:sz w:val="20"/>
          <w:szCs w:val="20"/>
        </w:rPr>
        <w:t xml:space="preserve">Care-management billing structure</w:t>
      </w:r>
    </w:p>
    <w:p>
      <w:pPr>
        <w:spacing w:after="180" w:line="300"/>
      </w:pPr>
      <w:r>
        <w:rPr>
          <w:rFonts w:ascii="Arial" w:cs="Arial" w:eastAsia="Arial" w:hAnsi="Arial"/>
          <w:b w:val="false"/>
          <w:bCs w:val="false"/>
          <w:i w:val="false"/>
          <w:iCs w:val="false"/>
          <w:color w:val="222222"/>
          <w:sz w:val="21"/>
          <w:szCs w:val="21"/>
        </w:rPr>
        <w:t xml:space="preserve">CCM, PCM, TCM, RPM, and PIN codes must be billed by a Medicare-enrolled entity, under appropriate physician or advanced-practice-provider supervision. Yield Healthcare's navigators can perform the qualifying work, but billing will most likely run through the risk-bearing customer's own or an affiliated group's NPI and billing infrastructure, with Yield Healthcare's contracted share of collected revenue set out in the services agreement — the same structure already being built for TEAM Embedded, extended to a second product line rather than negotiated from scratch.</w:t>
      </w:r>
    </w:p>
    <w:p>
      <w:pPr>
        <w:pStyle w:val="Heading3"/>
        <w:spacing w:after="100" w:before="200"/>
      </w:pPr>
      <w:r>
        <w:rPr>
          <w:rFonts w:ascii="Arial" w:cs="Arial" w:eastAsia="Arial" w:hAnsi="Arial"/>
          <w:b/>
          <w:bCs/>
          <w:color w:val="8FA687"/>
          <w:sz w:val="20"/>
          <w:szCs w:val="20"/>
        </w:rPr>
        <w:t xml:space="preserve">Data access and attribution risk</w:t>
      </w:r>
    </w:p>
    <w:p>
      <w:pPr>
        <w:spacing w:after="180" w:line="300"/>
      </w:pPr>
      <w:r>
        <w:rPr>
          <w:rFonts w:ascii="Arial" w:cs="Arial" w:eastAsia="Arial" w:hAnsi="Arial"/>
          <w:b w:val="false"/>
          <w:bCs w:val="false"/>
          <w:i w:val="false"/>
          <w:iCs w:val="false"/>
          <w:color w:val="222222"/>
          <w:sz w:val="21"/>
          <w:szCs w:val="21"/>
        </w:rPr>
        <w:t xml:space="preserve">This program depends on timely access to a risk-bearing organization's claims feed, attribution roster, and care gaps data under a signed Business Associate Agreement — a heavier and more continuous data dependency than TEAM's hospital-level claims access, since population identification runs every month, not once per episode. This should be scoped explicitly into every customer contract's onboarding timeline rather than assumed.</w:t>
      </w:r>
    </w:p>
    <w:p>
      <w:pPr>
        <w:spacing w:after="150"/>
      </w:pPr>
    </w:p>
    <w:p>
      <w:pPr>
        <w:pStyle w:val="Heading1"/>
        <w:spacing w:after="160" w:before="360"/>
      </w:pPr>
      <w:r>
        <w:rPr>
          <w:rFonts w:ascii="Arial" w:cs="Arial" w:eastAsia="Arial" w:hAnsi="Arial"/>
          <w:b/>
          <w:bCs/>
          <w:color w:val="1E4B3A"/>
          <w:sz w:val="30"/>
          <w:szCs w:val="30"/>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Risk</w:t>
            </w:r>
          </w:p>
        </w:tc>
        <w:tc>
          <w:tcPr>
            <w:tcW w:type="dxa" w:w="5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Mitigation</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Enrollment risk — revenue depends on accurately identifying and enrolling the right members every month, not a fixed contract value.</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Build identification logic collaboratively with each customer's own claims and EHR data during onboarding rather than a one-size model; price the PMPM fee to hold value even if enrollment volume runs below plan in a given month.</w:t>
            </w:r>
          </w:p>
        </w:tc>
      </w:tr>
      <w:tr>
        <w:tc>
          <w:tcPr>
            <w:tcW w:type="dxa" w:w="3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Compliance execution risk — the CM billing revenue-share structure has not been finalized with legal counsel and is shared with the TEAM Embedded tier's open item.</w:t>
            </w:r>
          </w:p>
        </w:tc>
        <w:tc>
          <w:tcPr>
            <w:tcW w:type="dxa" w:w="5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Resolve the billing delegation structure once, as a company-wide legal work stream, rather than separately for each product line; treat Year 1 as a design-partner motion with sophisticated organizations willing to work through it jointly.</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Customer concentration in early years — a small number of design-partner relationships carry a large share of Year 1-2 revenue.</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Prioritize relationship depth and documented outcomes with the first cohort so early logos convert into referenceable case studies before broad outbound begins.</w:t>
            </w:r>
          </w:p>
        </w:tc>
      </w:tr>
      <w:tr>
        <w:tc>
          <w:tcPr>
            <w:tcW w:type="dxa" w:w="3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Competitive response — ACO enablement platforms with existing distribution (Aledade, Evolent) could build or acquire this capability rather than partner for it.</w:t>
            </w:r>
          </w:p>
        </w:tc>
        <w:tc>
          <w:tcPr>
            <w:tcW w:type="dxa" w:w="5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Compete on operating credibility rather than distribution: Yield Healthcare's TEAM track record is a real, current bundled-payment execution history that a platform-only competitor cannot replicate quickly.</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Talent risk — navigator hiring must scale with enrollment across three segments with different acuity and staffing ratios.</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Cross-train the navigator team across TEAM and this program's segments where clinically appropriate, improving hiring flexibility and giving staff a broader career path within Yield Healthcare.</w:t>
            </w:r>
          </w:p>
        </w:tc>
      </w:tr>
    </w:tbl>
    <w:p>
      <w:pPr>
        <w:pStyle w:val="Heading1"/>
        <w:spacing w:after="160" w:before="360"/>
      </w:pPr>
      <w:r>
        <w:rPr>
          <w:rFonts w:ascii="Arial" w:cs="Arial" w:eastAsia="Arial" w:hAnsi="Arial"/>
          <w:b/>
          <w:bCs/>
          <w:color w:val="1E4B3A"/>
          <w:sz w:val="30"/>
          <w:szCs w:val="30"/>
        </w:rPr>
        <w:t xml:space="preserve">Organization &amp; Capital Requirements</w:t>
      </w:r>
    </w:p>
    <w:p>
      <w:pPr>
        <w:pStyle w:val="Heading2"/>
        <w:spacing w:after="120" w:before="260"/>
      </w:pPr>
      <w:r>
        <w:rPr>
          <w:rFonts w:ascii="Arial" w:cs="Arial" w:eastAsia="Arial" w:hAnsi="Arial"/>
          <w:b/>
          <w:bCs/>
          <w:color w:val="1E4B3A"/>
          <w:sz w:val="24"/>
          <w:szCs w:val="24"/>
        </w:rPr>
        <w:t xml:space="preserve">Team needed to execute Year 1</w:t>
      </w:r>
    </w:p>
    <w:p>
      <w:pPr>
        <w:spacing w:after="180" w:line="300"/>
      </w:pPr>
      <w:r>
        <w:rPr>
          <w:rFonts w:ascii="Arial" w:cs="Arial" w:eastAsia="Arial" w:hAnsi="Arial"/>
          <w:b w:val="false"/>
          <w:bCs w:val="false"/>
          <w:i w:val="false"/>
          <w:iCs w:val="false"/>
          <w:color w:val="222222"/>
          <w:sz w:val="21"/>
          <w:szCs w:val="21"/>
        </w:rPr>
        <w:t xml:space="preserve">This program is designed to extend Yield Healthcare's existing organization rather than stand up a parallel one. A population health clinical lead owns the segment-specific care protocols and oversees the first complex-chronic navigator hires; the existing data/analytics function extends its claims pipeline to monthly population identification rather than episode-triggered identification; the compliance lead already working the TEAM Embedded billing structure extends that same work to this program's revenue-share arrangements; and the existing enterprise sales function adds ACO executive directors and population health VPs to its target list, leveraging TEAM hospital relationships as the primary Year 1 pipeline.</w:t>
      </w:r>
    </w:p>
    <w:p>
      <w:pPr>
        <w:pStyle w:val="Heading2"/>
        <w:spacing w:after="120" w:before="260"/>
      </w:pPr>
      <w:r>
        <w:rPr>
          <w:rFonts w:ascii="Arial" w:cs="Arial" w:eastAsia="Arial" w:hAnsi="Arial"/>
          <w:b/>
          <w:bCs/>
          <w:color w:val="1E4B3A"/>
          <w:sz w:val="24"/>
          <w:szCs w:val="24"/>
        </w:rPr>
        <w:t xml:space="preserve">Use of proceeds</w:t>
      </w:r>
    </w:p>
    <w:p>
      <w:pPr>
        <w:spacing w:after="180" w:line="300"/>
      </w:pPr>
      <w:r>
        <w:rPr>
          <w:rFonts w:ascii="Arial" w:cs="Arial" w:eastAsia="Arial" w:hAnsi="Arial"/>
          <w:b w:val="false"/>
          <w:bCs w:val="false"/>
          <w:i w:val="false"/>
          <w:iCs w:val="false"/>
          <w:color w:val="222222"/>
          <w:sz w:val="21"/>
          <w:szCs w:val="21"/>
        </w:rPr>
        <w:t xml:space="preserve">Year 1 gross profit of roughly $1.3M is not sufficient on its own to fund the claims-ingestion build-out for monthly population identification, the initial complex-chronic navigator hiring, and the incremental sales capacity needed to open ACO-level relationships — this program should draw on the same funding round contemplated for the broader Yield Healthcare business rather than raise separately. Illustrative incremental allocation on top of the TEAM plan:</w:t>
      </w:r>
    </w:p>
    <w:p>
      <w:pPr>
        <w:pStyle w:val="ListParagraph"/>
        <w:numPr>
          <w:ilvl w:val="0"/>
          <w:numId w:val="1"/>
        </w:numPr>
        <w:spacing w:after="90" w:line="280"/>
      </w:pPr>
      <w:r>
        <w:rPr>
          <w:rFonts w:ascii="Arial" w:cs="Arial" w:eastAsia="Arial" w:hAnsi="Arial"/>
          <w:color w:val="222222"/>
          <w:sz w:val="21"/>
          <w:szCs w:val="21"/>
        </w:rPr>
        <w:t xml:space="preserve">Claims-ingestion and population identification build-out — extending the existing TEAM analytics pipeline to run continuously against a customer's full attributed population, not just TEAM-eligible episodes</w:t>
      </w:r>
    </w:p>
    <w:p>
      <w:pPr>
        <w:pStyle w:val="ListParagraph"/>
        <w:numPr>
          <w:ilvl w:val="0"/>
          <w:numId w:val="1"/>
        </w:numPr>
        <w:spacing w:after="90" w:line="280"/>
      </w:pPr>
      <w:r>
        <w:rPr>
          <w:rFonts w:ascii="Arial" w:cs="Arial" w:eastAsia="Arial" w:hAnsi="Arial"/>
          <w:color w:val="222222"/>
          <w:sz w:val="21"/>
          <w:szCs w:val="21"/>
        </w:rPr>
        <w:t xml:space="preserve">Complex-chronic navigator hiring, ahead of signed contracts, sized to the Year 1-2 design-partner cohort</w:t>
      </w:r>
    </w:p>
    <w:p>
      <w:pPr>
        <w:pStyle w:val="ListParagraph"/>
        <w:numPr>
          <w:ilvl w:val="0"/>
          <w:numId w:val="1"/>
        </w:numPr>
        <w:spacing w:after="90" w:line="280"/>
      </w:pPr>
      <w:r>
        <w:rPr>
          <w:rFonts w:ascii="Arial" w:cs="Arial" w:eastAsia="Arial" w:hAnsi="Arial"/>
          <w:color w:val="222222"/>
          <w:sz w:val="21"/>
          <w:szCs w:val="21"/>
        </w:rPr>
        <w:t xml:space="preserve">Incremental sales capacity focused on ACO executive directors and population health VPs, layered onto the existing TEAM hospital sales motion</w:t>
      </w:r>
    </w:p>
    <w:p>
      <w:pPr>
        <w:pStyle w:val="ListParagraph"/>
        <w:numPr>
          <w:ilvl w:val="0"/>
          <w:numId w:val="1"/>
        </w:numPr>
        <w:spacing w:after="90" w:line="280"/>
      </w:pPr>
      <w:r>
        <w:rPr>
          <w:rFonts w:ascii="Arial" w:cs="Arial" w:eastAsia="Arial" w:hAnsi="Arial"/>
          <w:color w:val="222222"/>
          <w:sz w:val="21"/>
          <w:szCs w:val="21"/>
        </w:rPr>
        <w:t xml:space="preserve">Legal and compliance work to finalize the CM billing revenue-share structure — shared cost with the TEAM Embedded tier's existing work stream</w:t>
      </w:r>
    </w:p>
    <w:p>
      <w:pPr>
        <w:pStyle w:val="ListParagraph"/>
        <w:numPr>
          <w:ilvl w:val="0"/>
          <w:numId w:val="1"/>
        </w:numPr>
        <w:spacing w:after="90" w:line="280"/>
      </w:pPr>
      <w:r>
        <w:rPr>
          <w:rFonts w:ascii="Arial" w:cs="Arial" w:eastAsia="Arial" w:hAnsi="Arial"/>
          <w:color w:val="222222"/>
          <w:sz w:val="21"/>
          <w:szCs w:val="21"/>
        </w:rPr>
        <w:t xml:space="preserve">Working capital to bridge the gap between service delivery and PMPM/billing-revenue collection, which lags on both the customer's payment cycle and CMS's own billing timeline</w:t>
      </w:r>
    </w:p>
    <w:p>
      <w:pPr>
        <w:spacing w:after="150"/>
      </w:pPr>
    </w:p>
    <w:p>
      <w:pPr>
        <w:pStyle w:val="Heading1"/>
        <w:spacing w:after="160" w:before="360"/>
      </w:pPr>
      <w:r>
        <w:rPr>
          <w:rFonts w:ascii="Arial" w:cs="Arial" w:eastAsia="Arial" w:hAnsi="Arial"/>
          <w:b/>
          <w:bCs/>
          <w:color w:val="1E4B3A"/>
          <w:sz w:val="30"/>
          <w:szCs w:val="30"/>
        </w:rPr>
        <w:t xml:space="preserve">Sources</w:t>
      </w:r>
    </w:p>
    <w:p>
      <w:pPr>
        <w:spacing w:after="180" w:line="300"/>
      </w:pPr>
      <w:r>
        <w:rPr>
          <w:rFonts w:ascii="Arial" w:cs="Arial" w:eastAsia="Arial" w:hAnsi="Arial"/>
          <w:b w:val="false"/>
          <w:bCs w:val="false"/>
          <w:i w:val="false"/>
          <w:iCs w:val="false"/>
          <w:color w:val="222222"/>
          <w:sz w:val="21"/>
          <w:szCs w:val="21"/>
        </w:rPr>
        <w:t xml:space="preserve">Fierce Healthcare / Becker's Payer Issues, CMS 2026 ACO participation estimates — 14.3 million Medicare beneficiaries attributed to an ACO for 2026 (511 MSSP ACOs covering 12.6 million lives; 74 ACO REACH ACOs covering 1.7 million lives)</w:t>
      </w:r>
    </w:p>
    <w:p>
      <w:pPr>
        <w:spacing w:after="180" w:line="300"/>
      </w:pPr>
      <w:r>
        <w:rPr>
          <w:rFonts w:ascii="Arial" w:cs="Arial" w:eastAsia="Arial" w:hAnsi="Arial"/>
          <w:b w:val="false"/>
          <w:bCs w:val="false"/>
          <w:i w:val="false"/>
          <w:iCs w:val="false"/>
          <w:color w:val="222222"/>
          <w:sz w:val="21"/>
          <w:szCs w:val="21"/>
        </w:rPr>
        <w:t xml:space="preserve">CMS, ACO REACH Model overview and 2026 participant list — cms.gov/priorities/innovation/innovation-models/aco-reach</w:t>
      </w:r>
    </w:p>
    <w:p>
      <w:pPr>
        <w:spacing w:after="180" w:line="300"/>
      </w:pPr>
      <w:r>
        <w:rPr>
          <w:rFonts w:ascii="Arial" w:cs="Arial" w:eastAsia="Arial" w:hAnsi="Arial"/>
          <w:b w:val="false"/>
          <w:bCs w:val="false"/>
          <w:i w:val="false"/>
          <w:iCs w:val="false"/>
          <w:color w:val="222222"/>
          <w:sz w:val="21"/>
          <w:szCs w:val="21"/>
        </w:rPr>
        <w:t xml:space="preserve">2026 Medicare Physician Fee Schedule, national average non-facility rates for CPT 99490, 99487, 99489 (Chronic Care Management), CPT 99424 (Principal Care Management), CPT 99495/99496 (Transitional Care Management), CPT 99453/99454/99457/99458 (Remote Patient Monitoring), and HCPCS G0023/G0024 (Principal Illness Navigation)</w:t>
      </w:r>
    </w:p>
    <w:p>
      <w:pPr>
        <w:spacing w:after="180" w:line="300"/>
      </w:pPr>
      <w:r>
        <w:rPr>
          <w:rFonts w:ascii="Arial" w:cs="Arial" w:eastAsia="Arial" w:hAnsi="Arial"/>
          <w:b w:val="false"/>
          <w:bCs w:val="false"/>
          <w:i w:val="false"/>
          <w:iCs w:val="false"/>
          <w:color w:val="222222"/>
          <w:sz w:val="21"/>
          <w:szCs w:val="21"/>
        </w:rPr>
        <w:t xml:space="preserve">Aledade newsroom, ACCESS model selection and July 2026 program launch details — aledade.com/newsroom</w:t>
      </w:r>
    </w:p>
    <w:p>
      <w:pPr>
        <w:spacing w:after="180" w:line="300"/>
      </w:pPr>
      <w:r>
        <w:rPr>
          <w:rFonts w:ascii="Arial" w:cs="Arial" w:eastAsia="Arial" w:hAnsi="Arial"/>
          <w:b w:val="false"/>
          <w:bCs w:val="false"/>
          <w:i w:val="false"/>
          <w:iCs w:val="false"/>
          <w:color w:val="222222"/>
          <w:sz w:val="21"/>
          <w:szCs w:val="21"/>
        </w:rPr>
        <w:t xml:space="preserve">All PMPM pricing, enrollment rates, staffing ratios, and the customer acquisition ramp are Yield Healthcare planning assumptions, not published CMS or third-party figures — see the Assumptions tab of PMPM_Pricing_Model.xlsx for the complete, editable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Yield Healthcare PMPM Business Case</dc:title>
  <dc:creator>Yield Healthcare</dc:creator>
  <cp:lastModifiedBy>Un-named</cp:lastModifiedBy>
  <cp:revision>1</cp:revision>
  <dcterms:created xsi:type="dcterms:W3CDTF">2026-08-03T20:44:30.484Z</dcterms:created>
  <dcterms:modified xsi:type="dcterms:W3CDTF">2026-08-03T20:44:30.485Z</dcterms:modified>
</cp:coreProperties>
</file>

<file path=docProps/custom.xml><?xml version="1.0" encoding="utf-8"?>
<Properties xmlns="http://schemas.openxmlformats.org/officeDocument/2006/custom-properties" xmlns:vt="http://schemas.openxmlformats.org/officeDocument/2006/docPropsVTypes"/>
</file>