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E4B3A"/>
          <w:sz w:val="72"/>
          <w:szCs w:val="72"/>
        </w:rPr>
        <w:t xml:space="preserve">YIELD HEALTHCARE</w:t>
      </w:r>
    </w:p>
    <w:p>
      <w:pPr>
        <w:spacing w:after="600"/>
      </w:pPr>
      <w:r>
        <w:rPr>
          <w:rFonts w:ascii="Arial" w:cs="Arial" w:eastAsia="Arial" w:hAnsi="Arial"/>
          <w:b/>
          <w:bCs/>
          <w:color w:val="8FA687"/>
          <w:sz w:val="30"/>
          <w:szCs w:val="30"/>
        </w:rPr>
        <w:t xml:space="preserve">Managing Hospitals Through the CMS TEAM Model</w:t>
      </w:r>
    </w:p>
    <w:p>
      <w:pPr>
        <w:spacing w:after="3200"/>
      </w:pPr>
      <w:r>
        <w:rPr>
          <w:rFonts w:ascii="Arial" w:cs="Arial" w:eastAsia="Arial" w:hAnsi="Arial"/>
          <w:i/>
          <w:iCs/>
          <w:color w:val="545759"/>
          <w:sz w:val="24"/>
          <w:szCs w:val="24"/>
        </w:rPr>
        <w:t xml:space="preserve">Business Case &amp; Go-to-Market Plan</w:t>
      </w:r>
    </w:p>
    <w:p>
      <w:pPr>
        <w:spacing w:after="80"/>
      </w:pPr>
      <w:r>
        <w:rPr>
          <w:rFonts w:ascii="Arial" w:cs="Arial" w:eastAsia="Arial" w:hAnsi="Arial"/>
          <w:color w:val="545759"/>
          <w:sz w:val="20"/>
          <w:szCs w:val="20"/>
        </w:rPr>
        <w:t xml:space="preserve">Prepared July 2026</w:t>
      </w:r>
    </w:p>
    <w:p>
      <w:pPr>
        <w:spacing w:after="80"/>
      </w:pPr>
      <w:r>
        <w:rPr>
          <w:rFonts w:ascii="Arial" w:cs="Arial" w:eastAsia="Arial" w:hAnsi="Arial"/>
          <w:color w:val="545759"/>
          <w:sz w:val="20"/>
          <w:szCs w:val="20"/>
        </w:rPr>
        <w:t xml:space="preserve">Confidential — internal planning document</w:t>
      </w:r>
    </w:p>
    <w:p>
      <w:r>
        <w:br w:type="page"/>
      </w:r>
    </w:p>
    <w:p>
      <w:pPr>
        <w:pStyle w:val="Heading1"/>
        <w:spacing w:after="160" w:before="360"/>
      </w:pPr>
      <w:r>
        <w:rPr>
          <w:rFonts w:ascii="Arial" w:cs="Arial" w:eastAsia="Arial" w:hAnsi="Arial"/>
          <w:b/>
          <w:bCs/>
          <w:color w:val="1E4B3A"/>
          <w:sz w:val="30"/>
          <w:szCs w:val="30"/>
        </w:rPr>
        <w:t xml:space="preserve">Executive Summary</w:t>
      </w:r>
    </w:p>
    <w:p>
      <w:pPr>
        <w:spacing w:after="180" w:line="300"/>
      </w:pPr>
      <w:r>
        <w:rPr>
          <w:rFonts w:ascii="Arial" w:cs="Arial" w:eastAsia="Arial" w:hAnsi="Arial"/>
          <w:b w:val="false"/>
          <w:bCs w:val="false"/>
          <w:i w:val="false"/>
          <w:iCs w:val="false"/>
          <w:color w:val="222222"/>
          <w:sz w:val="21"/>
          <w:szCs w:val="21"/>
        </w:rPr>
        <w:t xml:space="preserve">CMS's Transforming Episode Accountability Model (TEAM) took effect January 1, 2026, and made roughly 741 hospitals across 188 mandatory regions responsible for the full cost and quality of five surgical episode types — for the first time on a mandatory, no-opt-out basis. Two out of three of those hospitals are projected to end up owing Medicare money rather than collecting it, and Performance Year 1's limited downside protection disappears in Performance Year 2. Most hospitals have neither the analytics nor the post-acute operating muscle to manage a 30-day episode that runs largely outside their own walls.</w:t>
      </w:r>
    </w:p>
    <w:p>
      <w:pPr>
        <w:spacing w:after="180" w:line="300"/>
      </w:pPr>
      <w:r>
        <w:rPr>
          <w:rFonts w:ascii="Arial" w:cs="Arial" w:eastAsia="Arial" w:hAnsi="Arial"/>
          <w:b w:val="false"/>
          <w:bCs w:val="false"/>
          <w:i w:val="false"/>
          <w:iCs w:val="false"/>
          <w:color w:val="222222"/>
          <w:sz w:val="21"/>
          <w:szCs w:val="21"/>
        </w:rPr>
        <w:t xml:space="preserve">Yield Healthcare is a new company built to sit inside that gap. Rather than choosing between a software dashboard and a slide-deck consultant — the two options hospitals are stuck picking between today — Yield Healthcare offers a graduated path: a fixed-fee diagnostic and strategy engagement to start, a technology-plus-remote-navigator platform priced against savings for hospitals ready to operationalize, and a fully embedded on-site care team for systems that want boots on the ground and are willing to structure a care-management billing arrangement that turns Yield Healthcare's clinical staff into a second revenue line, not just a cost.</w:t>
      </w:r>
    </w:p>
    <w:p>
      <w:pPr>
        <w:spacing w:after="180" w:line="300"/>
      </w:pPr>
      <w:r>
        <w:rPr>
          <w:rFonts w:ascii="Arial" w:cs="Arial" w:eastAsia="Arial" w:hAnsi="Arial"/>
          <w:b w:val="false"/>
          <w:bCs w:val="false"/>
          <w:i w:val="false"/>
          <w:iCs w:val="false"/>
          <w:color w:val="222222"/>
          <w:sz w:val="21"/>
          <w:szCs w:val="21"/>
        </w:rPr>
        <w:t xml:space="preserve">This document lays out the market opportunity, the three-tier product and pricing structure, a bottom-up three-year financial build, the competitive landscape, and the risks that matter most. The companion pricing model (TEAM_Pricing_Model.xlsx) contains the full working numbers; the figures cited here are pulled directly from it so the two stay in sync.</w:t>
      </w:r>
    </w:p>
    <w:p>
      <w:pPr>
        <w:pStyle w:val="Heading3"/>
        <w:spacing w:after="100" w:before="200"/>
      </w:pPr>
      <w:r>
        <w:rPr>
          <w:rFonts w:ascii="Arial" w:cs="Arial" w:eastAsia="Arial" w:hAnsi="Arial"/>
          <w:b/>
          <w:bCs/>
          <w:color w:val="8FA687"/>
          <w:sz w:val="20"/>
          <w:szCs w:val="20"/>
        </w:rPr>
        <w:t xml:space="preserve">The numbers in brief</w:t>
      </w:r>
    </w:p>
    <w:p>
      <w:pPr>
        <w:spacing w:after="60"/>
      </w:pPr>
      <w:r>
        <w:rPr>
          <w:rFonts w:ascii="Arial" w:cs="Arial" w:eastAsia="Arial" w:hAnsi="Arial"/>
          <w:b/>
          <w:bCs/>
          <w:color w:val="1E4B3A"/>
          <w:sz w:val="21"/>
          <w:szCs w:val="21"/>
        </w:rPr>
        <w:t xml:space="preserve">Addressable market:  </w:t>
      </w:r>
      <w:r>
        <w:rPr>
          <w:rFonts w:ascii="Arial" w:cs="Arial" w:eastAsia="Arial" w:hAnsi="Arial"/>
          <w:color w:val="222222"/>
          <w:sz w:val="21"/>
          <w:szCs w:val="21"/>
        </w:rPr>
        <w:t xml:space="preserve">741 hospitals mandated into TEAM through 2030, generating an estimated 148,000 episodes per year at a blended target price near $25,600 per episode</w:t>
      </w:r>
    </w:p>
    <w:p>
      <w:pPr>
        <w:spacing w:after="60"/>
      </w:pPr>
      <w:r>
        <w:rPr>
          <w:rFonts w:ascii="Arial" w:cs="Arial" w:eastAsia="Arial" w:hAnsi="Arial"/>
          <w:b/>
          <w:bCs/>
          <w:color w:val="1E4B3A"/>
          <w:sz w:val="21"/>
          <w:szCs w:val="21"/>
        </w:rPr>
        <w:t xml:space="preserve">Three-year revenue build:  </w:t>
      </w:r>
      <w:r>
        <w:rPr>
          <w:rFonts w:ascii="Arial" w:cs="Arial" w:eastAsia="Arial" w:hAnsi="Arial"/>
          <w:color w:val="222222"/>
          <w:sz w:val="21"/>
          <w:szCs w:val="21"/>
        </w:rPr>
        <w:t xml:space="preserve">$2.75M (Year 1) → $8.34M (Year 2) → $17.38M (Year 3), at 51-56% gross margin, on fewer than 100 active hospital relationships by the end of Year 3 — under 15% penetration of the mandated base</w:t>
      </w:r>
    </w:p>
    <w:p>
      <w:pPr>
        <w:spacing w:after="60"/>
      </w:pPr>
      <w:r>
        <w:rPr>
          <w:rFonts w:ascii="Arial" w:cs="Arial" w:eastAsia="Arial" w:hAnsi="Arial"/>
          <w:b/>
          <w:bCs/>
          <w:color w:val="1E4B3A"/>
          <w:sz w:val="21"/>
          <w:szCs w:val="21"/>
        </w:rPr>
        <w:t xml:space="preserve">Product structure:  </w:t>
      </w:r>
      <w:r>
        <w:rPr>
          <w:rFonts w:ascii="Arial" w:cs="Arial" w:eastAsia="Arial" w:hAnsi="Arial"/>
          <w:color w:val="222222"/>
          <w:sz w:val="21"/>
          <w:szCs w:val="21"/>
        </w:rPr>
        <w:t xml:space="preserve">Advisory (fixed-fee, 75% margin) → Platform (per-episode fee + shared savings, ~55% recurring margin) → Embedded (staffing fee + CMS billing revenue + shared savings, ~28% recurring margin but the highest revenue per relationship and the deepest lock-in)</w:t>
      </w:r>
    </w:p>
    <w:p>
      <w:pPr>
        <w:spacing w:after="60"/>
      </w:pPr>
      <w:r>
        <w:rPr>
          <w:rFonts w:ascii="Arial" w:cs="Arial" w:eastAsia="Arial" w:hAnsi="Arial"/>
          <w:b/>
          <w:bCs/>
          <w:color w:val="1E4B3A"/>
          <w:sz w:val="21"/>
          <w:szCs w:val="21"/>
        </w:rPr>
        <w:t xml:space="preserve">Key risk:  </w:t>
      </w:r>
      <w:r>
        <w:rPr>
          <w:rFonts w:ascii="Arial" w:cs="Arial" w:eastAsia="Arial" w:hAnsi="Arial"/>
          <w:color w:val="222222"/>
          <w:sz w:val="21"/>
          <w:szCs w:val="21"/>
        </w:rPr>
        <w:t xml:space="preserve">TEAM is a federal program; its rules, target-price methodology, and even its continuation past PY1 are set by CMS and can change. Revenue tied to shared savings is inherently variable, and Tier 3's CMS billing revenue depends on a compliant billing structure that has not yet been finalized with legal counsel</w:t>
      </w:r>
    </w:p>
    <w:p>
      <w:pPr>
        <w:spacing w:after="100"/>
      </w:pPr>
    </w:p>
    <w:p>
      <w:pPr>
        <w:pStyle w:val="Heading1"/>
        <w:spacing w:after="160" w:before="360"/>
      </w:pPr>
      <w:r>
        <w:rPr>
          <w:rFonts w:ascii="Arial" w:cs="Arial" w:eastAsia="Arial" w:hAnsi="Arial"/>
          <w:b/>
          <w:bCs/>
          <w:color w:val="1E4B3A"/>
          <w:sz w:val="30"/>
          <w:szCs w:val="30"/>
        </w:rPr>
        <w:t xml:space="preserve">The Opportunity</w:t>
      </w:r>
    </w:p>
    <w:p>
      <w:pPr>
        <w:pStyle w:val="Heading2"/>
        <w:spacing w:after="120" w:before="260"/>
      </w:pPr>
      <w:r>
        <w:rPr>
          <w:rFonts w:ascii="Arial" w:cs="Arial" w:eastAsia="Arial" w:hAnsi="Arial"/>
          <w:b/>
          <w:bCs/>
          <w:color w:val="1E4B3A"/>
          <w:sz w:val="24"/>
          <w:szCs w:val="24"/>
        </w:rPr>
        <w:t xml:space="preserve">TEAM is mandatory, and it is already running</w:t>
      </w:r>
    </w:p>
    <w:p>
      <w:pPr>
        <w:spacing w:after="180" w:line="300"/>
      </w:pPr>
      <w:r>
        <w:rPr>
          <w:rFonts w:ascii="Arial" w:cs="Arial" w:eastAsia="Arial" w:hAnsi="Arial"/>
          <w:b w:val="false"/>
          <w:bCs w:val="false"/>
          <w:i w:val="false"/>
          <w:iCs w:val="false"/>
          <w:color w:val="222222"/>
          <w:sz w:val="21"/>
          <w:szCs w:val="21"/>
        </w:rPr>
        <w:t xml:space="preserve">The Transforming Episode Accountability Model began January 1, 2026 and runs through five performance years, ending December 31, 2030. Every acute care hospital paid under the Inpatient Prospective Payment System and located in one of 188 CMS-selected core-based statistical areas is required to participate — safety-net hospitals, rural hospitals, sole community hospitals, and Medicare-dependent hospitals included. There is no opt-out. CMS estimates roughly 741 hospitals fall inside those mandatory regions.</w:t>
      </w:r>
    </w:p>
    <w:p>
      <w:pPr>
        <w:spacing w:after="180" w:line="300"/>
      </w:pPr>
      <w:r>
        <w:rPr>
          <w:rFonts w:ascii="Arial" w:cs="Arial" w:eastAsia="Arial" w:hAnsi="Arial"/>
          <w:b w:val="false"/>
          <w:bCs w:val="false"/>
          <w:i w:val="false"/>
          <w:iCs w:val="false"/>
          <w:color w:val="222222"/>
          <w:sz w:val="21"/>
          <w:szCs w:val="21"/>
        </w:rPr>
        <w:t xml:space="preserve">Each episode covers five surgical procedure types — lower extremity joint replacement, surgical hip/femur fracture treatment, spinal fusion, coronary artery bypass graft, and major bowel procedures — and runs from the hospital stay through 30 days after discharge. CMS sets a regional target price for each episode type, discounted 1.5-2% before a hospital even has a chance to earn anything back, and reconciles actual spending against that target after the fact. Hospitals choose among three participation tracks: Track 1, open to everyone in Performance Year 1, caps upside at 10% of target price with no downside exposure; Track 2, limited to safety-net and rural hospitals, caps both gains and losses at 5%; Track 3 exposes hospitals to a full 20% of target price at risk each performance year.</w:t>
      </w:r>
    </w:p>
    <w:p>
      <w:pPr>
        <w:spacing w:after="180" w:line="300"/>
      </w:pPr>
      <w:r>
        <w:rPr>
          <w:rFonts w:ascii="Arial" w:cs="Arial" w:eastAsia="Arial" w:hAnsi="Arial"/>
          <w:b w:val="false"/>
          <w:bCs w:val="false"/>
          <w:i w:val="false"/>
          <w:iCs w:val="false"/>
          <w:color w:val="222222"/>
          <w:sz w:val="21"/>
          <w:szCs w:val="21"/>
        </w:rPr>
        <w:t xml:space="preserve">That structure creates a specific and time-boxed opportunity. Performance Year 1 is, by design, the easy year — Track 1 hospitals face no financial downside. That protection erodes hospital by hospital as CMS narrows Track 1 eligibility in later years, and the hospitals that build the analytics and post-acute operating discipline now are the ones that will be ready when real risk lands. The hospitals that wait will be building the capability under pressure, in a year when a bad quarter costs real money.</w:t>
      </w:r>
    </w:p>
    <w:p>
      <w:pPr>
        <w:pStyle w:val="Heading2"/>
        <w:spacing w:after="120" w:before="260"/>
      </w:pPr>
      <w:r>
        <w:rPr>
          <w:rFonts w:ascii="Arial" w:cs="Arial" w:eastAsia="Arial" w:hAnsi="Arial"/>
          <w:b/>
          <w:bCs/>
          <w:color w:val="1E4B3A"/>
          <w:sz w:val="24"/>
          <w:szCs w:val="24"/>
        </w:rPr>
        <w:t xml:space="preserve">Most hospitals are set up to lose money on this</w:t>
      </w:r>
    </w:p>
    <w:p>
      <w:pPr>
        <w:spacing w:after="180" w:line="300"/>
      </w:pPr>
      <w:r>
        <w:rPr>
          <w:rFonts w:ascii="Arial" w:cs="Arial" w:eastAsia="Arial" w:hAnsi="Arial"/>
          <w:b w:val="false"/>
          <w:bCs w:val="false"/>
          <w:i w:val="false"/>
          <w:iCs w:val="false"/>
          <w:color w:val="222222"/>
          <w:sz w:val="21"/>
          <w:szCs w:val="21"/>
        </w:rPr>
        <w:t xml:space="preserve">Roughly two-thirds of hospitals are projected to be net payers under current spending patterns — meaning they will write CMS a check rather than collect one. The reasons are structural, not effort-related. The 30-day accountability window runs mostly outside the hospital's own operational control: skilled nursing stays, readmissions, home health utilization, and implant costs decide the financial outcome more than anything that happens during the index admission. The CMS Composite Quality Score can move a hospital's reconciliation up or down independent of cost performance, so strong clinical care that isn't measured and reported correctly still shows up as a loss. And the hospital staff who are best positioned to manage this — case managers, service-line leaders — are being asked to add a complex, data-intensive new responsibility on top of an already full plate, without the analytics infrastructure or the post-acute playbook to do it well.</w:t>
      </w:r>
    </w:p>
    <w:p>
      <w:pPr>
        <w:pStyle w:val="Heading2"/>
        <w:spacing w:after="120" w:before="260"/>
      </w:pPr>
      <w:r>
        <w:rPr>
          <w:rFonts w:ascii="Arial" w:cs="Arial" w:eastAsia="Arial" w:hAnsi="Arial"/>
          <w:b/>
          <w:bCs/>
          <w:color w:val="1E4B3A"/>
          <w:sz w:val="24"/>
          <w:szCs w:val="24"/>
        </w:rPr>
        <w:t xml:space="preserve">The two options on the market today are both incomplete</w:t>
      </w:r>
    </w:p>
    <w:p>
      <w:pPr>
        <w:spacing w:after="180" w:line="300"/>
      </w:pPr>
      <w:r>
        <w:rPr>
          <w:rFonts w:ascii="Arial" w:cs="Arial" w:eastAsia="Arial" w:hAnsi="Arial"/>
          <w:b w:val="false"/>
          <w:bCs w:val="false"/>
          <w:i w:val="false"/>
          <w:iCs w:val="false"/>
          <w:color w:val="222222"/>
          <w:sz w:val="21"/>
          <w:szCs w:val="21"/>
        </w:rPr>
        <w:t xml:space="preserve">Hospitals evaluating help largely find two kinds of vendors. Platform and analytics vendors sell a dashboard and a login — useful for seeing what happened, not for changing what happens next, because there is no one on the other end of the software acting on what it shows. Generalist strategy consultants sell judgment and frameworks, but most have never touched the underlying claims data or run a reconciliation calculation themselves, so their recommendations are built on numbers they cannot independently verify. Neither delivers the combination hospitals actually need: analytics good enough to trust, connected to people who are actually managing the patient, backed by real operating experience inside CMS episode models.</w:t>
      </w:r>
    </w:p>
    <w:p>
      <w:pPr>
        <w:pStyle w:val="Heading1"/>
        <w:spacing w:after="160" w:before="360"/>
      </w:pPr>
      <w:r>
        <w:rPr>
          <w:rFonts w:ascii="Arial" w:cs="Arial" w:eastAsia="Arial" w:hAnsi="Arial"/>
          <w:b/>
          <w:bCs/>
          <w:color w:val="1E4B3A"/>
          <w:sz w:val="30"/>
          <w:szCs w:val="30"/>
        </w:rPr>
        <w:t xml:space="preserve">Market Sizing</w:t>
      </w:r>
    </w:p>
    <w:p>
      <w:pPr>
        <w:spacing w:after="180" w:line="300"/>
      </w:pPr>
      <w:r>
        <w:rPr>
          <w:rFonts w:ascii="Arial" w:cs="Arial" w:eastAsia="Arial" w:hAnsi="Arial"/>
          <w:b w:val="false"/>
          <w:bCs w:val="false"/>
          <w:i w:val="false"/>
          <w:iCs w:val="false"/>
          <w:color w:val="222222"/>
          <w:sz w:val="21"/>
          <w:szCs w:val="21"/>
        </w:rPr>
        <w:t xml:space="preserve">The sizing below is built bottom-up from the TEAM program's own published structure rather than from a generic market-research estimate, and it ties directly to the assumptions in the pricing model. All figures are planning estimates, clearly labeled as such in the workbook, and should be refined as Yield Healthcare gets real hospital-level data.</w:t>
      </w:r>
    </w:p>
    <w:p>
      <w:pPr>
        <w:pStyle w:val="Heading3"/>
        <w:spacing w:after="100" w:before="200"/>
      </w:pPr>
      <w:r>
        <w:rPr>
          <w:rFonts w:ascii="Arial" w:cs="Arial" w:eastAsia="Arial" w:hAnsi="Arial"/>
          <w:b/>
          <w:bCs/>
          <w:color w:val="8FA687"/>
          <w:sz w:val="20"/>
          <w:szCs w:val="20"/>
        </w:rPr>
        <w:t xml:space="preserve">TAM — Total Addressable Market</w:t>
      </w:r>
    </w:p>
    <w:p>
      <w:pPr>
        <w:spacing w:after="180" w:line="300"/>
      </w:pPr>
      <w:r>
        <w:rPr>
          <w:rFonts w:ascii="Arial" w:cs="Arial" w:eastAsia="Arial" w:hAnsi="Arial"/>
          <w:b w:val="false"/>
          <w:bCs w:val="false"/>
          <w:i w:val="false"/>
          <w:iCs w:val="false"/>
          <w:color w:val="222222"/>
          <w:sz w:val="21"/>
          <w:szCs w:val="21"/>
        </w:rPr>
        <w:t xml:space="preserve">741 hospitals are mandated into TEAM. At an assumed blended average of 200 TEAM episodes per hospital per year (weighted across small, medium, and large hospitals), that is roughly 148,000 episodes annually across the mandated base, at a blended target price near $25,600 per episode. If every mandated hospital purchased Yield Healthcare's Platform tier alone, the recurring revenue opportunity is approximately $195M per year — before Advisory or Embedded revenue, and before any shared-savings upside beyond the model's conservative base case.</w:t>
      </w:r>
    </w:p>
    <w:p>
      <w:pPr>
        <w:pStyle w:val="Heading3"/>
        <w:spacing w:after="100" w:before="200"/>
      </w:pPr>
      <w:r>
        <w:rPr>
          <w:rFonts w:ascii="Arial" w:cs="Arial" w:eastAsia="Arial" w:hAnsi="Arial"/>
          <w:b/>
          <w:bCs/>
          <w:color w:val="8FA687"/>
          <w:sz w:val="20"/>
          <w:szCs w:val="20"/>
        </w:rPr>
        <w:t xml:space="preserve">SAM — Serviceable Addressable Market</w:t>
      </w:r>
    </w:p>
    <w:p>
      <w:pPr>
        <w:spacing w:after="180" w:line="300"/>
      </w:pPr>
      <w:r>
        <w:rPr>
          <w:rFonts w:ascii="Arial" w:cs="Arial" w:eastAsia="Arial" w:hAnsi="Arial"/>
          <w:b w:val="false"/>
          <w:bCs w:val="false"/>
          <w:i w:val="false"/>
          <w:iCs w:val="false"/>
          <w:color w:val="222222"/>
          <w:sz w:val="21"/>
          <w:szCs w:val="21"/>
        </w:rPr>
        <w:t xml:space="preserve">Not every hospital is a realistic near-term buyer. Medium and large hospitals — roughly 60% of the mandated base, or about 445 hospitals — have both the episode volume to justify a managed program and the budget authority to sign one. Smaller hospitals are disproportionately eligible for TEAM's Track 2, which caps both gains and losses at 5%, giving them less urgency to buy a full platform in the near term; they are a better fit for the Advisory tier or a later-stage upsell. On that basis, the serviceable market is approximately $117M per year in recurring Platform-equivalent revenue.</w:t>
      </w:r>
    </w:p>
    <w:p>
      <w:pPr>
        <w:pStyle w:val="Heading3"/>
        <w:spacing w:after="100" w:before="200"/>
      </w:pPr>
      <w:r>
        <w:rPr>
          <w:rFonts w:ascii="Arial" w:cs="Arial" w:eastAsia="Arial" w:hAnsi="Arial"/>
          <w:b/>
          <w:bCs/>
          <w:color w:val="8FA687"/>
          <w:sz w:val="20"/>
          <w:szCs w:val="20"/>
        </w:rPr>
        <w:t xml:space="preserve">SOM — Serviceable Obtainable Market (3-year plan)</w:t>
      </w:r>
    </w:p>
    <w:p>
      <w:pPr>
        <w:spacing w:after="180" w:line="300"/>
      </w:pPr>
      <w:r>
        <w:rPr>
          <w:rFonts w:ascii="Arial" w:cs="Arial" w:eastAsia="Arial" w:hAnsi="Arial"/>
          <w:b w:val="false"/>
          <w:bCs w:val="false"/>
          <w:i w:val="false"/>
          <w:iCs w:val="false"/>
          <w:color w:val="222222"/>
          <w:sz w:val="21"/>
          <w:szCs w:val="21"/>
        </w:rPr>
        <w:t xml:space="preserve">The go-to-market plan detailed later in this document reaches roughly 97 active hospital relationships by the end of Year 3 — 30 Advisory engagements, ~43 active Platform customers, and ~16 active Embedded customers — generating $17.4M in Year 3 revenue. That is under 15% penetration of the mandated hospital base, deliberately conservative for a new entrant's first three years, and leaves a long runway for continued growth well beyond Year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60"/>
      </w:tblGrid>
      <w:tr>
        <w:trPr>
          <w:tblHeader/>
        </w:trPr>
        <w:tc>
          <w:tcPr>
            <w:tcW w:type="dxa" w:w="420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
            </w:r>
          </w:p>
        </w:tc>
        <w:tc>
          <w:tcPr>
            <w:tcW w:type="dxa" w:w="220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Hospitals</w:t>
            </w:r>
          </w:p>
        </w:tc>
        <w:tc>
          <w:tcPr>
            <w:tcW w:type="dxa" w:w="296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Annual Revenue Potential</w:t>
            </w:r>
          </w:p>
        </w:tc>
      </w:tr>
      <w:tr>
        <w:tc>
          <w:tcPr>
            <w:tcW w:type="dxa" w:w="42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TAM (all mandated hospitals, full Platform penetration)</w:t>
            </w:r>
          </w:p>
        </w:tc>
        <w:tc>
          <w:tcPr>
            <w:tcW w:type="dxa" w:w="22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741</w:t>
            </w:r>
          </w:p>
        </w:tc>
        <w:tc>
          <w:tcPr>
            <w:tcW w:type="dxa" w:w="296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~$195M</w:t>
            </w:r>
          </w:p>
        </w:tc>
      </w:tr>
      <w:tr>
        <w:tc>
          <w:tcPr>
            <w:tcW w:type="dxa" w:w="420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SAM (medium + large hospitals, realistic near-term buyers)</w:t>
            </w:r>
          </w:p>
        </w:tc>
        <w:tc>
          <w:tcPr>
            <w:tcW w:type="dxa" w:w="220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~445</w:t>
            </w:r>
          </w:p>
        </w:tc>
        <w:tc>
          <w:tcPr>
            <w:tcW w:type="dxa" w:w="296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~$117M</w:t>
            </w:r>
          </w:p>
        </w:tc>
      </w:tr>
      <w:tr>
        <w:tc>
          <w:tcPr>
            <w:tcW w:type="dxa" w:w="42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SOM (Year 3 plan, blended tier mix)</w:t>
            </w:r>
          </w:p>
        </w:tc>
        <w:tc>
          <w:tcPr>
            <w:tcW w:type="dxa" w:w="22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~97</w:t>
            </w:r>
          </w:p>
        </w:tc>
        <w:tc>
          <w:tcPr>
            <w:tcW w:type="dxa" w:w="296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$17.4M</w:t>
            </w:r>
          </w:p>
        </w:tc>
      </w:tr>
    </w:tbl>
    <w:p>
      <w:pPr>
        <w:spacing w:after="150"/>
      </w:pPr>
    </w:p>
    <w:p>
      <w:pPr>
        <w:pStyle w:val="Heading1"/>
        <w:spacing w:after="160" w:before="360"/>
      </w:pPr>
      <w:r>
        <w:rPr>
          <w:rFonts w:ascii="Arial" w:cs="Arial" w:eastAsia="Arial" w:hAnsi="Arial"/>
          <w:b/>
          <w:bCs/>
          <w:color w:val="1E4B3A"/>
          <w:sz w:val="30"/>
          <w:szCs w:val="30"/>
        </w:rPr>
        <w:t xml:space="preserve">Product Offerings</w:t>
      </w:r>
    </w:p>
    <w:p>
      <w:pPr>
        <w:spacing w:after="180" w:line="300"/>
      </w:pPr>
      <w:r>
        <w:rPr>
          <w:rFonts w:ascii="Arial" w:cs="Arial" w:eastAsia="Arial" w:hAnsi="Arial"/>
          <w:b w:val="false"/>
          <w:bCs w:val="false"/>
          <w:i w:val="false"/>
          <w:iCs w:val="false"/>
          <w:color w:val="222222"/>
          <w:sz w:val="21"/>
          <w:szCs w:val="21"/>
        </w:rPr>
        <w:t xml:space="preserve">Yield Healthcare sells in three tiers, structured as a ladder rather than three unrelated products. A hospital can enter anywhere, but the natural path is Advisory first — a low-commitment way to get a straight answer — then Platform once the case for a managed program is proven, with Embedded reserved for systems that want Yield Healthcare's people physically on-site and are ready to structure a care-management billing arrangement.</w:t>
      </w:r>
    </w:p>
    <w:p>
      <w:pPr>
        <w:pStyle w:val="Heading2"/>
        <w:spacing w:after="120" w:before="260"/>
      </w:pPr>
      <w:r>
        <w:rPr>
          <w:rFonts w:ascii="Arial" w:cs="Arial" w:eastAsia="Arial" w:hAnsi="Arial"/>
          <w:b/>
          <w:bCs/>
          <w:color w:val="1E4B3A"/>
          <w:sz w:val="24"/>
          <w:szCs w:val="24"/>
        </w:rPr>
        <w:t xml:space="preserve">Tier 1 — Yield Healthcare Advisory</w:t>
      </w:r>
    </w:p>
    <w:p>
      <w:pPr>
        <w:spacing w:after="180" w:line="300"/>
      </w:pPr>
      <w:r>
        <w:rPr>
          <w:rFonts w:ascii="Arial" w:cs="Arial" w:eastAsia="Arial" w:hAnsi="Arial"/>
          <w:b w:val="false"/>
          <w:bCs w:val="false"/>
          <w:i w:val="false"/>
          <w:iCs w:val="false"/>
          <w:color w:val="222222"/>
          <w:sz w:val="21"/>
          <w:szCs w:val="21"/>
        </w:rPr>
        <w:t xml:space="preserve">A fixed-fee diagnostic and strategy engagement, 90 to 120 days, with no ongoing technology license, staffing, or shared-savings entanglement. It opens with a Position Report — a one-page projection of the hospital's net payer/saver position, broken out by episode type with a prioritized, dollar-sized action list a CFO can act on immediately — and continues into a Strategy &amp; Governance phase that prioritizes episodes and designs the incentive and oversight structure the hospital will run internally.</w:t>
      </w:r>
    </w:p>
    <w:p>
      <w:pPr>
        <w:spacing w:after="180" w:line="300"/>
      </w:pPr>
      <w:r>
        <w:rPr>
          <w:rFonts w:ascii="Arial" w:cs="Arial" w:eastAsia="Arial" w:hAnsi="Arial"/>
          <w:b w:val="false"/>
          <w:bCs w:val="false"/>
          <w:i w:val="false"/>
          <w:iCs w:val="false"/>
          <w:color w:val="222222"/>
          <w:sz w:val="21"/>
          <w:szCs w:val="21"/>
        </w:rPr>
        <w:t xml:space="preserve">Who it's for: hospitals that want a credible, independently-verified answer before committing further, hospitals on Track 1 with capped near-term downside, and hospitals with a capable internal case-management team that mainly need the analytics and strategy layer, not an outsourced operating team.</w:t>
      </w:r>
    </w:p>
    <w:p>
      <w:pPr>
        <w:spacing w:after="180" w:line="300"/>
      </w:pPr>
      <w:r>
        <w:rPr>
          <w:rFonts w:ascii="Arial" w:cs="Arial" w:eastAsia="Arial" w:hAnsi="Arial"/>
          <w:b w:val="false"/>
          <w:bCs w:val="false"/>
          <w:i w:val="false"/>
          <w:iCs w:val="false"/>
          <w:color w:val="222222"/>
          <w:sz w:val="21"/>
          <w:szCs w:val="21"/>
        </w:rPr>
        <w:t xml:space="preserve">Pricing: a one-time fee of $65,000 to $135,000 depending on hospital size, at roughly 75% delivery margin. There is no shared-savings component — Yield Healthcare is paid for the work, not for the outcome, which keeps the offer simple and easy to approve.</w:t>
      </w:r>
    </w:p>
    <w:p>
      <w:pPr>
        <w:pStyle w:val="Heading2"/>
        <w:spacing w:after="120" w:before="260"/>
      </w:pPr>
      <w:r>
        <w:rPr>
          <w:rFonts w:ascii="Arial" w:cs="Arial" w:eastAsia="Arial" w:hAnsi="Arial"/>
          <w:b/>
          <w:bCs/>
          <w:color w:val="1E4B3A"/>
          <w:sz w:val="24"/>
          <w:szCs w:val="24"/>
        </w:rPr>
        <w:t xml:space="preserve">Tier 2 — Yield Healthcare Platform</w:t>
      </w:r>
    </w:p>
    <w:p>
      <w:pPr>
        <w:spacing w:after="180" w:line="300"/>
      </w:pPr>
      <w:r>
        <w:rPr>
          <w:rFonts w:ascii="Arial" w:cs="Arial" w:eastAsia="Arial" w:hAnsi="Arial"/>
          <w:b w:val="false"/>
          <w:bCs w:val="false"/>
          <w:i w:val="false"/>
          <w:iCs w:val="false"/>
          <w:color w:val="222222"/>
          <w:sz w:val="21"/>
          <w:szCs w:val="21"/>
        </w:rPr>
        <w:t xml:space="preserve">The core managed-service offering: claims-based episode analytics paired with dedicated remote Patient/Care Navigators who manage discharge planning, post-acute placement, and follow-up contact through the full 30-day window. This is the mechanism that turns an analytics finding into an actual changed outcome — the gap both platform vendors and generalist consultants leave open.</w:t>
      </w:r>
    </w:p>
    <w:p>
      <w:pPr>
        <w:spacing w:after="180" w:line="300"/>
      </w:pPr>
      <w:r>
        <w:rPr>
          <w:rFonts w:ascii="Arial" w:cs="Arial" w:eastAsia="Arial" w:hAnsi="Arial"/>
          <w:b w:val="false"/>
          <w:bCs w:val="false"/>
          <w:i w:val="false"/>
          <w:iCs w:val="false"/>
          <w:color w:val="222222"/>
          <w:sz w:val="21"/>
          <w:szCs w:val="21"/>
        </w:rPr>
        <w:t xml:space="preserve">Who it's for: hospitals ready to operationalize episode management without hiring and training their own case-management infrastructure — the largest segment of the mandated base, across all three TEAM tracks.</w:t>
      </w:r>
    </w:p>
    <w:p>
      <w:pPr>
        <w:spacing w:after="180" w:line="300"/>
      </w:pPr>
      <w:r>
        <w:rPr>
          <w:rFonts w:ascii="Arial" w:cs="Arial" w:eastAsia="Arial" w:hAnsi="Arial"/>
          <w:b w:val="false"/>
          <w:bCs w:val="false"/>
          <w:i w:val="false"/>
          <w:iCs w:val="false"/>
          <w:color w:val="222222"/>
          <w:sz w:val="21"/>
          <w:szCs w:val="21"/>
        </w:rPr>
        <w:t xml:space="preserve">Pricing: a one-time onboarding fee ($20,000-$48,000 by hospital size), a per-episode case management fee ($950 for standard-complexity episodes, $1,650 for spinal fusion and CABG), and a shared-savings component. Two contract structures are offered: a Standard option (25% of positive reconciliation, Yield Healthcare bears no downside — the natural fit for Track 1) and an Aligned option (38% of positive reconciliation, in exchange for Yield Healthcare contractually absorbing 20% of any negative reconciliation — a better fit for hospitals on Track 2 or 3 who want a partner with real skin in the downside). Blended across hospital sizes, this tier generates roughly $263,000 in recurring annual revenue per customer at approximately 55% gross margin.</w:t>
      </w:r>
    </w:p>
    <w:p>
      <w:pPr>
        <w:pStyle w:val="Heading2"/>
        <w:spacing w:after="120" w:before="260"/>
      </w:pPr>
      <w:r>
        <w:rPr>
          <w:rFonts w:ascii="Arial" w:cs="Arial" w:eastAsia="Arial" w:hAnsi="Arial"/>
          <w:b/>
          <w:bCs/>
          <w:color w:val="1E4B3A"/>
          <w:sz w:val="24"/>
          <w:szCs w:val="24"/>
        </w:rPr>
        <w:t xml:space="preserve">Tier 3 — Yield Healthcare Embedded</w:t>
      </w:r>
    </w:p>
    <w:p>
      <w:pPr>
        <w:spacing w:after="180" w:line="300"/>
      </w:pPr>
      <w:r>
        <w:rPr>
          <w:rFonts w:ascii="Arial" w:cs="Arial" w:eastAsia="Arial" w:hAnsi="Arial"/>
          <w:b w:val="false"/>
          <w:bCs w:val="false"/>
          <w:i w:val="false"/>
          <w:iCs w:val="false"/>
          <w:color w:val="222222"/>
          <w:sz w:val="21"/>
          <w:szCs w:val="21"/>
        </w:rPr>
        <w:t xml:space="preserve">Yield Healthcare employs and physically embeds RN Care Managers and Patient Navigators inside the hospital — pre-op clinic, inpatient discharge planning, and continuing in-person contact after discharge, including home and skilled-nursing-facility visits. This tier also unlocks a second revenue stream: under appropriate physician or advanced-practice-provider supervision, embedded staff can generate billable Transitional Care Management (CPT 99495/99496) and, for patients whose care needs extend past the 30-day episode window, Principal Illness Navigation (HCPCS G0023/G0024) encounters — CMS-reimbursed services that would otherwise go unbilled.</w:t>
      </w:r>
    </w:p>
    <w:p>
      <w:pPr>
        <w:spacing w:after="180" w:line="300"/>
      </w:pPr>
      <w:r>
        <w:rPr>
          <w:rFonts w:ascii="Arial" w:cs="Arial" w:eastAsia="Arial" w:hAnsi="Arial"/>
          <w:b w:val="false"/>
          <w:bCs w:val="false"/>
          <w:i w:val="false"/>
          <w:iCs w:val="false"/>
          <w:color w:val="222222"/>
          <w:sz w:val="21"/>
          <w:szCs w:val="21"/>
        </w:rPr>
        <w:t xml:space="preserve">Who it's for: large, sophisticated systems that want maximum clinical presence, are comfortable structuring an embedded-staffing and billing-delegation arrangement, and are interested in extending managed navigation into their broader chronic-condition population beyond the TEAM episode itself.</w:t>
      </w:r>
    </w:p>
    <w:p>
      <w:pPr>
        <w:spacing w:after="180" w:line="300"/>
      </w:pPr>
      <w:r>
        <w:rPr>
          <w:rFonts w:ascii="Arial" w:cs="Arial" w:eastAsia="Arial" w:hAnsi="Arial"/>
          <w:b w:val="false"/>
          <w:bCs w:val="false"/>
          <w:i w:val="false"/>
          <w:iCs w:val="false"/>
          <w:color w:val="222222"/>
          <w:sz w:val="21"/>
          <w:szCs w:val="21"/>
        </w:rPr>
        <w:t xml:space="preserve">Pricing: a one-time setup and placement fee ($15,000-$35,000), an embedded-staffing fee billed at Yield Healthcare's fully-loaded cost plus an 18% management markup, a contracted 60% share of collected care-management billing revenue net to Yield Healthcare, and a reduced 15% shared-savings rate (lower than Platform's, because value is already being captured through the staffing fee and billing revenue). Blended, this tier generates roughly $255,000 in recurring annual revenue per customer at approximately 28% gross margin — a thinner margin than Platform, but the highest absolute revenue per relationship, the deepest stickiness, and a natural expansion path into Yield Healthcare's broader care-management business.</w:t>
      </w:r>
    </w:p>
    <w:p>
      <w:pPr>
        <w:pStyle w:val="Heading2"/>
        <w:spacing w:after="120" w:before="260"/>
      </w:pPr>
      <w:r>
        <w:rPr>
          <w:rFonts w:ascii="Arial" w:cs="Arial" w:eastAsia="Arial" w:hAnsi="Arial"/>
          <w:b/>
          <w:bCs/>
          <w:color w:val="1E4B3A"/>
          <w:sz w:val="24"/>
          <w:szCs w:val="24"/>
        </w:rPr>
        <w:t xml:space="preserve">Pricing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
            </w:r>
          </w:p>
        </w:tc>
        <w:tc>
          <w:tcPr>
            <w:tcW w:type="dxa" w:w="232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Tier 1: Advisory</w:t>
            </w:r>
          </w:p>
        </w:tc>
        <w:tc>
          <w:tcPr>
            <w:tcW w:type="dxa" w:w="232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Tier 2: Platform</w:t>
            </w:r>
          </w:p>
        </w:tc>
        <w:tc>
          <w:tcPr>
            <w:tcW w:type="dxa" w:w="232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Tier 3: Embedded</w:t>
            </w:r>
          </w:p>
        </w:tc>
      </w:tr>
      <w:tr>
        <w:tc>
          <w:tcPr>
            <w:tcW w:type="dxa" w:w="24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Structure</w:t>
            </w:r>
          </w:p>
        </w:tc>
        <w:tc>
          <w:tcPr>
            <w:tcW w:type="dxa" w:w="232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Fixed fee, one-time</w:t>
            </w:r>
          </w:p>
        </w:tc>
        <w:tc>
          <w:tcPr>
            <w:tcW w:type="dxa" w:w="232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Fee + shared savings</w:t>
            </w:r>
          </w:p>
        </w:tc>
        <w:tc>
          <w:tcPr>
            <w:tcW w:type="dxa" w:w="232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Staffing fee + billing + shared savings</w:t>
            </w:r>
          </w:p>
        </w:tc>
      </w:tr>
      <w:tr>
        <w:tc>
          <w:tcPr>
            <w:tcW w:type="dxa" w:w="240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One-time fee</w:t>
            </w:r>
          </w:p>
        </w:tc>
        <w:tc>
          <w:tcPr>
            <w:tcW w:type="dxa" w:w="232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$65K-$135K</w:t>
            </w:r>
          </w:p>
        </w:tc>
        <w:tc>
          <w:tcPr>
            <w:tcW w:type="dxa" w:w="232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$20K-$48K onboarding</w:t>
            </w:r>
          </w:p>
        </w:tc>
        <w:tc>
          <w:tcPr>
            <w:tcW w:type="dxa" w:w="232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$15K-$35K setup</w:t>
            </w:r>
          </w:p>
        </w:tc>
      </w:tr>
      <w:tr>
        <w:tc>
          <w:tcPr>
            <w:tcW w:type="dxa" w:w="24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Recurring revenue</w:t>
            </w:r>
          </w:p>
        </w:tc>
        <w:tc>
          <w:tcPr>
            <w:tcW w:type="dxa" w:w="232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None</w:t>
            </w:r>
          </w:p>
        </w:tc>
        <w:tc>
          <w:tcPr>
            <w:tcW w:type="dxa" w:w="232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~$263,000/yr (blended)</w:t>
            </w:r>
          </w:p>
        </w:tc>
        <w:tc>
          <w:tcPr>
            <w:tcW w:type="dxa" w:w="232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~$255,000/yr (blended)</w:t>
            </w:r>
          </w:p>
        </w:tc>
      </w:tr>
      <w:tr>
        <w:tc>
          <w:tcPr>
            <w:tcW w:type="dxa" w:w="240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Shared savings take rate</w:t>
            </w:r>
          </w:p>
        </w:tc>
        <w:tc>
          <w:tcPr>
            <w:tcW w:type="dxa" w:w="232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None</w:t>
            </w:r>
          </w:p>
        </w:tc>
        <w:tc>
          <w:tcPr>
            <w:tcW w:type="dxa" w:w="232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25% (Standard) / 38% (Aligned)</w:t>
            </w:r>
          </w:p>
        </w:tc>
        <w:tc>
          <w:tcPr>
            <w:tcW w:type="dxa" w:w="232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15%</w:t>
            </w:r>
          </w:p>
        </w:tc>
      </w:tr>
      <w:tr>
        <w:tc>
          <w:tcPr>
            <w:tcW w:type="dxa" w:w="24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Recurring gross margin</w:t>
            </w:r>
          </w:p>
        </w:tc>
        <w:tc>
          <w:tcPr>
            <w:tcW w:type="dxa" w:w="232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n/a (75% on the fee)</w:t>
            </w:r>
          </w:p>
        </w:tc>
        <w:tc>
          <w:tcPr>
            <w:tcW w:type="dxa" w:w="232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~55%</w:t>
            </w:r>
          </w:p>
        </w:tc>
        <w:tc>
          <w:tcPr>
            <w:tcW w:type="dxa" w:w="232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~28%</w:t>
            </w:r>
          </w:p>
        </w:tc>
      </w:tr>
      <w:tr>
        <w:tc>
          <w:tcPr>
            <w:tcW w:type="dxa" w:w="240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Delivery model</w:t>
            </w:r>
          </w:p>
        </w:tc>
        <w:tc>
          <w:tcPr>
            <w:tcW w:type="dxa" w:w="232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Senior advisors, project-based</w:t>
            </w:r>
          </w:p>
        </w:tc>
        <w:tc>
          <w:tcPr>
            <w:tcW w:type="dxa" w:w="232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Remote Navigators + technology</w:t>
            </w:r>
          </w:p>
        </w:tc>
        <w:tc>
          <w:tcPr>
            <w:tcW w:type="dxa" w:w="232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On-site RN Care Managers + billing</w:t>
            </w:r>
          </w:p>
        </w:tc>
      </w:tr>
    </w:tbl>
    <w:p>
      <w:pPr>
        <w:spacing w:after="200"/>
      </w:pPr>
      <w:r>
        <w:rPr>
          <w:rFonts w:ascii="Arial" w:cs="Arial" w:eastAsia="Arial" w:hAnsi="Arial"/>
          <w:i/>
          <w:iCs/>
          <w:color w:val="808080"/>
          <w:sz w:val="16"/>
          <w:szCs w:val="16"/>
        </w:rPr>
        <w:t xml:space="preserve">Figures are the size-blended values from the Unit Economics tab of TEAM_Pricing_Model.xlsx (40% small / 40% medium / 20% large hospital mix). See the workbook for the full per-size breakdown and every underlying assumption.</w:t>
      </w:r>
    </w:p>
    <w:p>
      <w:pPr>
        <w:pStyle w:val="Heading1"/>
        <w:spacing w:after="160" w:before="360"/>
      </w:pPr>
      <w:r>
        <w:rPr>
          <w:rFonts w:ascii="Arial" w:cs="Arial" w:eastAsia="Arial" w:hAnsi="Arial"/>
          <w:b/>
          <w:bCs/>
          <w:color w:val="1E4B3A"/>
          <w:sz w:val="30"/>
          <w:szCs w:val="30"/>
        </w:rPr>
        <w:t xml:space="preserve">Competitive Landscape</w:t>
      </w:r>
    </w:p>
    <w:p>
      <w:pPr>
        <w:spacing w:after="180" w:line="300"/>
      </w:pPr>
      <w:r>
        <w:rPr>
          <w:rFonts w:ascii="Arial" w:cs="Arial" w:eastAsia="Arial" w:hAnsi="Arial"/>
          <w:b w:val="false"/>
          <w:bCs w:val="false"/>
          <w:i w:val="false"/>
          <w:iCs w:val="false"/>
          <w:color w:val="222222"/>
          <w:sz w:val="21"/>
          <w:szCs w:val="21"/>
        </w:rPr>
        <w:t xml:space="preserve">The episode- and bundled-payment management space has consolidated in recent years — naviHealth is now part of Optum, and Signify Health merged with Remedy Partners before being acquired into UnitedHealth's CenterWell business — which has left a gap for an independent operator focused specifically on TEAM. Yield Healthcare's positioning against the field:</w:t>
      </w:r>
    </w:p>
    <w:p>
      <w:pPr>
        <w:pStyle w:val="ListParagraph"/>
        <w:numPr>
          <w:ilvl w:val="0"/>
          <w:numId w:val="1"/>
        </w:numPr>
        <w:spacing w:after="90" w:line="280"/>
      </w:pPr>
      <w:r>
        <w:rPr>
          <w:rFonts w:ascii="Arial" w:cs="Arial" w:eastAsia="Arial" w:hAnsi="Arial"/>
          <w:color w:val="222222"/>
          <w:sz w:val="21"/>
          <w:szCs w:val="21"/>
        </w:rPr>
        <w:t xml:space="preserve">Platform and analytics vendors sell software and a dashboard, not outcomes. A hospital gets visibility into a problem with no one accountable for fixing it. Yield Healthcare's Platform and Embedded tiers pair the analytics with people who actually manage the patient.</w:t>
      </w:r>
    </w:p>
    <w:p>
      <w:pPr>
        <w:pStyle w:val="ListParagraph"/>
        <w:numPr>
          <w:ilvl w:val="0"/>
          <w:numId w:val="1"/>
        </w:numPr>
        <w:spacing w:after="90" w:line="280"/>
      </w:pPr>
      <w:r>
        <w:rPr>
          <w:rFonts w:ascii="Arial" w:cs="Arial" w:eastAsia="Arial" w:hAnsi="Arial"/>
          <w:color w:val="222222"/>
          <w:sz w:val="21"/>
          <w:szCs w:val="21"/>
        </w:rPr>
        <w:t xml:space="preserve">Large incumbent conveners (Optum/naviHealth, CenterWell/Signify Health) bring scale and health-plan relationships but are increasingly embedded inside payer-owned organizations, which can create channel conflict for a hospital that wants an independent partner with no referral or product allegiance.</w:t>
      </w:r>
    </w:p>
    <w:p>
      <w:pPr>
        <w:pStyle w:val="ListParagraph"/>
        <w:numPr>
          <w:ilvl w:val="0"/>
          <w:numId w:val="1"/>
        </w:numPr>
        <w:spacing w:after="90" w:line="280"/>
      </w:pPr>
      <w:r>
        <w:rPr>
          <w:rFonts w:ascii="Arial" w:cs="Arial" w:eastAsia="Arial" w:hAnsi="Arial"/>
          <w:color w:val="222222"/>
          <w:sz w:val="21"/>
          <w:szCs w:val="21"/>
        </w:rPr>
        <w:t xml:space="preserve">Generalist strategy consultants sell judgment without the underlying data rigor — credible-sounding recommendations built on numbers the firm cannot independently verify, because they've never touched the claims feed or run a reconciliation calculation themselves.</w:t>
      </w:r>
    </w:p>
    <w:p>
      <w:pPr>
        <w:pStyle w:val="ListParagraph"/>
        <w:numPr>
          <w:ilvl w:val="0"/>
          <w:numId w:val="1"/>
        </w:numPr>
        <w:spacing w:after="90" w:line="280"/>
      </w:pPr>
      <w:r>
        <w:rPr>
          <w:rFonts w:ascii="Arial" w:cs="Arial" w:eastAsia="Arial" w:hAnsi="Arial"/>
          <w:color w:val="222222"/>
          <w:sz w:val="21"/>
          <w:szCs w:val="21"/>
        </w:rPr>
        <w:t xml:space="preserve">Yield Healthcare's differentiation is structural, not just positioning: it is the only offering that spans the full spectrum from a low-commitment fixed-fee diagnostic through a fully embedded, billing-integrated care team, letting a hospital start small and expand only once the model is proven on its own data.</w:t>
      </w:r>
    </w:p>
    <w:p>
      <w:pPr>
        <w:spacing w:after="150"/>
      </w:pPr>
    </w:p>
    <w:p>
      <w:pPr>
        <w:pStyle w:val="Heading1"/>
        <w:spacing w:after="160" w:before="360"/>
      </w:pPr>
      <w:r>
        <w:rPr>
          <w:rFonts w:ascii="Arial" w:cs="Arial" w:eastAsia="Arial" w:hAnsi="Arial"/>
          <w:b/>
          <w:bCs/>
          <w:color w:val="1E4B3A"/>
          <w:sz w:val="30"/>
          <w:szCs w:val="30"/>
        </w:rPr>
        <w:t xml:space="preserve">Go-to-Market Strategy</w:t>
      </w:r>
    </w:p>
    <w:p>
      <w:pPr>
        <w:spacing w:after="180" w:line="300"/>
      </w:pPr>
      <w:r>
        <w:rPr>
          <w:rFonts w:ascii="Arial" w:cs="Arial" w:eastAsia="Arial" w:hAnsi="Arial"/>
          <w:b w:val="false"/>
          <w:bCs w:val="false"/>
          <w:i w:val="false"/>
          <w:iCs w:val="false"/>
          <w:color w:val="222222"/>
          <w:sz w:val="21"/>
          <w:szCs w:val="21"/>
        </w:rPr>
        <w:t xml:space="preserve">The funnel is deliberately sequenced to make the first yes easy. Advisory is the door-opener: a fixed fee, a fixed timeline, and a concrete deliverable (the Position Report) that a CFO can act on without committing to an ongoing vendor relationship. From there, hospitals with a proven payer/saver gap and the operational appetite to close it convert into Platform, and the highest-volume, most sophisticated systems graduate into Embedded once Platform has established trust and a performance track record.</w:t>
      </w:r>
    </w:p>
    <w:p>
      <w:pPr>
        <w:pStyle w:val="Heading3"/>
        <w:spacing w:after="100" w:before="200"/>
      </w:pPr>
      <w:r>
        <w:rPr>
          <w:rFonts w:ascii="Arial" w:cs="Arial" w:eastAsia="Arial" w:hAnsi="Arial"/>
          <w:b/>
          <w:bCs/>
          <w:color w:val="8FA687"/>
          <w:sz w:val="20"/>
          <w:szCs w:val="20"/>
        </w:rPr>
        <w:t xml:space="preserve">Year 1 — Prove the model</w:t>
      </w:r>
    </w:p>
    <w:p>
      <w:pPr>
        <w:spacing w:after="180" w:line="300"/>
      </w:pPr>
      <w:r>
        <w:rPr>
          <w:rFonts w:ascii="Arial" w:cs="Arial" w:eastAsia="Arial" w:hAnsi="Arial"/>
          <w:b w:val="false"/>
          <w:bCs w:val="false"/>
          <w:i w:val="false"/>
          <w:iCs w:val="false"/>
          <w:color w:val="222222"/>
          <w:sz w:val="21"/>
          <w:szCs w:val="21"/>
        </w:rPr>
        <w:t xml:space="preserve">Target eight Advisory engagements and five Platform customers in the first year, concentrated in a small number of markets where Yield Healthcare's team has existing relationships and can deliver hands-on, high-touch service. Priority: flawless delivery on the first cohort, real case studies, and a repeatable diagnostic methodology.</w:t>
      </w:r>
    </w:p>
    <w:p>
      <w:pPr>
        <w:pStyle w:val="Heading3"/>
        <w:spacing w:after="100" w:before="200"/>
      </w:pPr>
      <w:r>
        <w:rPr>
          <w:rFonts w:ascii="Arial" w:cs="Arial" w:eastAsia="Arial" w:hAnsi="Arial"/>
          <w:b/>
          <w:bCs/>
          <w:color w:val="8FA687"/>
          <w:sz w:val="20"/>
          <w:szCs w:val="20"/>
        </w:rPr>
        <w:t xml:space="preserve">Year 2 — Build the channel</w:t>
      </w:r>
    </w:p>
    <w:p>
      <w:pPr>
        <w:spacing w:after="180" w:line="300"/>
      </w:pPr>
      <w:r>
        <w:rPr>
          <w:rFonts w:ascii="Arial" w:cs="Arial" w:eastAsia="Arial" w:hAnsi="Arial"/>
          <w:b w:val="false"/>
          <w:bCs w:val="false"/>
          <w:i w:val="false"/>
          <w:iCs w:val="false"/>
          <w:color w:val="222222"/>
          <w:sz w:val="21"/>
          <w:szCs w:val="21"/>
        </w:rPr>
        <w:t xml:space="preserve">Scale Advisory to ten new engagements and Platform to fifteen new customers, while converting a portion of Year 1's Advisory clients into Platform relationships. Launch the Embedded tier with a small number (5) of design-partner health systems willing to work through the staffing and billing structure collaboratively.</w:t>
      </w:r>
    </w:p>
    <w:p>
      <w:pPr>
        <w:pStyle w:val="Heading3"/>
        <w:spacing w:after="100" w:before="200"/>
      </w:pPr>
      <w:r>
        <w:rPr>
          <w:rFonts w:ascii="Arial" w:cs="Arial" w:eastAsia="Arial" w:hAnsi="Arial"/>
          <w:b/>
          <w:bCs/>
          <w:color w:val="8FA687"/>
          <w:sz w:val="20"/>
          <w:szCs w:val="20"/>
        </w:rPr>
        <w:t xml:space="preserve">Year 3 — Scale the platform, prove Embedded's economics</w:t>
      </w:r>
    </w:p>
    <w:p>
      <w:pPr>
        <w:spacing w:after="180" w:line="300"/>
      </w:pPr>
      <w:r>
        <w:rPr>
          <w:rFonts w:ascii="Arial" w:cs="Arial" w:eastAsia="Arial" w:hAnsi="Arial"/>
          <w:b w:val="false"/>
          <w:bCs w:val="false"/>
          <w:i w:val="false"/>
          <w:iCs w:val="false"/>
          <w:color w:val="222222"/>
          <w:sz w:val="21"/>
          <w:szCs w:val="21"/>
        </w:rPr>
        <w:t xml:space="preserve">Twelve new Advisory engagements, twenty-five new Platform customers, and ten new Embedded customers, with retention assumed at 90% annually for both recurring tiers. By year-end, roughly 97 hospitals are active Yield Healthcare customers across all three tiers.</w:t>
      </w:r>
    </w:p>
    <w:p>
      <w:pPr>
        <w:spacing w:after="180" w:line="300"/>
      </w:pPr>
      <w:r>
        <w:rPr>
          <w:rFonts w:ascii="Arial" w:cs="Arial" w:eastAsia="Arial" w:hAnsi="Arial"/>
          <w:b w:val="false"/>
          <w:bCs w:val="false"/>
          <w:i w:val="false"/>
          <w:iCs w:val="false"/>
          <w:color w:val="222222"/>
          <w:sz w:val="21"/>
          <w:szCs w:val="21"/>
        </w:rPr>
        <w:t xml:space="preserve">Sales motion: a direct, high-touch enterprise sales team calling on hospital CFOs and VPs of value-based care, supported by the Position Report as a low-friction first engagement. Given TEAM's mandatory nature and hard compliance deadlines, outbound targeting of the 741 mandated hospitals — prioritized by episode volume and TEAM track — is more effective here than inbound marketing alone.</w:t>
      </w:r>
    </w:p>
    <w:p>
      <w:pPr>
        <w:pStyle w:val="Heading1"/>
        <w:spacing w:after="160" w:before="360"/>
      </w:pPr>
      <w:r>
        <w:rPr>
          <w:rFonts w:ascii="Arial" w:cs="Arial" w:eastAsia="Arial" w:hAnsi="Arial"/>
          <w:b/>
          <w:bCs/>
          <w:color w:val="1E4B3A"/>
          <w:sz w:val="30"/>
          <w:szCs w:val="30"/>
        </w:rPr>
        <w:t xml:space="preserve">Financial Summary</w:t>
      </w:r>
    </w:p>
    <w:p>
      <w:pPr>
        <w:spacing w:after="180" w:line="300"/>
      </w:pPr>
      <w:r>
        <w:rPr>
          <w:rFonts w:ascii="Arial" w:cs="Arial" w:eastAsia="Arial" w:hAnsi="Arial"/>
          <w:b w:val="false"/>
          <w:bCs w:val="false"/>
          <w:i w:val="false"/>
          <w:iCs w:val="false"/>
          <w:color w:val="222222"/>
          <w:sz w:val="21"/>
          <w:szCs w:val="21"/>
        </w:rPr>
        <w:t xml:space="preserve">The three-year build below is generated directly from the pricing model's customer acquisition plan and size-blended unit economics — every number here recalculates if the assumptions in the workbook change. It assumes 90% annual retention on Platform and Embedded relationships and no assumed conversion between tiers beyond what is explicitly modeled as new customer adds.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2136"/>
        <w:gridCol w:w="2136"/>
        <w:gridCol w:w="2136"/>
      </w:tblGrid>
      <w:tr>
        <w:trPr>
          <w:tblHeader/>
        </w:trPr>
        <w:tc>
          <w:tcPr>
            <w:tcW w:type="dxa" w:w="296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
            </w:r>
          </w:p>
        </w:tc>
        <w:tc>
          <w:tcPr>
            <w:tcW w:type="dxa" w:w="2136"/>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Year 1</w:t>
            </w:r>
          </w:p>
        </w:tc>
        <w:tc>
          <w:tcPr>
            <w:tcW w:type="dxa" w:w="2136"/>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Year 2</w:t>
            </w:r>
          </w:p>
        </w:tc>
        <w:tc>
          <w:tcPr>
            <w:tcW w:type="dxa" w:w="2136"/>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Year 3</w:t>
            </w:r>
          </w:p>
        </w:tc>
      </w:tr>
      <w:tr>
        <w:tc>
          <w:tcPr>
            <w:tcW w:type="dxa" w:w="296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Advisory revenue</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$728,000</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$910,000</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$1,092,000</w:t>
            </w:r>
          </w:p>
        </w:tc>
      </w:tr>
      <w:tr>
        <w:tc>
          <w:tcPr>
            <w:tcW w:type="dxa" w:w="296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Platform revenue</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$1,467,000</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$5,584,500</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$11,950,650</w:t>
            </w:r>
          </w:p>
        </w:tc>
      </w:tr>
      <w:tr>
        <w:tc>
          <w:tcPr>
            <w:tcW w:type="dxa" w:w="296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Embedded revenue</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$555,280</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$1,846,552</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$4,334,797</w:t>
            </w:r>
          </w:p>
        </w:tc>
      </w:tr>
      <w:tr>
        <w:tc>
          <w:tcPr>
            <w:tcW w:type="dxa" w:w="296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Total revenue</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$2,750,280</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$8,341,052</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$17,377,447</w:t>
            </w:r>
          </w:p>
        </w:tc>
      </w:tr>
      <w:tr>
        <w:tc>
          <w:tcPr>
            <w:tcW w:type="dxa" w:w="296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Total cost</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$1,215,880</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$3,956,372</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$8,490,045</w:t>
            </w:r>
          </w:p>
        </w:tc>
      </w:tr>
      <w:tr>
        <w:tc>
          <w:tcPr>
            <w:tcW w:type="dxa" w:w="296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Gross profit</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$1,534,400</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$4,384,680</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$8,887,402</w:t>
            </w:r>
          </w:p>
        </w:tc>
      </w:tr>
      <w:tr>
        <w:tc>
          <w:tcPr>
            <w:tcW w:type="dxa" w:w="296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Gross margin</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55.8%</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52.6%</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51.1%</w:t>
            </w:r>
          </w:p>
        </w:tc>
      </w:tr>
    </w:tbl>
    <w:p>
      <w:pPr>
        <w:spacing w:after="100"/>
      </w:pPr>
    </w:p>
    <w:p>
      <w:pPr>
        <w:spacing w:after="180" w:line="300"/>
      </w:pPr>
      <w:r>
        <w:rPr>
          <w:rFonts w:ascii="Arial" w:cs="Arial" w:eastAsia="Arial" w:hAnsi="Arial"/>
          <w:b w:val="false"/>
          <w:bCs w:val="false"/>
          <w:i w:val="false"/>
          <w:iCs w:val="false"/>
          <w:color w:val="222222"/>
          <w:sz w:val="21"/>
          <w:szCs w:val="21"/>
        </w:rPr>
        <w:t xml:space="preserve">Two dynamics are worth flagging. First, margin drifts down modestly over the three years as the mix shifts toward Platform and Embedded and away from Advisory's higher-margin, one-time fee structure — a healthy trade, since it reflects growing recurring revenue, not deteriorating unit economics within any single tier. Second, Embedded's blended margin (~28% recurring) is structurally lower than Platform's (~55%) because it is priced largely as cost-plus staffing; its economics improve as CM billing capture rates mature and as the compliance/billing infrastructure amortizes across a larger embedded headcount.</w:t>
      </w:r>
    </w:p>
    <w:p>
      <w:pPr>
        <w:spacing w:after="200"/>
      </w:pPr>
      <w:r>
        <w:rPr>
          <w:rFonts w:ascii="Arial" w:cs="Arial" w:eastAsia="Arial" w:hAnsi="Arial"/>
          <w:i/>
          <w:iCs/>
          <w:color w:val="808080"/>
          <w:sz w:val="16"/>
          <w:szCs w:val="16"/>
        </w:rPr>
        <w:t xml:space="preserve">Full detail, including per-hospital-size unit economics and every input assumption, is in TEAM_Pricing_Model.xlsx (tabs: Assumptions, Unit Economics, 3-Year Build, Summary).</w:t>
      </w:r>
    </w:p>
    <w:p>
      <w:pPr>
        <w:pStyle w:val="Heading1"/>
        <w:spacing w:after="160" w:before="360"/>
      </w:pPr>
      <w:r>
        <w:rPr>
          <w:rFonts w:ascii="Arial" w:cs="Arial" w:eastAsia="Arial" w:hAnsi="Arial"/>
          <w:b/>
          <w:bCs/>
          <w:color w:val="1E4B3A"/>
          <w:sz w:val="30"/>
          <w:szCs w:val="30"/>
        </w:rPr>
        <w:t xml:space="preserve">Regulatory &amp; Compliance Considerations</w:t>
      </w:r>
    </w:p>
    <w:p>
      <w:pPr>
        <w:spacing w:after="180" w:line="300"/>
      </w:pPr>
      <w:r>
        <w:rPr>
          <w:rFonts w:ascii="Arial" w:cs="Arial" w:eastAsia="Arial" w:hAnsi="Arial"/>
          <w:b w:val="false"/>
          <w:bCs w:val="false"/>
          <w:i w:val="false"/>
          <w:iCs w:val="false"/>
          <w:color w:val="222222"/>
          <w:sz w:val="21"/>
          <w:szCs w:val="21"/>
        </w:rPr>
        <w:t xml:space="preserve">Two structural issues need to be resolved with counsel before Tier 3 goes to market, and both are noted as open items rather than solved problems in this document.</w:t>
      </w:r>
    </w:p>
    <w:p>
      <w:pPr>
        <w:pStyle w:val="Heading3"/>
        <w:spacing w:after="100" w:before="200"/>
      </w:pPr>
      <w:r>
        <w:rPr>
          <w:rFonts w:ascii="Arial" w:cs="Arial" w:eastAsia="Arial" w:hAnsi="Arial"/>
          <w:b/>
          <w:bCs/>
          <w:color w:val="8FA687"/>
          <w:sz w:val="20"/>
          <w:szCs w:val="20"/>
        </w:rPr>
        <w:t xml:space="preserve">Care-management billing structure</w:t>
      </w:r>
    </w:p>
    <w:p>
      <w:pPr>
        <w:spacing w:after="180" w:line="300"/>
      </w:pPr>
      <w:r>
        <w:rPr>
          <w:rFonts w:ascii="Arial" w:cs="Arial" w:eastAsia="Arial" w:hAnsi="Arial"/>
          <w:b w:val="false"/>
          <w:bCs w:val="false"/>
          <w:i w:val="false"/>
          <w:iCs w:val="false"/>
          <w:color w:val="222222"/>
          <w:sz w:val="21"/>
          <w:szCs w:val="21"/>
        </w:rPr>
        <w:t xml:space="preserve">Transitional Care Management and Principal Illness Navigation codes must be billed by a Medicare-enrolled entity, under appropriate physician or advanced-practice-provider supervision. Yield Healthcare's embedded staff can perform the qualifying work, but the billing itself will most likely run through the hospital's or an affiliated physician group's existing NPI and billing infrastructure rather than Yield Healthcare's own enrollment — with Yield Healthcare's contracted share of collected revenue set out in the services agreement. This keeps Yield Healthcare out of the business of becoming a Medicare-enrolled billing entity in its own right, but it does mean the revenue in the Embedded tier's model is contingent on negotiating that revenue-share arrangement into every Embedded contract, and on the hospital's own billing compliance program accepting the arrangement.</w:t>
      </w:r>
    </w:p>
    <w:p>
      <w:pPr>
        <w:pStyle w:val="Heading3"/>
        <w:spacing w:after="100" w:before="200"/>
      </w:pPr>
      <w:r>
        <w:rPr>
          <w:rFonts w:ascii="Arial" w:cs="Arial" w:eastAsia="Arial" w:hAnsi="Arial"/>
          <w:b/>
          <w:bCs/>
          <w:color w:val="8FA687"/>
          <w:sz w:val="20"/>
          <w:szCs w:val="20"/>
        </w:rPr>
        <w:t xml:space="preserve">Data access and shared-savings risk</w:t>
      </w:r>
    </w:p>
    <w:p>
      <w:pPr>
        <w:spacing w:after="180" w:line="300"/>
      </w:pPr>
      <w:r>
        <w:rPr>
          <w:rFonts w:ascii="Arial" w:cs="Arial" w:eastAsia="Arial" w:hAnsi="Arial"/>
          <w:b w:val="false"/>
          <w:bCs w:val="false"/>
          <w:i w:val="false"/>
          <w:iCs w:val="false"/>
          <w:color w:val="222222"/>
          <w:sz w:val="21"/>
          <w:szCs w:val="21"/>
        </w:rPr>
        <w:t xml:space="preserve">The Platform and Embedded tiers both depend on timely access to hospital CMS claims feeds and internal cost/discharge data under a signed Business Associate Agreement — a real execution dependency called out explicitly in Yield Healthcare's sales process, not something to assume will happen automatically. The Aligned pricing option in Tier 2, where Yield Healthcare contractually absorbs a share of a hospital's downside, also creates real balance-sheet exposure for Yield Healthcare and should be capped (for example, at a multiple of the annual fees collected from that hospital) rather than left open-ended.</w:t>
      </w:r>
    </w:p>
    <w:p>
      <w:pPr>
        <w:spacing w:after="150"/>
      </w:pPr>
    </w:p>
    <w:p>
      <w:pPr>
        <w:pStyle w:val="Heading1"/>
        <w:spacing w:after="160" w:before="360"/>
      </w:pPr>
      <w:r>
        <w:rPr>
          <w:rFonts w:ascii="Arial" w:cs="Arial" w:eastAsia="Arial" w:hAnsi="Arial"/>
          <w:b/>
          <w:bCs/>
          <w:color w:val="1E4B3A"/>
          <w:sz w:val="30"/>
          <w:szCs w:val="30"/>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Risk</w:t>
            </w:r>
          </w:p>
        </w:tc>
        <w:tc>
          <w:tcPr>
            <w:tcW w:type="dxa" w:w="596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Mitigation</w:t>
            </w:r>
          </w:p>
        </w:tc>
      </w:tr>
      <w:tr>
        <w:tc>
          <w:tcPr>
            <w:tcW w:type="dxa" w:w="34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CMS policy risk — TEAM's structure, target-price methodology, or continuation beyond current performance years is set by CMS and can change with little notice.</w:t>
            </w:r>
          </w:p>
        </w:tc>
        <w:tc>
          <w:tcPr>
            <w:tcW w:type="dxa" w:w="596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Diversify revenue across all three tiers rather than depending entirely on shared-savings dollars tied to one program's mechanics; build the Advisory and staffing-fee components to hold value even if reconciliation economics shift.</w:t>
            </w:r>
          </w:p>
        </w:tc>
      </w:tr>
      <w:tr>
        <w:tc>
          <w:tcPr>
            <w:tcW w:type="dxa" w:w="340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Revenue variability — shared-savings and CM billing revenue depend on actual hospital and patient performance, not a fixed contract value.</w:t>
            </w:r>
          </w:p>
        </w:tc>
        <w:tc>
          <w:tcPr>
            <w:tcW w:type="dxa" w:w="596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Price Platform and Embedded with a meaningful fixed-fee floor (onboarding, per-episode, and staffing fees) so a below-plan reconciliation year doesn't zero out revenue from a customer relationship.</w:t>
            </w:r>
          </w:p>
        </w:tc>
      </w:tr>
      <w:tr>
        <w:tc>
          <w:tcPr>
            <w:tcW w:type="dxa" w:w="34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Compliance execution risk in Tier 3 — the CM billing revenue-share structure has not been finalized with legal counsel.</w:t>
            </w:r>
          </w:p>
        </w:tc>
        <w:tc>
          <w:tcPr>
            <w:tcW w:type="dxa" w:w="596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Treat Embedded as a design-partner motion in Year 1-2 with a small number of sophisticated systems willing to work through the structure jointly, rather than a scaled, self-serve offering from day one.</w:t>
            </w:r>
          </w:p>
        </w:tc>
      </w:tr>
      <w:tr>
        <w:tc>
          <w:tcPr>
            <w:tcW w:type="dxa" w:w="340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Competitive response — incumbent conveners (Optum/naviHealth, CenterWell) have far greater scale and existing health-plan relationships.</w:t>
            </w:r>
          </w:p>
        </w:tc>
        <w:tc>
          <w:tcPr>
            <w:tcW w:type="dxa" w:w="596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Compete on independence and speed rather than scale: no payer ownership, no product allegiance, and a fixed-fee entry point that lets a hospital get a straight answer faster than a large incumbent's sales cycle typically allows.</w:t>
            </w:r>
          </w:p>
        </w:tc>
      </w:tr>
      <w:tr>
        <w:tc>
          <w:tcPr>
            <w:tcW w:type="dxa" w:w="34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Talent risk — Platform and Embedded both depend on hiring and retaining qualified RN Care Managers and Navigators at the pace the acquisition plan assumes.</w:t>
            </w:r>
          </w:p>
        </w:tc>
        <w:tc>
          <w:tcPr>
            <w:tcW w:type="dxa" w:w="596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Centralize the remote Navigator function to improve hiring flexibility and cost efficiency; build embedded staffing pipelines regionally, ahead of signed Embedded contracts, rather than reactively.</w:t>
            </w:r>
          </w:p>
        </w:tc>
      </w:tr>
    </w:tbl>
    <w:p>
      <w:pPr>
        <w:pStyle w:val="Heading1"/>
        <w:spacing w:after="160" w:before="360"/>
      </w:pPr>
      <w:r>
        <w:rPr>
          <w:rFonts w:ascii="Arial" w:cs="Arial" w:eastAsia="Arial" w:hAnsi="Arial"/>
          <w:b/>
          <w:bCs/>
          <w:color w:val="1E4B3A"/>
          <w:sz w:val="30"/>
          <w:szCs w:val="30"/>
        </w:rPr>
        <w:t xml:space="preserve">Organization &amp; Capital Requirements</w:t>
      </w:r>
    </w:p>
    <w:p>
      <w:pPr>
        <w:pStyle w:val="Heading2"/>
        <w:spacing w:after="120" w:before="260"/>
      </w:pPr>
      <w:r>
        <w:rPr>
          <w:rFonts w:ascii="Arial" w:cs="Arial" w:eastAsia="Arial" w:hAnsi="Arial"/>
          <w:b/>
          <w:bCs/>
          <w:color w:val="1E4B3A"/>
          <w:sz w:val="24"/>
          <w:szCs w:val="24"/>
        </w:rPr>
        <w:t xml:space="preserve">Team needed to execute Year 1</w:t>
      </w:r>
    </w:p>
    <w:p>
      <w:pPr>
        <w:spacing w:after="180" w:line="300"/>
      </w:pPr>
      <w:r>
        <w:rPr>
          <w:rFonts w:ascii="Arial" w:cs="Arial" w:eastAsia="Arial" w:hAnsi="Arial"/>
          <w:b w:val="false"/>
          <w:bCs w:val="false"/>
          <w:i w:val="false"/>
          <w:iCs w:val="false"/>
          <w:color w:val="222222"/>
          <w:sz w:val="21"/>
          <w:szCs w:val="21"/>
        </w:rPr>
        <w:t xml:space="preserve">A lean founding team can deliver the Year 1 plan: a clinical operations leader to own the Advisory methodology and oversee the first Navigator hires, a data/analytics lead to build the claims-ingestion and target-price tracking pipeline, a compliance lead to work through the CM billing structure and BAA process ahead of the first Embedded contract, and a small enterprise sales function focused on hospital CFOs and VPs of value-based care. Remote Navigator and embedded RN Care Manager headcount scales directly with signed Platform and Embedded customers, per the ratios in the pricing model (one remote Navigator per 200 episodes; one embedded RN per 150 episodes).</w:t>
      </w:r>
    </w:p>
    <w:p>
      <w:pPr>
        <w:pStyle w:val="Heading2"/>
        <w:spacing w:after="120" w:before="260"/>
      </w:pPr>
      <w:r>
        <w:rPr>
          <w:rFonts w:ascii="Arial" w:cs="Arial" w:eastAsia="Arial" w:hAnsi="Arial"/>
          <w:b/>
          <w:bCs/>
          <w:color w:val="1E4B3A"/>
          <w:sz w:val="24"/>
          <w:szCs w:val="24"/>
        </w:rPr>
        <w:t xml:space="preserve">Use of proceeds</w:t>
      </w:r>
    </w:p>
    <w:p>
      <w:pPr>
        <w:spacing w:after="180" w:line="300"/>
      </w:pPr>
      <w:r>
        <w:rPr>
          <w:rFonts w:ascii="Arial" w:cs="Arial" w:eastAsia="Arial" w:hAnsi="Arial"/>
          <w:b w:val="false"/>
          <w:bCs w:val="false"/>
          <w:i w:val="false"/>
          <w:iCs w:val="false"/>
          <w:color w:val="222222"/>
          <w:sz w:val="21"/>
          <w:szCs w:val="21"/>
        </w:rPr>
        <w:t xml:space="preserve">Year 1 gross profit of roughly $1.5M is not sufficient on its own to fund the technology build, the initial Navigator and clinical operations hiring, and a direct sales motion targeting hospital C-suites — this is a business that needs seed or early growth capital to bridge to the Year 2-3 scale-up. Illustrative allocation of a funding round:</w:t>
      </w:r>
    </w:p>
    <w:p>
      <w:pPr>
        <w:pStyle w:val="ListParagraph"/>
        <w:numPr>
          <w:ilvl w:val="0"/>
          <w:numId w:val="1"/>
        </w:numPr>
        <w:spacing w:after="90" w:line="280"/>
      </w:pPr>
      <w:r>
        <w:rPr>
          <w:rFonts w:ascii="Arial" w:cs="Arial" w:eastAsia="Arial" w:hAnsi="Arial"/>
          <w:color w:val="222222"/>
          <w:sz w:val="21"/>
          <w:szCs w:val="21"/>
        </w:rPr>
        <w:t xml:space="preserve">Technology platform build (claims ingestion, target-price tracking, episode dashboards) — the core asset that makes Platform and Embedded deliverable at scale</w:t>
      </w:r>
    </w:p>
    <w:p>
      <w:pPr>
        <w:pStyle w:val="ListParagraph"/>
        <w:numPr>
          <w:ilvl w:val="0"/>
          <w:numId w:val="1"/>
        </w:numPr>
        <w:spacing w:after="90" w:line="280"/>
      </w:pPr>
      <w:r>
        <w:rPr>
          <w:rFonts w:ascii="Arial" w:cs="Arial" w:eastAsia="Arial" w:hAnsi="Arial"/>
          <w:color w:val="222222"/>
          <w:sz w:val="21"/>
          <w:szCs w:val="21"/>
        </w:rPr>
        <w:t xml:space="preserve">Founding clinical operations and Navigator hiring, ahead of signed contracts, so delivery capacity doesn't lag the sales pipeline</w:t>
      </w:r>
    </w:p>
    <w:p>
      <w:pPr>
        <w:pStyle w:val="ListParagraph"/>
        <w:numPr>
          <w:ilvl w:val="0"/>
          <w:numId w:val="1"/>
        </w:numPr>
        <w:spacing w:after="90" w:line="280"/>
      </w:pPr>
      <w:r>
        <w:rPr>
          <w:rFonts w:ascii="Arial" w:cs="Arial" w:eastAsia="Arial" w:hAnsi="Arial"/>
          <w:color w:val="222222"/>
          <w:sz w:val="21"/>
          <w:szCs w:val="21"/>
        </w:rPr>
        <w:t xml:space="preserve">Direct sales and business development targeting the 741-hospital mandated base</w:t>
      </w:r>
    </w:p>
    <w:p>
      <w:pPr>
        <w:pStyle w:val="ListParagraph"/>
        <w:numPr>
          <w:ilvl w:val="0"/>
          <w:numId w:val="1"/>
        </w:numPr>
        <w:spacing w:after="90" w:line="280"/>
      </w:pPr>
      <w:r>
        <w:rPr>
          <w:rFonts w:ascii="Arial" w:cs="Arial" w:eastAsia="Arial" w:hAnsi="Arial"/>
          <w:color w:val="222222"/>
          <w:sz w:val="21"/>
          <w:szCs w:val="21"/>
        </w:rPr>
        <w:t xml:space="preserve">Legal and compliance work to finalize the Embedded tier's CM billing structure before it scales beyond design partners</w:t>
      </w:r>
    </w:p>
    <w:p>
      <w:pPr>
        <w:pStyle w:val="ListParagraph"/>
        <w:numPr>
          <w:ilvl w:val="0"/>
          <w:numId w:val="1"/>
        </w:numPr>
        <w:spacing w:after="90" w:line="280"/>
      </w:pPr>
      <w:r>
        <w:rPr>
          <w:rFonts w:ascii="Arial" w:cs="Arial" w:eastAsia="Arial" w:hAnsi="Arial"/>
          <w:color w:val="222222"/>
          <w:sz w:val="21"/>
          <w:szCs w:val="21"/>
        </w:rPr>
        <w:t xml:space="preserve">Working capital to bridge the gap between service delivery and reconciliation-tied revenue collection, which lags on CMS's own timeline</w:t>
      </w:r>
    </w:p>
    <w:p>
      <w:pPr>
        <w:spacing w:after="150"/>
      </w:pPr>
    </w:p>
    <w:p>
      <w:pPr>
        <w:pStyle w:val="Heading1"/>
        <w:spacing w:after="160" w:before="360"/>
      </w:pPr>
      <w:r>
        <w:rPr>
          <w:rFonts w:ascii="Arial" w:cs="Arial" w:eastAsia="Arial" w:hAnsi="Arial"/>
          <w:b/>
          <w:bCs/>
          <w:color w:val="1E4B3A"/>
          <w:sz w:val="30"/>
          <w:szCs w:val="30"/>
        </w:rPr>
        <w:t xml:space="preserve">Sources</w:t>
      </w:r>
    </w:p>
    <w:p>
      <w:pPr>
        <w:spacing w:after="180" w:line="300"/>
      </w:pPr>
      <w:r>
        <w:rPr>
          <w:rFonts w:ascii="Arial" w:cs="Arial" w:eastAsia="Arial" w:hAnsi="Arial"/>
          <w:b w:val="false"/>
          <w:bCs w:val="false"/>
          <w:i w:val="false"/>
          <w:iCs w:val="false"/>
          <w:color w:val="222222"/>
          <w:sz w:val="21"/>
          <w:szCs w:val="21"/>
        </w:rPr>
        <w:t xml:space="preserve">CMS, Transforming Episode Accountability Model (TEAM) overview and final rule materials — cms.gov/priorities/innovation/innovation-models/team-model</w:t>
      </w:r>
    </w:p>
    <w:p>
      <w:pPr>
        <w:spacing w:after="180" w:line="300"/>
      </w:pPr>
      <w:r>
        <w:rPr>
          <w:rFonts w:ascii="Arial" w:cs="Arial" w:eastAsia="Arial" w:hAnsi="Arial"/>
          <w:b w:val="false"/>
          <w:bCs w:val="false"/>
          <w:i w:val="false"/>
          <w:iCs w:val="false"/>
          <w:color w:val="222222"/>
          <w:sz w:val="21"/>
          <w:szCs w:val="21"/>
        </w:rPr>
        <w:t xml:space="preserve">CMS, TEAM Frequently Asked Questions — cms.gov/priorities/innovation/team-frequently-asked-questions</w:t>
      </w:r>
    </w:p>
    <w:p>
      <w:pPr>
        <w:spacing w:after="180" w:line="300"/>
      </w:pPr>
      <w:r>
        <w:rPr>
          <w:rFonts w:ascii="Arial" w:cs="Arial" w:eastAsia="Arial" w:hAnsi="Arial"/>
          <w:b w:val="false"/>
          <w:bCs w:val="false"/>
          <w:i w:val="false"/>
          <w:iCs w:val="false"/>
          <w:color w:val="222222"/>
          <w:sz w:val="21"/>
          <w:szCs w:val="21"/>
        </w:rPr>
        <w:t xml:space="preserve">2026 Medicare Physician Fee Schedule, national average non-facility rates for CPT 99495, 99496 (Transitional Care Management) and CPT 99490 (Chronic Care Management)</w:t>
      </w:r>
    </w:p>
    <w:p>
      <w:pPr>
        <w:spacing w:after="180" w:line="300"/>
      </w:pPr>
      <w:r>
        <w:rPr>
          <w:rFonts w:ascii="Arial" w:cs="Arial" w:eastAsia="Arial" w:hAnsi="Arial"/>
          <w:b w:val="false"/>
          <w:bCs w:val="false"/>
          <w:i w:val="false"/>
          <w:iCs w:val="false"/>
          <w:color w:val="222222"/>
          <w:sz w:val="21"/>
          <w:szCs w:val="21"/>
        </w:rPr>
        <w:t xml:space="preserve">HCPCS G0023 / G0024 (Principal Illness Navigation), 2026 Medicare national payment rates</w:t>
      </w:r>
    </w:p>
    <w:p>
      <w:pPr>
        <w:spacing w:after="180" w:line="300"/>
      </w:pPr>
      <w:r>
        <w:rPr>
          <w:rFonts w:ascii="Arial" w:cs="Arial" w:eastAsia="Arial" w:hAnsi="Arial"/>
          <w:b w:val="false"/>
          <w:bCs w:val="false"/>
          <w:i w:val="false"/>
          <w:iCs w:val="false"/>
          <w:color w:val="222222"/>
          <w:sz w:val="21"/>
          <w:szCs w:val="21"/>
        </w:rPr>
        <w:t xml:space="preserve">Federal Register, FY2026 IPPS Final Rule (hospital participation and episode methodology)</w:t>
      </w:r>
    </w:p>
    <w:p>
      <w:pPr>
        <w:spacing w:after="180" w:line="300"/>
      </w:pPr>
      <w:r>
        <w:rPr>
          <w:rFonts w:ascii="Arial" w:cs="Arial" w:eastAsia="Arial" w:hAnsi="Arial"/>
          <w:b w:val="false"/>
          <w:bCs w:val="false"/>
          <w:i w:val="false"/>
          <w:iCs w:val="false"/>
          <w:color w:val="222222"/>
          <w:sz w:val="21"/>
          <w:szCs w:val="21"/>
        </w:rPr>
        <w:t xml:space="preserve">All target prices, take rates, staffing ratios, and the customer acquisition ramp are Yield Healthcare planning assumptions, not published CMS or third-party figures — see the Assumptions tab of TEAM_Pricing_Model.xlsx for the complete, editable list.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Yield Healthcare Business Case</dc:title>
  <dc:creator>Yield Healthcare</dc:creator>
  <cp:lastModifiedBy>Un-named</cp:lastModifiedBy>
  <cp:revision>1</cp:revision>
  <dcterms:created xsi:type="dcterms:W3CDTF">2026-08-03T20:43:50.929Z</dcterms:created>
  <dcterms:modified xsi:type="dcterms:W3CDTF">2026-08-03T20:43:50.938Z</dcterms:modified>
</cp:coreProperties>
</file>

<file path=docProps/custom.xml><?xml version="1.0" encoding="utf-8"?>
<Properties xmlns="http://schemas.openxmlformats.org/officeDocument/2006/custom-properties" xmlns:vt="http://schemas.openxmlformats.org/officeDocument/2006/docPropsVTypes"/>
</file>