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eorgia" w:cs="Georgia" w:eastAsia="Georgia" w:hAnsi="Georgia"/>
        </w:rPr>
      </w:pPr>
      <w:bookmarkStart w:colFirst="0" w:colLast="0" w:name="_2ng4v8pusorm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Proyecto escrito (SP1)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integrantes: Maria del Milagro Suñer y Katherina Martinez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hd w:fill="cfe2f3" w:val="clear"/>
        </w:rPr>
      </w:pPr>
      <w:r w:rsidDel="00000000" w:rsidR="00000000" w:rsidRPr="00000000">
        <w:rPr>
          <w:rFonts w:ascii="Georgia" w:cs="Georgia" w:eastAsia="Georgia" w:hAnsi="Georgia"/>
          <w:shd w:fill="cfe2f3" w:val="clear"/>
          <w:rtl w:val="0"/>
        </w:rPr>
        <w:t xml:space="preserve">1.1. Descubrimiento y ficha técnica del producto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hd w:fill="cfe2f3" w:val="clear"/>
        </w:rPr>
      </w:pPr>
      <w:r w:rsidDel="00000000" w:rsidR="00000000" w:rsidRPr="00000000">
        <w:rPr>
          <w:rFonts w:ascii="Georgia" w:cs="Georgia" w:eastAsia="Georgia" w:hAnsi="Georgia"/>
          <w:shd w:fill="cfe2f3" w:val="clear"/>
          <w:rtl w:val="0"/>
        </w:rPr>
        <w:t xml:space="preserve">1.1.1. Datos del cliente: Nombre / Marca / Empresa (cliente real o ficticio).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Datos del cliente: Luz Gonzales.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Marca: Nocturnal Lab.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Empresa: indumentaria gótica y alternativa.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hd w:fill="ead1dc" w:val="clear"/>
        </w:rPr>
      </w:pPr>
      <w:r w:rsidDel="00000000" w:rsidR="00000000" w:rsidRPr="00000000">
        <w:rPr>
          <w:rFonts w:ascii="Georgia" w:cs="Georgia" w:eastAsia="Georgia" w:hAnsi="Georgia"/>
          <w:shd w:fill="ead1dc" w:val="clear"/>
          <w:rtl w:val="0"/>
        </w:rPr>
        <w:t xml:space="preserve">1.1.2. Objetivos del proyecto web: Explicar qué busca lograr el negocio con esta plataforma digital.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Permitir que los clientes completen el ciclo de pedido (selección de prendas, cálculo de costos de envío y generación del resumen de compra) de forma autónoma sin depender de un operador humano.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Que el usuario encuentre una prenda específica de manera rápida y eficaz mediante el uso de filtros de búsqueda dinámicos (por categoría, rango de precio o talle).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La interfaz debe ser plenamente funcional y legible en dispositivos móviles, tablets y computadoras de escritorio. 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hd w:fill="d9d2e9" w:val="clear"/>
        </w:rPr>
      </w:pPr>
      <w:r w:rsidDel="00000000" w:rsidR="00000000" w:rsidRPr="00000000">
        <w:rPr>
          <w:rFonts w:ascii="Georgia" w:cs="Georgia" w:eastAsia="Georgia" w:hAnsi="Georgia"/>
          <w:shd w:fill="d9d2e9" w:val="clear"/>
          <w:rtl w:val="0"/>
        </w:rPr>
        <w:t xml:space="preserve">1.1.3. Descripción del producto web y modelo de negocio mínimo: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Descripción del Producto Web: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Una tienda virtual fácil de usar, pensada para que los amantes de la moda gótica puedan ver y comprar ropa alternativa desde su casa. La web ofrece una experiencia simple y rápida organizada en tres secciones: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Presentación (Inicio):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Muestra de qué trata la marca, sus productos destacados y su estilo visual.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Catálogo interactivo con Carrito: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Un listado dinámico de prendas donde el cliente puede filtrar por categoría (ej. remeras, camperas, accesorios), ver el precio, agregar productos a un carrito, elegir el envío y confirmar su pedido.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Formulario de Contacto: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Un espacio sencillo para que el usuario envíe dudas o consultas directas al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Modelo de Negocio Mínimo: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El modelo es de v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enta directa al consumidor (B2C)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¿Cómo genera ingresos?: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El negocio gana dinero mediante la venta directa de cada prenda de vestir publicada en la web.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¿Qué problema resuelve?: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Le ahorra tiempo al cliente al permitirle ver el stock disponible, calcular el costo final de su pedido y comprar ropa de su estilo en un solo lugar, sin tener que coordinar compras por mensajes privados.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hd w:fill="c9daf8" w:val="clear"/>
          <w:rtl w:val="0"/>
        </w:rPr>
        <w:t xml:space="preserve">1.1.4. Proto-persona e historias de usuario: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hd w:fill="c9daf8" w:val="clear"/>
          <w:rtl w:val="0"/>
        </w:rPr>
        <w:t xml:space="preserve">1.1.4.1. Crear 1 proto-persona (perfil simplificado del usuario ideal).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Evangelina Vance (26 años)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Estudiante de Artes visuales y Secretaria Administrativa.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Apasionado por la música post-punk y la moda alternativa. Le gusta armar outfits para eventos y salidas de fin de semana, pero le cuesta encontrar tiendas locales con ropa de estética gótica/dark que ofrezcan una compra rápida y clara.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Necesidad: Encontrar ropa de su estilo en un solo lugar, con fotos claras, precios accesibles y un proceso de compra directo desde el celular.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Frustración / Punto de dolor: Le molesta perder tiempo preguntando precios por mensaje privado en redes sociales, no saber si hay stock de su talle y hacer procesos de compra confusos o sin confirmación.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hd w:fill="c9daf8" w:val="clear"/>
          <w:rtl w:val="0"/>
        </w:rPr>
        <w:t xml:space="preserve">1.1.4.2. Redactar 2 Historias de Usuario basadas en esa misma Proto-Persona (1 orientada a su objetivo/necesidad y 1 a resolver una frustración o punto de dolor).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Como estudiante de Artes Visuales y clienta interesada en moda alternativa, quiero acceder a un catálogo online con fotos claras, precios visibles y un proceso de compra directo desde el celular, para encontrar fácilmente ropa gótica/post‑punk que se ajuste a mi estilo.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Como compradora de moda alternativa, quiero consultar la disponibilidad de talles y recibir confirmación inmediata de mi compra desde la web, para evitar perder tiempo preguntando precios por mensaje privado y no saber si hay stock de mi talle.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hd w:fill="c9daf8" w:val="clear"/>
          <w:rtl w:val="0"/>
        </w:rPr>
        <w:t xml:space="preserve">1.1.4.3. Flujo de usuario (User Flow):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hd w:fill="c9daf8" w:val="clear"/>
        </w:rPr>
      </w:pPr>
      <w:r w:rsidDel="00000000" w:rsidR="00000000" w:rsidRPr="00000000">
        <w:rPr>
          <w:rFonts w:ascii="Georgia" w:cs="Georgia" w:eastAsia="Georgia" w:hAnsi="Georgia"/>
          <w:shd w:fill="c9daf8" w:val="clear"/>
        </w:rPr>
        <w:drawing>
          <wp:inline distB="114300" distT="114300" distL="114300" distR="114300">
            <wp:extent cx="5731200" cy="4292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hd w:fill="d0e0e3" w:val="clear"/>
        </w:rPr>
      </w:pPr>
      <w:r w:rsidDel="00000000" w:rsidR="00000000" w:rsidRPr="00000000">
        <w:rPr>
          <w:rFonts w:ascii="Georgia" w:cs="Georgia" w:eastAsia="Georgia" w:hAnsi="Georgia"/>
          <w:shd w:fill="d0e0e3" w:val="clear"/>
          <w:rtl w:val="0"/>
        </w:rPr>
        <w:t xml:space="preserve">1.1.5. Requerimientos funcionales frontend: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Menu responsive:Permite al usuario poder navegar de manera clara y en distintos dispositivos.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Catálogo con filtros dinámicos:Mostrar opciones de búsqueda de productos por categoría,precio y talle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Ficha informativa del producto: Mostrar fotos,precios,stock disponible,detalles y botón agregar al carrito.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Carrito desplegable: Mostrar resumen de compra y calcular costos de envío en tiempo real.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Validación de formularios:Confirmar datos de contacto y  envio (metodos de pago y envio,destinatario,domicilio,etc) antes de finalizar la compra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Confirmación inmediata :Informar al usuario que su pedido fue realizado con éxito.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hd w:fill="fff2cc" w:val="clear"/>
        </w:rPr>
      </w:pPr>
      <w:r w:rsidDel="00000000" w:rsidR="00000000" w:rsidRPr="00000000">
        <w:rPr>
          <w:rFonts w:ascii="Georgia" w:cs="Georgia" w:eastAsia="Georgia" w:hAnsi="Georgia"/>
          <w:shd w:fill="fff2cc" w:val="clear"/>
          <w:rtl w:val="0"/>
        </w:rPr>
        <w:t xml:space="preserve">1.2. Arquitectura de la información</w:t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hd w:fill="fff2cc" w:val="clear"/>
        </w:rPr>
      </w:pPr>
      <w:r w:rsidDel="00000000" w:rsidR="00000000" w:rsidRPr="00000000">
        <w:rPr>
          <w:rFonts w:ascii="Georgia" w:cs="Georgia" w:eastAsia="Georgia" w:hAnsi="Georgia"/>
          <w:shd w:fill="fff2cc" w:val="clear"/>
          <w:rtl w:val="0"/>
        </w:rPr>
        <w:t xml:space="preserve">1.2.1. Sitemap (Mapa del sitio): Diagrama que muestre la estructura jerárquica de páginas y secciones del sitio.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Inicio</w:t>
      </w:r>
    </w:p>
    <w:p w:rsidR="00000000" w:rsidDel="00000000" w:rsidP="00000000" w:rsidRDefault="00000000" w:rsidRPr="00000000" w14:paraId="00000036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1.1 Presentación de la marca</w:t>
      </w:r>
    </w:p>
    <w:p w:rsidR="00000000" w:rsidDel="00000000" w:rsidP="00000000" w:rsidRDefault="00000000" w:rsidRPr="00000000" w14:paraId="00000037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1.2 Productos destacados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Catálogo</w:t>
      </w:r>
    </w:p>
    <w:p w:rsidR="00000000" w:rsidDel="00000000" w:rsidP="00000000" w:rsidRDefault="00000000" w:rsidRPr="00000000" w14:paraId="00000039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2.1 Categorías (remeras,camperas,accesorios,polleras)</w:t>
      </w:r>
    </w:p>
    <w:p w:rsidR="00000000" w:rsidDel="00000000" w:rsidP="00000000" w:rsidRDefault="00000000" w:rsidRPr="00000000" w14:paraId="0000003A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2.2Filtros (Precio,Talle)</w:t>
      </w:r>
    </w:p>
    <w:p w:rsidR="00000000" w:rsidDel="00000000" w:rsidP="00000000" w:rsidRDefault="00000000" w:rsidRPr="00000000" w14:paraId="0000003B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2.3Detalle de producto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Carrito</w:t>
      </w:r>
    </w:p>
    <w:p w:rsidR="00000000" w:rsidDel="00000000" w:rsidP="00000000" w:rsidRDefault="00000000" w:rsidRPr="00000000" w14:paraId="0000003D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3.1Resumen de compra</w:t>
      </w:r>
    </w:p>
    <w:p w:rsidR="00000000" w:rsidDel="00000000" w:rsidP="00000000" w:rsidRDefault="00000000" w:rsidRPr="00000000" w14:paraId="0000003E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3.2Calculo de envío</w:t>
      </w:r>
    </w:p>
    <w:p w:rsidR="00000000" w:rsidDel="00000000" w:rsidP="00000000" w:rsidRDefault="00000000" w:rsidRPr="00000000" w14:paraId="0000003F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3.3Confirmación de pedido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Contacto</w:t>
      </w:r>
    </w:p>
    <w:p w:rsidR="00000000" w:rsidDel="00000000" w:rsidP="00000000" w:rsidRDefault="00000000" w:rsidRPr="00000000" w14:paraId="00000041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4.1Formulario de consultas</w:t>
      </w:r>
    </w:p>
    <w:p w:rsidR="00000000" w:rsidDel="00000000" w:rsidP="00000000" w:rsidRDefault="00000000" w:rsidRPr="00000000" w14:paraId="00000042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4.2Información de redes sociales</w:t>
      </w:r>
    </w:p>
    <w:p w:rsidR="00000000" w:rsidDel="00000000" w:rsidP="00000000" w:rsidRDefault="00000000" w:rsidRPr="00000000" w14:paraId="00000043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225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hd w:fill="fff2cc" w:val="clear"/>
        </w:rPr>
      </w:pPr>
      <w:r w:rsidDel="00000000" w:rsidR="00000000" w:rsidRPr="00000000">
        <w:rPr>
          <w:rFonts w:ascii="Georgia" w:cs="Georgia" w:eastAsia="Georgia" w:hAnsi="Georgia"/>
          <w:shd w:fill="fff2cc" w:val="clear"/>
          <w:rtl w:val="0"/>
        </w:rPr>
        <w:t xml:space="preserve">1.2.2. Estrategia de navegación (MPA / SPA):</w:t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Las secciones que funcionan de manera tradicional MPA son: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Inicio: Es la página principal,por ello debe ser optimizada para buscadores y mostrar identidad de la marca.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Catálogo general: La vista inicial del catálogo es importante para el SEO en poder posicionarse en buscadores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Contacto: Página con formulario y datos fijos,no quiere interactividad pero si indexación para que los clientes encuentren el negocio.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 los módulos que se serán con comportamiento SPA por interactividad: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Catálogo: Los filtros deben actualizar resultados en tiempo real sin recargar toda la página ofreciendo rapidez y fluidez.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Detalle de producto: Mostrar stock y precio inmediato mejora la experiencia,evitando que el usuario espere una nueva carga.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Carrito de compras: El carrito debe actualizarse dinámicamente sin interrumpir la navegación.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Confirmación de pedido: El mensaje de compra realizada debe aparecer al instante,reforzando confianza y evitando procesos confusos.</w:t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Fonts w:ascii="Georgia" w:cs="Georgia" w:eastAsia="Georgia" w:hAnsi="Georgia"/>
          <w:shd w:fill="f4cccc" w:val="clear"/>
          <w:rtl w:val="0"/>
        </w:rPr>
        <w:t xml:space="preserve">1.3. Diseño de interfaz (UX / UI)Nota: Todas Las entregas de diseño deben incluir como mínimo las 3 secciones/vistas principales en sus versiones Escritorio y Móvil.</w:t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Fonts w:ascii="Georgia" w:cs="Georgia" w:eastAsia="Georgia" w:hAnsi="Georgia"/>
          <w:shd w:fill="f4cccc" w:val="clear"/>
          <w:rtl w:val="0"/>
        </w:rPr>
        <w:t xml:space="preserve">1.3.1. Bocetos a mano : Dibujos rápidos en papel para definir la disposición general de los elementos.</w:t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Fonts w:ascii="Georgia" w:cs="Georgia" w:eastAsia="Georgia" w:hAnsi="Georgia"/>
          <w:shd w:fill="f4cccc" w:val="clear"/>
        </w:rPr>
        <w:drawing>
          <wp:inline distB="114300" distT="114300" distL="114300" distR="114300">
            <wp:extent cx="5757863" cy="6625281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6625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Fonts w:ascii="Georgia" w:cs="Georgia" w:eastAsia="Georgia" w:hAnsi="Georgia"/>
          <w:shd w:fill="f4cccc" w:val="clear"/>
        </w:rPr>
        <w:drawing>
          <wp:inline distB="114300" distT="114300" distL="114300" distR="114300">
            <wp:extent cx="5731200" cy="4241800"/>
            <wp:effectExtent b="0" l="0" r="0" t="0"/>
            <wp:docPr id="1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Fonts w:ascii="Georgia" w:cs="Georgia" w:eastAsia="Georgia" w:hAnsi="Georgia"/>
          <w:shd w:fill="f4cccc" w:val="clear"/>
        </w:rPr>
        <w:drawing>
          <wp:inline distB="114300" distT="114300" distL="114300" distR="114300">
            <wp:extent cx="5731200" cy="4419600"/>
            <wp:effectExtent b="0" l="0" r="0" t="0"/>
            <wp:docPr id="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Fonts w:ascii="Georgia" w:cs="Georgia" w:eastAsia="Georgia" w:hAnsi="Georgia"/>
          <w:shd w:fill="f4cccc" w:val="clear"/>
          <w:rtl w:val="0"/>
        </w:rPr>
        <w:t xml:space="preserve">1.3.2. Wireframes: Estructura digital en escala de grises sobre grillas reales con medidas relativas a pantalla (Desktop 1440px / Mobile 375px).</w:t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Desktop:</w:t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Inicio</w:t>
      </w:r>
    </w:p>
    <w:p w:rsidR="00000000" w:rsidDel="00000000" w:rsidP="00000000" w:rsidRDefault="00000000" w:rsidRPr="00000000" w14:paraId="0000005D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341448" cy="3838823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1448" cy="3838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Catálogo</w:t>
      </w:r>
    </w:p>
    <w:p w:rsidR="00000000" w:rsidDel="00000000" w:rsidP="00000000" w:rsidRDefault="00000000" w:rsidRPr="00000000" w14:paraId="00000060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187788" cy="424704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788" cy="424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Compra</w:t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957763" cy="4082863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408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Móvil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Inicio </w:t>
      </w:r>
    </w:p>
    <w:p w:rsidR="00000000" w:rsidDel="00000000" w:rsidP="00000000" w:rsidRDefault="00000000" w:rsidRPr="00000000" w14:paraId="00000066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581400" cy="7834313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83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Catálogo</w:t>
      </w:r>
    </w:p>
    <w:p w:rsidR="00000000" w:rsidDel="00000000" w:rsidP="00000000" w:rsidRDefault="00000000" w:rsidRPr="00000000" w14:paraId="0000006A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590925" cy="8501063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50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Compra</w:t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636671" cy="8491538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671" cy="849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shd w:fill="f4cccc" w:val="clear"/>
        </w:rPr>
      </w:pPr>
      <w:r w:rsidDel="00000000" w:rsidR="00000000" w:rsidRPr="00000000">
        <w:rPr>
          <w:rFonts w:ascii="Georgia" w:cs="Georgia" w:eastAsia="Georgia" w:hAnsi="Georgia"/>
          <w:shd w:fill="f4cccc" w:val="clear"/>
          <w:rtl w:val="0"/>
        </w:rPr>
        <w:t xml:space="preserve">1.3.3. Mockup : Diseño visual final aplicado con colores, tipografías reales e imágenes en software de edición (ej. Figma).</w:t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Desktop: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Inicio</w:t>
      </w:r>
    </w:p>
    <w:p w:rsidR="00000000" w:rsidDel="00000000" w:rsidP="00000000" w:rsidRDefault="00000000" w:rsidRPr="00000000" w14:paraId="00000071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805488" cy="482911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482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Compra</w:t>
      </w:r>
    </w:p>
    <w:p w:rsidR="00000000" w:rsidDel="00000000" w:rsidP="00000000" w:rsidRDefault="00000000" w:rsidRPr="00000000" w14:paraId="00000074">
      <w:pPr>
        <w:ind w:left="0" w:firstLine="0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</w:rPr>
        <w:drawing>
          <wp:inline distB="114300" distT="114300" distL="114300" distR="114300">
            <wp:extent cx="5121113" cy="425879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113" cy="425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Catálogo</w:t>
      </w:r>
    </w:p>
    <w:p w:rsidR="00000000" w:rsidDel="00000000" w:rsidP="00000000" w:rsidRDefault="00000000" w:rsidRPr="00000000" w14:paraId="00000076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986338" cy="417460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417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Desktop: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Inicio</w:t>
      </w:r>
    </w:p>
    <w:p w:rsidR="00000000" w:rsidDel="00000000" w:rsidP="00000000" w:rsidRDefault="00000000" w:rsidRPr="00000000" w14:paraId="00000079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724275" cy="828530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285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Catálogo</w:t>
      </w:r>
    </w:p>
    <w:p w:rsidR="00000000" w:rsidDel="00000000" w:rsidP="00000000" w:rsidRDefault="00000000" w:rsidRPr="00000000" w14:paraId="0000007B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714750" cy="8467548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467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Compra</w:t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714750" cy="850564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50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hd w:fill="d9ead3" w:val="clear"/>
        </w:rPr>
      </w:pPr>
      <w:r w:rsidDel="00000000" w:rsidR="00000000" w:rsidRPr="00000000">
        <w:rPr>
          <w:rFonts w:ascii="Georgia" w:cs="Georgia" w:eastAsia="Georgia" w:hAnsi="Georgia"/>
          <w:shd w:fill="d9ead3" w:val="clear"/>
          <w:rtl w:val="0"/>
        </w:rPr>
        <w:t xml:space="preserve">1.4. Infraestructura web y dominio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Domino seleccionado: </w:t>
      </w:r>
      <w:hyperlink r:id="rId23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NocturnalLab.com.ar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Plataforma elegida:</w:t>
      </w:r>
      <w:hyperlink r:id="rId24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NIC Argentina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shd w:fill="d9ead3" w:val="clear"/>
        </w:rPr>
      </w:pPr>
      <w:r w:rsidDel="00000000" w:rsidR="00000000" w:rsidRPr="00000000">
        <w:rPr>
          <w:rFonts w:ascii="Georgia" w:cs="Georgia" w:eastAsia="Georgia" w:hAnsi="Georgia"/>
          <w:shd w:fill="d9ead3" w:val="clear"/>
        </w:rPr>
        <w:drawing>
          <wp:inline distB="114300" distT="114300" distL="114300" distR="114300">
            <wp:extent cx="5731200" cy="1968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Utilizaremos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“.com.ar”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como TLD local porque aporta una identidad cercana y nacional. Al incluir el “.ar”, el dominio transmite confianza y credibilidad, diferenciándose de extensiones genéricas. Este tipo de TLD beneficia al proyecto ya que los buscadores priorizan resultados con TLD local en búsquedas hechas desde Argentina, lo que mejora el posicionamiento y la visibilidad. Además, la extensión .com.ar es distintiva y fácil de recordar, lo que ayuda a que la marca sea más memorable y destacada frente a la competencia. Otro punto clave es la disponibilidad: al ser menos saturado que el .com global, ofrece mayores posibilidades de registrar nombres simples y relevantes.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2.png"/><Relationship Id="rId21" Type="http://schemas.openxmlformats.org/officeDocument/2006/relationships/image" Target="media/image4.png"/><Relationship Id="rId24" Type="http://schemas.openxmlformats.org/officeDocument/2006/relationships/hyperlink" Target="https://nic.ar/" TargetMode="External"/><Relationship Id="rId23" Type="http://schemas.openxmlformats.org/officeDocument/2006/relationships/hyperlink" Target="http://nocturnallab.com.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8.jpg"/><Relationship Id="rId11" Type="http://schemas.openxmlformats.org/officeDocument/2006/relationships/image" Target="media/image13.png"/><Relationship Id="rId10" Type="http://schemas.openxmlformats.org/officeDocument/2006/relationships/image" Target="media/image17.jpg"/><Relationship Id="rId13" Type="http://schemas.openxmlformats.org/officeDocument/2006/relationships/image" Target="media/image18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