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Contribution Agreement — Schedule A</w:t>
      </w:r>
    </w:p>
    <w:p>
      <w:r>
        <w:t>This Agreement is made between CHEESEMAKER and Doofenshmirtz Evil Incorporated (the “Recipient”).</w:t>
      </w:r>
    </w:p>
    <w:p>
      <w:pPr>
        <w:pStyle w:val="Heading2"/>
      </w:pPr>
      <w:r>
        <w:t>A.2 Project Participants</w:t>
      </w:r>
    </w:p>
    <w:p>
      <w:r>
        <w:t>Other Recognized Project Collaborators</w:t>
      </w:r>
    </w:p>
    <w:p>
      <w:r>
        <w:t>Danville Institute of Technology; O.W.C.A. (observer status, declined to confirm existence); Tri-State Area Fedora Suppliers Ltd.</w:t>
      </w:r>
    </w:p>
    <w:p>
      <w:pPr>
        <w:pStyle w:val="Heading2"/>
      </w:pPr>
      <w:r>
        <w:t>A.3 Activities &amp; Milestones (Project Schedule)</w:t>
      </w:r>
    </w:p>
    <w:p>
      <w:r>
        <w:t>Milestones are set out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Complete chassis assembly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First activation attempt</w:t>
            </w:r>
          </w:p>
        </w:tc>
        <w:tc>
          <w:tcPr>
            <w:tcW w:type="dxa" w:w="2880"/>
          </w:tcPr>
          <w:p>
            <w:r>
              <w:t>2027-03-31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Contingency: rebuild after thwarting</w:t>
            </w:r>
          </w:p>
        </w:tc>
        <w:tc>
          <w:tcPr>
            <w:tcW w:type="dxa" w:w="2880"/>
          </w:tcPr>
          <w:p>
            <w:r>
              <w:t>2027-06-30</w:t>
            </w:r>
          </w:p>
        </w:tc>
        <w:tc>
          <w:tcPr>
            <w:tcW w:type="dxa" w:w="2880"/>
          </w:tcPr>
          <w:p>
            <w:r>
              <w:t>Anticipated</w:t>
            </w:r>
          </w:p>
        </w:tc>
      </w:tr>
    </w:tbl>
    <w:p>
      <w:pPr>
        <w:pStyle w:val="Heading2"/>
      </w:pPr>
      <w:r>
        <w:t>A.4 Financial Contributions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Contribution Type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CHEESEMAKER Cash Contribution</w:t>
            </w:r>
          </w:p>
        </w:tc>
        <w:tc>
          <w:tcPr>
            <w:tcW w:type="dxa" w:w="4320"/>
          </w:tcPr>
          <w:p>
            <w:r>
              <w:t>$900,000</w:t>
            </w:r>
          </w:p>
        </w:tc>
      </w:tr>
      <w:tr>
        <w:tc>
          <w:tcPr>
            <w:tcW w:type="dxa" w:w="4320"/>
          </w:tcPr>
          <w:p>
            <w:r>
              <w:t>CHEESEMAKER In-Kind (Facilities, Advisory)</w:t>
            </w:r>
          </w:p>
        </w:tc>
        <w:tc>
          <w:tcPr>
            <w:tcW w:type="dxa" w:w="4320"/>
          </w:tcPr>
          <w:p>
            <w:r>
              <w:t>$250,000</w:t>
            </w:r>
          </w:p>
        </w:tc>
      </w:tr>
      <w:tr>
        <w:tc>
          <w:tcPr>
            <w:tcW w:type="dxa" w:w="4320"/>
          </w:tcPr>
          <w:p>
            <w:r>
              <w:t>Total CHEESEMAKER Collaborative Value ($)</w:t>
            </w:r>
          </w:p>
        </w:tc>
        <w:tc>
          <w:tcPr>
            <w:tcW w:type="dxa" w:w="4320"/>
          </w:tcPr>
          <w:p>
            <w:r>
              <w:t>$1,150,000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