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B0A9" w14:textId="7777777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ARCADIA-IMPACT Model Overview</w:t>
      </w:r>
    </w:p>
    <w:p w14:paraId="09A21E10" w14:textId="77777777" w:rsidR="00E60B6E" w:rsidRDefault="00E60B6E" w:rsidP="00E60B6E">
      <w:pPr>
        <w:rPr>
          <w:b/>
          <w:u w:val="single"/>
        </w:rPr>
      </w:pPr>
      <w:r>
        <w:rPr>
          <w:b/>
        </w:rPr>
        <w:t xml:space="preserve">MORTALITY: </w:t>
      </w:r>
      <w:r w:rsidRPr="00104849">
        <w:rPr>
          <w:b/>
        </w:rPr>
        <w:t>Input data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8"/>
        <w:gridCol w:w="3065"/>
        <w:gridCol w:w="1408"/>
        <w:gridCol w:w="4125"/>
      </w:tblGrid>
      <w:tr w:rsidR="00E60B6E" w14:paraId="0D15F587" w14:textId="77777777" w:rsidTr="00D86F4D">
        <w:tc>
          <w:tcPr>
            <w:tcW w:w="328" w:type="dxa"/>
          </w:tcPr>
          <w:p w14:paraId="2B67F70C" w14:textId="77777777" w:rsidR="00E60B6E" w:rsidRPr="00104849" w:rsidRDefault="00E60B6E" w:rsidP="00D86F4D">
            <w:pPr>
              <w:rPr>
                <w:b/>
              </w:rPr>
            </w:pPr>
          </w:p>
        </w:tc>
        <w:tc>
          <w:tcPr>
            <w:tcW w:w="3065" w:type="dxa"/>
          </w:tcPr>
          <w:p w14:paraId="4E7D59C8" w14:textId="77777777" w:rsidR="00E60B6E" w:rsidRPr="00104849" w:rsidRDefault="00E60B6E" w:rsidP="00D86F4D">
            <w:pPr>
              <w:rPr>
                <w:b/>
              </w:rPr>
            </w:pPr>
            <w:r w:rsidRPr="00104849">
              <w:rPr>
                <w:b/>
              </w:rPr>
              <w:t>Name</w:t>
            </w:r>
          </w:p>
        </w:tc>
        <w:tc>
          <w:tcPr>
            <w:tcW w:w="1408" w:type="dxa"/>
          </w:tcPr>
          <w:p w14:paraId="39EA2001" w14:textId="77777777" w:rsidR="00E60B6E" w:rsidRPr="00104849" w:rsidRDefault="00E60B6E" w:rsidP="00D86F4D">
            <w:pPr>
              <w:rPr>
                <w:b/>
              </w:rPr>
            </w:pPr>
            <w:r w:rsidRPr="00104849">
              <w:rPr>
                <w:b/>
              </w:rPr>
              <w:t>Size</w:t>
            </w:r>
          </w:p>
        </w:tc>
        <w:tc>
          <w:tcPr>
            <w:tcW w:w="4125" w:type="dxa"/>
          </w:tcPr>
          <w:p w14:paraId="65DA91BD" w14:textId="77777777" w:rsidR="00E60B6E" w:rsidRPr="00104849" w:rsidRDefault="00E60B6E" w:rsidP="00D86F4D">
            <w:pPr>
              <w:rPr>
                <w:b/>
              </w:rPr>
            </w:pPr>
            <w:r w:rsidRPr="00104849">
              <w:rPr>
                <w:b/>
              </w:rPr>
              <w:t>description</w:t>
            </w:r>
          </w:p>
        </w:tc>
      </w:tr>
      <w:tr w:rsidR="00E60B6E" w14:paraId="3F83A6EF" w14:textId="77777777" w:rsidTr="00D86F4D">
        <w:tc>
          <w:tcPr>
            <w:tcW w:w="328" w:type="dxa"/>
          </w:tcPr>
          <w:p w14:paraId="1E78E4CE" w14:textId="77777777" w:rsidR="00E60B6E" w:rsidRPr="00104849" w:rsidRDefault="00E60B6E" w:rsidP="00D86F4D">
            <w:pPr>
              <w:rPr>
                <w:b/>
              </w:rPr>
            </w:pPr>
          </w:p>
        </w:tc>
        <w:tc>
          <w:tcPr>
            <w:tcW w:w="8598" w:type="dxa"/>
            <w:gridSpan w:val="3"/>
          </w:tcPr>
          <w:p w14:paraId="1EEE857C" w14:textId="77777777" w:rsidR="00E60B6E" w:rsidRPr="00104849" w:rsidRDefault="00E60B6E" w:rsidP="00D86F4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Pre-calculated and saved in: </w:t>
            </w:r>
            <w:proofErr w:type="spellStart"/>
            <w:r w:rsidRPr="00104849">
              <w:rPr>
                <w:rFonts w:ascii="Calibri" w:hAnsi="Calibri" w:cs="Calibri"/>
                <w:color w:val="000000"/>
                <w:shd w:val="clear" w:color="auto" w:fill="FFFFFF"/>
              </w:rPr>
              <w:t>heat_impact_data.mat</w:t>
            </w:r>
            <w:proofErr w:type="spellEnd"/>
          </w:p>
        </w:tc>
      </w:tr>
      <w:tr w:rsidR="00E60B6E" w14:paraId="4C4AFF96" w14:textId="77777777" w:rsidTr="00D86F4D">
        <w:tc>
          <w:tcPr>
            <w:tcW w:w="328" w:type="dxa"/>
            <w:shd w:val="clear" w:color="auto" w:fill="E2EFD9" w:themeFill="accent6" w:themeFillTint="33"/>
          </w:tcPr>
          <w:p w14:paraId="38A80434" w14:textId="77777777" w:rsidR="00E60B6E" w:rsidRPr="00FF0566" w:rsidRDefault="00E60B6E" w:rsidP="00D86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76B33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</w:p>
        </w:tc>
        <w:tc>
          <w:tcPr>
            <w:tcW w:w="3065" w:type="dxa"/>
          </w:tcPr>
          <w:p w14:paraId="20B60F84" w14:textId="77777777" w:rsidR="00E60B6E" w:rsidRPr="008D1791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Mortality_Threshold_RR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37DFF84" w14:textId="77777777" w:rsidR="00E60B6E" w:rsidRPr="008D1791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408" w:type="dxa"/>
          </w:tcPr>
          <w:p w14:paraId="13C02626" w14:textId="77777777" w:rsidR="00E60B6E" w:rsidRPr="008D1791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nGridCells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9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]</w:t>
            </w:r>
          </w:p>
        </w:tc>
        <w:tc>
          <w:tcPr>
            <w:tcW w:w="4125" w:type="dxa"/>
          </w:tcPr>
          <w:p w14:paraId="4D84465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Data on mortality thresholds and Relative Risk for each GOR, linked to underlying grid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Column 1 and 2: Lon and Lat of grid cell </w:t>
            </w:r>
          </w:p>
          <w:p w14:paraId="668A41FA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1208A2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Column 3: NUTS1/GOR name index 1-13 (Inc.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RoI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(see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GOR_names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)</w:t>
            </w:r>
          </w:p>
          <w:p w14:paraId="0BE20F83" w14:textId="77777777" w:rsidR="00E60B6E" w:rsidRPr="008D1791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79D433" w14:textId="77777777" w:rsidR="00E60B6E" w:rsidRPr="008D1791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Column 4: Threshold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TMean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above which heat related mortality will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occur by GOR. Source: Vardoulakis et al., (2014) and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Hajat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et al., (2014)</w:t>
            </w:r>
          </w:p>
          <w:p w14:paraId="2ECEB0E6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A653182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Column 5-9: Ex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p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osure-Risk relationship (% change in mortality for each 1degeeC increase in Mean Temp above the Mortality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Threshold for all ages and by age group (see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Age_group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description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). Source: Vardoulakis et al., (2014) and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Hajat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et al., (2014)).</w:t>
            </w:r>
          </w:p>
          <w:p w14:paraId="27292CC8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1A7C55A" w14:textId="77777777" w:rsidR="00E60B6E" w:rsidRPr="008D1791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**Nb. Column order of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gridcells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is the same for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Mortality_Thresholds_RR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dailyDeatRate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Population.</w:t>
            </w:r>
          </w:p>
        </w:tc>
      </w:tr>
      <w:tr w:rsidR="00E60B6E" w14:paraId="4F6BA480" w14:textId="77777777" w:rsidTr="00D86F4D">
        <w:tc>
          <w:tcPr>
            <w:tcW w:w="328" w:type="dxa"/>
            <w:shd w:val="clear" w:color="auto" w:fill="E2EFD9" w:themeFill="accent6" w:themeFillTint="33"/>
          </w:tcPr>
          <w:p w14:paraId="743BFAED" w14:textId="77777777" w:rsidR="00E60B6E" w:rsidRPr="00853A38" w:rsidRDefault="00E60B6E" w:rsidP="00D86F4D">
            <w:pPr>
              <w:rPr>
                <w:bCs/>
              </w:rPr>
            </w:pPr>
            <w:r w:rsidRPr="00853A38">
              <w:rPr>
                <w:bCs/>
              </w:rPr>
              <w:t>2</w:t>
            </w:r>
          </w:p>
        </w:tc>
        <w:tc>
          <w:tcPr>
            <w:tcW w:w="3065" w:type="dxa"/>
          </w:tcPr>
          <w:p w14:paraId="3C164358" w14:textId="77777777" w:rsidR="00E60B6E" w:rsidRDefault="00E60B6E" w:rsidP="00D86F4D">
            <w:pPr>
              <w:rPr>
                <w:b/>
                <w:u w:val="single"/>
              </w:rPr>
            </w:pPr>
            <w:proofErr w:type="spellStart"/>
            <w:r w:rsidRPr="00853A38">
              <w:rPr>
                <w:rFonts w:ascii="Calibri" w:hAnsi="Calibri" w:cs="Calibri"/>
                <w:color w:val="000000"/>
                <w:shd w:val="clear" w:color="auto" w:fill="FFFFFF"/>
              </w:rPr>
              <w:t>dailyDeathRate</w:t>
            </w:r>
            <w:proofErr w:type="spellEnd"/>
          </w:p>
        </w:tc>
        <w:tc>
          <w:tcPr>
            <w:tcW w:w="1408" w:type="dxa"/>
          </w:tcPr>
          <w:p w14:paraId="3D225A84" w14:textId="77777777" w:rsidR="00E60B6E" w:rsidRDefault="00E60B6E" w:rsidP="00D86F4D">
            <w:pPr>
              <w:rPr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nGridCells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7]</w:t>
            </w:r>
          </w:p>
        </w:tc>
        <w:tc>
          <w:tcPr>
            <w:tcW w:w="4125" w:type="dxa"/>
          </w:tcPr>
          <w:p w14:paraId="69F741BB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Estimated externally - Gridded d</w:t>
            </w:r>
            <w:r w:rsidRPr="00881AB7">
              <w:rPr>
                <w:bCs/>
              </w:rPr>
              <w:t xml:space="preserve">ata on the </w:t>
            </w:r>
            <w:r w:rsidRPr="007006B2">
              <w:rPr>
                <w:bCs/>
              </w:rPr>
              <w:t>daily death rate per day</w:t>
            </w:r>
            <w:r>
              <w:rPr>
                <w:bCs/>
              </w:rPr>
              <w:t xml:space="preserve"> (2011). For all ages and per age group. Estimated:</w:t>
            </w:r>
          </w:p>
          <w:p w14:paraId="4DA1A396" w14:textId="77777777" w:rsidR="00E60B6E" w:rsidRDefault="00E60B6E" w:rsidP="00E60B6E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Unitary Authority (UA) shapefile UK Data Service, 2011 Census boundaries</w:t>
            </w:r>
            <w:r>
              <w:rPr>
                <w:rStyle w:val="FootnoteReference"/>
                <w:bCs/>
              </w:rPr>
              <w:footnoteReference w:id="1"/>
            </w:r>
            <w:r>
              <w:rPr>
                <w:bCs/>
              </w:rPr>
              <w:t xml:space="preserve"> (match boundaries used by UK-SSPs)</w:t>
            </w:r>
          </w:p>
          <w:p w14:paraId="4D0D869C" w14:textId="77777777" w:rsidR="00E60B6E" w:rsidRDefault="00E60B6E" w:rsidP="00E60B6E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Mortality per UA in 2011 ((ONS</w:t>
            </w:r>
            <w:r>
              <w:rPr>
                <w:rStyle w:val="FootnoteReference"/>
                <w:bCs/>
              </w:rPr>
              <w:footnoteReference w:id="2"/>
            </w:r>
            <w:r>
              <w:rPr>
                <w:bCs/>
              </w:rPr>
              <w:t xml:space="preserve"> for England and Wales; </w:t>
            </w:r>
            <w:proofErr w:type="spellStart"/>
            <w:r>
              <w:rPr>
                <w:bCs/>
              </w:rPr>
              <w:t>NRScotland</w:t>
            </w:r>
            <w:proofErr w:type="spellEnd"/>
            <w:r>
              <w:rPr>
                <w:bCs/>
              </w:rPr>
              <w:t xml:space="preserve"> for Scotland</w:t>
            </w:r>
            <w:r>
              <w:rPr>
                <w:rStyle w:val="FootnoteReference"/>
                <w:bCs/>
              </w:rPr>
              <w:footnoteReference w:id="3"/>
            </w:r>
            <w:r>
              <w:rPr>
                <w:bCs/>
              </w:rPr>
              <w:t>; NISRA</w:t>
            </w:r>
            <w:r>
              <w:rPr>
                <w:rStyle w:val="FootnoteReference"/>
                <w:bCs/>
              </w:rPr>
              <w:footnoteReference w:id="4"/>
            </w:r>
            <w:r>
              <w:rPr>
                <w:bCs/>
              </w:rPr>
              <w:t xml:space="preserve"> for NI)</w:t>
            </w:r>
          </w:p>
          <w:p w14:paraId="1AF1F5B3" w14:textId="77777777" w:rsidR="00E60B6E" w:rsidRPr="003E48E2" w:rsidRDefault="00E60B6E" w:rsidP="00D86F4D">
            <w:pPr>
              <w:rPr>
                <w:bCs/>
              </w:rPr>
            </w:pPr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nGridCells</w:t>
            </w:r>
            <w:proofErr w:type="spellEnd"/>
            <w:r>
              <w:rPr>
                <w:bCs/>
              </w:rPr>
              <w:t xml:space="preserve">* </w:t>
            </w:r>
            <w:proofErr w:type="spellStart"/>
            <w:r>
              <w:rPr>
                <w:bCs/>
              </w:rPr>
              <w:t>lon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lat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dailyDeathRate</w:t>
            </w:r>
            <w:proofErr w:type="spellEnd"/>
            <w:r>
              <w:rPr>
                <w:bCs/>
              </w:rPr>
              <w:t>]</w:t>
            </w:r>
          </w:p>
        </w:tc>
      </w:tr>
      <w:tr w:rsidR="00E60B6E" w14:paraId="46166012" w14:textId="77777777" w:rsidTr="00D86F4D">
        <w:tc>
          <w:tcPr>
            <w:tcW w:w="328" w:type="dxa"/>
            <w:shd w:val="clear" w:color="auto" w:fill="E2EFD9" w:themeFill="accent6" w:themeFillTint="33"/>
          </w:tcPr>
          <w:p w14:paraId="6F929F7C" w14:textId="77777777" w:rsidR="00E60B6E" w:rsidRPr="00DF3B7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</w:p>
        </w:tc>
        <w:tc>
          <w:tcPr>
            <w:tcW w:w="3065" w:type="dxa"/>
            <w:shd w:val="clear" w:color="auto" w:fill="auto"/>
          </w:tcPr>
          <w:p w14:paraId="66FD41D8" w14:textId="77777777" w:rsidR="00E60B6E" w:rsidRPr="00DF3B7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GOR_names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1CD3E798" w14:textId="77777777" w:rsidR="00E60B6E" w:rsidRPr="00DF3B7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[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12,1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]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86869D2" w14:textId="77777777" w:rsidR="00E60B6E" w:rsidRPr="00DF3B7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4125" w:type="dxa"/>
            <w:shd w:val="clear" w:color="auto" w:fill="auto"/>
          </w:tcPr>
          <w:p w14:paraId="28B0483A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'East Midlands (England)'</w:t>
            </w:r>
          </w:p>
          <w:p w14:paraId="0DCF8F9F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'East of England'</w:t>
            </w:r>
          </w:p>
          <w:p w14:paraId="6EC5833A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'London'</w:t>
            </w:r>
          </w:p>
          <w:p w14:paraId="2A483851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'North East (England)'</w:t>
            </w:r>
          </w:p>
          <w:p w14:paraId="2FA532CD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'North West (England)'</w:t>
            </w:r>
          </w:p>
          <w:p w14:paraId="6F9A9EDD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'Northern Ireland'</w:t>
            </w:r>
          </w:p>
          <w:p w14:paraId="19CD6D90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'Republic of Ireland'</w:t>
            </w:r>
          </w:p>
          <w:p w14:paraId="78F0E8BA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'Scotland'</w:t>
            </w:r>
          </w:p>
          <w:p w14:paraId="4D1D2958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'South East (England)'</w:t>
            </w:r>
          </w:p>
          <w:p w14:paraId="72C805E2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'South West (England)'</w:t>
            </w:r>
          </w:p>
          <w:p w14:paraId="7E96A509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'Wales'</w:t>
            </w:r>
          </w:p>
          <w:p w14:paraId="744646DF" w14:textId="77777777" w:rsidR="00E60B6E" w:rsidRPr="006A77AD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'West Midlands (England)'</w:t>
            </w:r>
          </w:p>
          <w:p w14:paraId="4719DBE9" w14:textId="77777777" w:rsidR="00E60B6E" w:rsidRDefault="00E60B6E" w:rsidP="00D86F4D">
            <w:pPr>
              <w:rPr>
                <w:b/>
                <w:u w:val="single"/>
              </w:rPr>
            </w:pPr>
            <w:r w:rsidRPr="006A77AD">
              <w:rPr>
                <w:rFonts w:ascii="Calibri" w:hAnsi="Calibri" w:cs="Calibri"/>
                <w:color w:val="000000"/>
                <w:shd w:val="clear" w:color="auto" w:fill="FFFFFF"/>
              </w:rPr>
              <w:t>'Yorkshire and The Humber'</w:t>
            </w:r>
          </w:p>
        </w:tc>
      </w:tr>
      <w:tr w:rsidR="00E60B6E" w14:paraId="0CC9B8A3" w14:textId="77777777" w:rsidTr="00D86F4D">
        <w:tc>
          <w:tcPr>
            <w:tcW w:w="328" w:type="dxa"/>
            <w:shd w:val="clear" w:color="auto" w:fill="E2EFD9" w:themeFill="accent6" w:themeFillTint="33"/>
          </w:tcPr>
          <w:p w14:paraId="637077FD" w14:textId="77777777" w:rsidR="00E60B6E" w:rsidRPr="00C31899" w:rsidRDefault="00E60B6E" w:rsidP="00D86F4D">
            <w:pPr>
              <w:rPr>
                <w:bCs/>
              </w:rPr>
            </w:pPr>
            <w:r w:rsidRPr="00C31899">
              <w:rPr>
                <w:bCs/>
              </w:rPr>
              <w:lastRenderedPageBreak/>
              <w:t>4</w:t>
            </w:r>
          </w:p>
        </w:tc>
        <w:tc>
          <w:tcPr>
            <w:tcW w:w="3065" w:type="dxa"/>
          </w:tcPr>
          <w:p w14:paraId="6CB822DD" w14:textId="1E6DADDC" w:rsidR="00E60B6E" w:rsidRPr="00C31899" w:rsidRDefault="00E60B6E" w:rsidP="00D86F4D">
            <w:pPr>
              <w:rPr>
                <w:bCs/>
              </w:rPr>
            </w:pPr>
            <w:r w:rsidRPr="00C31899">
              <w:rPr>
                <w:bCs/>
              </w:rPr>
              <w:t>Population</w:t>
            </w:r>
            <w:r>
              <w:rPr>
                <w:bCs/>
              </w:rPr>
              <w:t xml:space="preserve"> (per age group)</w:t>
            </w:r>
          </w:p>
        </w:tc>
        <w:tc>
          <w:tcPr>
            <w:tcW w:w="1408" w:type="dxa"/>
          </w:tcPr>
          <w:p w14:paraId="6F1E5F16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n</w:t>
            </w:r>
            <w:r>
              <w:rPr>
                <w:bCs/>
              </w:rPr>
              <w:t>ClimScen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  <w:p w14:paraId="7B32B0EC" w14:textId="6EED0154" w:rsidR="00E60B6E" w:rsidRDefault="00E60B6E" w:rsidP="00D86F4D">
            <w:pPr>
              <w:rPr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nGridCells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]</w:t>
            </w:r>
          </w:p>
        </w:tc>
        <w:tc>
          <w:tcPr>
            <w:tcW w:w="4125" w:type="dxa"/>
          </w:tcPr>
          <w:p w14:paraId="62BA3728" w14:textId="2EB6E3DF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Estimated externally – UK 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Population data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(all ages)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uses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2011 census-based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UK 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gridded data (1km)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Source: Reis, S. et al.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(2017) https://doi.org/10.5285/0995e94d-6d42-40c1-8ed4-5090d82471e1 </w:t>
            </w:r>
          </w:p>
          <w:p w14:paraId="1CE2E94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81B0F6C" w14:textId="6E3BAD6C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ridded data from UK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-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SSPs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SSP5 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for future projections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population (all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ages)</w:t>
            </w:r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(</w:t>
            </w:r>
            <w:proofErr w:type="gramEnd"/>
            <w:r w:rsidRPr="00DF3B7C">
              <w:rPr>
                <w:rFonts w:ascii="Calibri" w:hAnsi="Calibri" w:cs="Calibri"/>
                <w:color w:val="000000"/>
                <w:shd w:val="clear" w:color="auto" w:fill="FFFFFF"/>
              </w:rPr>
              <w:t>1km)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02790991" w14:textId="7870A091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3CCD0EB" w14:textId="4B8A5DB3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bCs/>
              </w:rPr>
              <w:t>P</w:t>
            </w:r>
            <w:r>
              <w:rPr>
                <w:bCs/>
              </w:rPr>
              <w:t>opulation data per age group was only available from the 2011 UK ONS census and UK-SSPs database at the Local Authority District (LAD) level (389 units).</w:t>
            </w:r>
            <w:r>
              <w:rPr>
                <w:bCs/>
              </w:rPr>
              <w:t xml:space="preserve"> Used to estimate population per age group at 1km and 12km.</w:t>
            </w:r>
          </w:p>
          <w:p w14:paraId="512B6D89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A160FAB" w14:textId="08F9FD14" w:rsidR="00E60B6E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nGridCells</w:t>
            </w:r>
            <w:proofErr w:type="spellEnd"/>
            <w:r>
              <w:rPr>
                <w:bCs/>
              </w:rPr>
              <w:t xml:space="preserve">* </w:t>
            </w:r>
            <w:proofErr w:type="spellStart"/>
            <w:r>
              <w:rPr>
                <w:bCs/>
              </w:rPr>
              <w:t>lon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lat</w:t>
            </w:r>
            <w:proofErr w:type="spellEnd"/>
            <w:r>
              <w:rPr>
                <w:bCs/>
              </w:rPr>
              <w:t xml:space="preserve">, population </w:t>
            </w:r>
            <w:proofErr w:type="spellStart"/>
            <w:r>
              <w:rPr>
                <w:bCs/>
              </w:rPr>
              <w:t>all_ages</w:t>
            </w:r>
            <w:proofErr w:type="spellEnd"/>
            <w:r>
              <w:rPr>
                <w:bCs/>
              </w:rPr>
              <w:t>; 0-64; 65-74; 75-84; 85+</w:t>
            </w:r>
            <w:r>
              <w:rPr>
                <w:bCs/>
              </w:rPr>
              <w:t>]</w:t>
            </w:r>
          </w:p>
          <w:p w14:paraId="0B63C002" w14:textId="77777777" w:rsidR="00E60B6E" w:rsidRPr="00BF1FF9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nClimScen</w:t>
            </w:r>
            <w:proofErr w:type="spellEnd"/>
            <w:r>
              <w:rPr>
                <w:bCs/>
              </w:rPr>
              <w:t xml:space="preserve"> = 4 climate scenarios (BL, 2020s, 2030s, 2050s)</w:t>
            </w:r>
          </w:p>
        </w:tc>
      </w:tr>
      <w:tr w:rsidR="00E60B6E" w14:paraId="70781E48" w14:textId="77777777" w:rsidTr="00D86F4D">
        <w:tc>
          <w:tcPr>
            <w:tcW w:w="328" w:type="dxa"/>
            <w:shd w:val="clear" w:color="auto" w:fill="E2EFD9" w:themeFill="accent6" w:themeFillTint="33"/>
          </w:tcPr>
          <w:p w14:paraId="31BD09A0" w14:textId="77777777" w:rsidR="00E60B6E" w:rsidRPr="00C31899" w:rsidRDefault="00E60B6E" w:rsidP="00D86F4D">
            <w:pPr>
              <w:rPr>
                <w:bCs/>
              </w:rPr>
            </w:pPr>
          </w:p>
        </w:tc>
        <w:tc>
          <w:tcPr>
            <w:tcW w:w="3065" w:type="dxa"/>
          </w:tcPr>
          <w:p w14:paraId="3C2712BF" w14:textId="77777777" w:rsidR="00E60B6E" w:rsidRPr="00C31899" w:rsidRDefault="00E60B6E" w:rsidP="00D86F4D">
            <w:pPr>
              <w:rPr>
                <w:bCs/>
              </w:rPr>
            </w:pPr>
            <w:proofErr w:type="spellStart"/>
            <w:r>
              <w:rPr>
                <w:bCs/>
              </w:rPr>
              <w:t>Population_aggregate</w:t>
            </w:r>
            <w:proofErr w:type="spellEnd"/>
          </w:p>
        </w:tc>
        <w:tc>
          <w:tcPr>
            <w:tcW w:w="1408" w:type="dxa"/>
          </w:tcPr>
          <w:p w14:paraId="4206F823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[5,4]</w:t>
            </w:r>
          </w:p>
        </w:tc>
        <w:tc>
          <w:tcPr>
            <w:tcW w:w="4125" w:type="dxa"/>
          </w:tcPr>
          <w:p w14:paraId="206A2CE2" w14:textId="77777777" w:rsidR="00E60B6E" w:rsidRPr="0082131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F</w:t>
            </w:r>
            <w:r w:rsidRPr="0082131C">
              <w:rPr>
                <w:rFonts w:ascii="Calibri" w:hAnsi="Calibri" w:cs="Calibri"/>
                <w:color w:val="000000"/>
                <w:shd w:val="clear" w:color="auto" w:fill="FFFFFF"/>
              </w:rPr>
              <w:t>or each climate scenario (columns)</w:t>
            </w:r>
          </w:p>
          <w:p w14:paraId="2448AF99" w14:textId="77777777" w:rsidR="00E60B6E" w:rsidRPr="0082131C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2131C">
              <w:rPr>
                <w:rFonts w:ascii="Calibri" w:hAnsi="Calibri" w:cs="Calibri"/>
                <w:color w:val="000000"/>
                <w:shd w:val="clear" w:color="auto" w:fill="FFFFFF"/>
              </w:rPr>
              <w:t>gives the aggregate UK population and split by age groups (rows).</w:t>
            </w:r>
          </w:p>
          <w:p w14:paraId="13853DBA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99DC46F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For Near Past data source as above. Data per LA from 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UK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-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SSPs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SSP5 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for future projections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split per age group (demographics) gridded to 12km.</w:t>
            </w:r>
          </w:p>
          <w:p w14:paraId="3485DB8C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E446234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Used to calculate additional heat related deaths per 100,000 population for all ages and each age group.</w:t>
            </w:r>
          </w:p>
        </w:tc>
      </w:tr>
      <w:tr w:rsidR="00E60B6E" w14:paraId="772E81D6" w14:textId="77777777" w:rsidTr="00D86F4D">
        <w:tc>
          <w:tcPr>
            <w:tcW w:w="328" w:type="dxa"/>
            <w:shd w:val="clear" w:color="auto" w:fill="E2EFD9" w:themeFill="accent6" w:themeFillTint="33"/>
          </w:tcPr>
          <w:p w14:paraId="4B2EB59A" w14:textId="77777777" w:rsidR="00E60B6E" w:rsidRPr="00C31899" w:rsidRDefault="00E60B6E" w:rsidP="00D86F4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065" w:type="dxa"/>
          </w:tcPr>
          <w:p w14:paraId="59F9C21D" w14:textId="77777777" w:rsidR="00E60B6E" w:rsidRPr="00C31899" w:rsidRDefault="00E60B6E" w:rsidP="00D86F4D">
            <w:pPr>
              <w:rPr>
                <w:bCs/>
              </w:rPr>
            </w:pPr>
            <w:proofErr w:type="spellStart"/>
            <w:r>
              <w:rPr>
                <w:bCs/>
              </w:rPr>
              <w:t>Age_group</w:t>
            </w:r>
            <w:proofErr w:type="spellEnd"/>
          </w:p>
        </w:tc>
        <w:tc>
          <w:tcPr>
            <w:tcW w:w="1408" w:type="dxa"/>
          </w:tcPr>
          <w:p w14:paraId="5D98C553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[5,1]</w:t>
            </w:r>
          </w:p>
        </w:tc>
        <w:tc>
          <w:tcPr>
            <w:tcW w:w="4125" w:type="dxa"/>
          </w:tcPr>
          <w:p w14:paraId="48D6E57B" w14:textId="77777777" w:rsidR="00E60B6E" w:rsidRPr="00BF2E61" w:rsidRDefault="00E60B6E" w:rsidP="00D86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Description of the age group classes used </w:t>
            </w:r>
            <w:r w:rsidRPr="00D47AC6">
              <w:rPr>
                <w:rFonts w:ascii="Calibri" w:hAnsi="Calibri" w:cs="Calibri"/>
                <w:color w:val="000000"/>
                <w:shd w:val="clear" w:color="auto" w:fill="FFFFFF"/>
              </w:rPr>
              <w:t>['All';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47AC6">
              <w:rPr>
                <w:rFonts w:ascii="Calibri" w:hAnsi="Calibri" w:cs="Calibri"/>
                <w:color w:val="000000"/>
                <w:shd w:val="clear" w:color="auto" w:fill="FFFFFF"/>
              </w:rPr>
              <w:t>'0-64';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47AC6">
              <w:rPr>
                <w:rFonts w:ascii="Calibri" w:hAnsi="Calibri" w:cs="Calibri"/>
                <w:color w:val="000000"/>
                <w:shd w:val="clear" w:color="auto" w:fill="FFFFFF"/>
              </w:rPr>
              <w:t>'65-74';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47AC6">
              <w:rPr>
                <w:rFonts w:ascii="Calibri" w:hAnsi="Calibri" w:cs="Calibri"/>
                <w:color w:val="000000"/>
                <w:shd w:val="clear" w:color="auto" w:fill="FFFFFF"/>
              </w:rPr>
              <w:t>'75-84';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47AC6">
              <w:rPr>
                <w:rFonts w:ascii="Calibri" w:hAnsi="Calibri" w:cs="Calibri"/>
                <w:color w:val="000000"/>
                <w:shd w:val="clear" w:color="auto" w:fill="FFFFFF"/>
              </w:rPr>
              <w:t>'85+']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Based on </w:t>
            </w:r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Vardoulakis et al., (2014) and </w:t>
            </w:r>
            <w:proofErr w:type="spellStart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>Hajat</w:t>
            </w:r>
            <w:proofErr w:type="spellEnd"/>
            <w:r w:rsidRPr="008D179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et al., (2014)</w:t>
            </w:r>
          </w:p>
        </w:tc>
      </w:tr>
      <w:tr w:rsidR="00E60B6E" w14:paraId="5891F198" w14:textId="77777777" w:rsidTr="00D86F4D">
        <w:tc>
          <w:tcPr>
            <w:tcW w:w="328" w:type="dxa"/>
            <w:shd w:val="clear" w:color="auto" w:fill="auto"/>
          </w:tcPr>
          <w:p w14:paraId="4E37ECFF" w14:textId="77777777" w:rsidR="00E60B6E" w:rsidRDefault="00E60B6E" w:rsidP="00D86F4D">
            <w:pPr>
              <w:rPr>
                <w:bCs/>
              </w:rPr>
            </w:pPr>
          </w:p>
        </w:tc>
        <w:tc>
          <w:tcPr>
            <w:tcW w:w="8598" w:type="dxa"/>
            <w:gridSpan w:val="3"/>
          </w:tcPr>
          <w:p w14:paraId="528BCF06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Read into model from local folder path…</w:t>
            </w:r>
          </w:p>
        </w:tc>
      </w:tr>
      <w:tr w:rsidR="00E60B6E" w14:paraId="22BAD86D" w14:textId="77777777" w:rsidTr="00D86F4D">
        <w:tc>
          <w:tcPr>
            <w:tcW w:w="328" w:type="dxa"/>
            <w:shd w:val="clear" w:color="auto" w:fill="E2EFD9" w:themeFill="accent6" w:themeFillTint="33"/>
          </w:tcPr>
          <w:p w14:paraId="71EE3AF1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065" w:type="dxa"/>
          </w:tcPr>
          <w:p w14:paraId="5B5830E0" w14:textId="77777777" w:rsidR="00E60B6E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7F456A">
              <w:rPr>
                <w:bCs/>
              </w:rPr>
              <w:t>ARCADIA_land_RCM_raw_past</w:t>
            </w:r>
            <w:proofErr w:type="spellEnd"/>
          </w:p>
          <w:p w14:paraId="6157EEFE" w14:textId="77777777" w:rsidR="00E60B6E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ARCADIA_land_RCM_raw_1_5C</w:t>
            </w:r>
          </w:p>
          <w:p w14:paraId="05787C84" w14:textId="77777777" w:rsidR="00E60B6E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ARCADIA_land_RCM_raw_2_0C</w:t>
            </w:r>
          </w:p>
          <w:p w14:paraId="7A4D7930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ARCADIA_land_RCM_raw_3_0C</w:t>
            </w:r>
          </w:p>
          <w:p w14:paraId="092F3135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</w:p>
          <w:p w14:paraId="727F8103" w14:textId="77777777" w:rsidR="00E60B6E" w:rsidRDefault="00E60B6E" w:rsidP="00D86F4D">
            <w:pPr>
              <w:rPr>
                <w:bCs/>
              </w:rPr>
            </w:pPr>
          </w:p>
        </w:tc>
        <w:tc>
          <w:tcPr>
            <w:tcW w:w="1408" w:type="dxa"/>
          </w:tcPr>
          <w:p w14:paraId="20854A3A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{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nGridCells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  <w:p w14:paraId="347D498B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(12, 14800)</w:t>
            </w:r>
          </w:p>
        </w:tc>
        <w:tc>
          <w:tcPr>
            <w:tcW w:w="4125" w:type="dxa"/>
          </w:tcPr>
          <w:p w14:paraId="457B355C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.csv files of daily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TMean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(one per grid cell) from Bristol HEAT model</w:t>
            </w:r>
            <w:bookmarkStart w:id="0" w:name="_Hlk78536612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based on UKCP18 data. </w:t>
            </w:r>
            <w:bookmarkEnd w:id="0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These are read in,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saved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used for mortality calculations. Grid coordinates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 xml:space="preserve">also extracted from file names to provide grid ID for mapping based on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lat_UK_RCM.mat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long_UK_RCM.mat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E60B6E" w14:paraId="2BB599B5" w14:textId="77777777" w:rsidTr="00D86F4D">
        <w:tc>
          <w:tcPr>
            <w:tcW w:w="328" w:type="dxa"/>
            <w:shd w:val="clear" w:color="auto" w:fill="E2EFD9" w:themeFill="accent6" w:themeFillTint="33"/>
          </w:tcPr>
          <w:p w14:paraId="750D8471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lastRenderedPageBreak/>
              <w:t>8</w:t>
            </w:r>
          </w:p>
        </w:tc>
        <w:tc>
          <w:tcPr>
            <w:tcW w:w="3065" w:type="dxa"/>
          </w:tcPr>
          <w:p w14:paraId="229EE1C2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lat_UK_RCM.mat</w:t>
            </w:r>
            <w:proofErr w:type="spellEnd"/>
          </w:p>
        </w:tc>
        <w:tc>
          <w:tcPr>
            <w:tcW w:w="1408" w:type="dxa"/>
          </w:tcPr>
          <w:p w14:paraId="444788F2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[82,112]</w:t>
            </w:r>
          </w:p>
        </w:tc>
        <w:tc>
          <w:tcPr>
            <w:tcW w:w="4125" w:type="dxa"/>
          </w:tcPr>
          <w:p w14:paraId="075D91F8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From Bristol HEAT model, these are read in and provide latitude based on coordinate given in file names from 7 above. Saved 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gridID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E60B6E" w14:paraId="76668B07" w14:textId="77777777" w:rsidTr="00D86F4D">
        <w:tc>
          <w:tcPr>
            <w:tcW w:w="328" w:type="dxa"/>
            <w:shd w:val="clear" w:color="auto" w:fill="E2EFD9" w:themeFill="accent6" w:themeFillTint="33"/>
          </w:tcPr>
          <w:p w14:paraId="70D67A96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065" w:type="dxa"/>
          </w:tcPr>
          <w:p w14:paraId="6F29B16B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long_UK_RCM.mat</w:t>
            </w:r>
            <w:proofErr w:type="spellEnd"/>
          </w:p>
        </w:tc>
        <w:tc>
          <w:tcPr>
            <w:tcW w:w="1408" w:type="dxa"/>
          </w:tcPr>
          <w:p w14:paraId="2D88497D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[82,112]</w:t>
            </w:r>
          </w:p>
        </w:tc>
        <w:tc>
          <w:tcPr>
            <w:tcW w:w="4125" w:type="dxa"/>
          </w:tcPr>
          <w:p w14:paraId="6077FE6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Bristol HEAT model, these are read in and provide longitude based on coordinate given in file names from 7 above. Saved 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gridID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</w:tbl>
    <w:p w14:paraId="56F089CC" w14:textId="77777777" w:rsidR="00E60B6E" w:rsidRDefault="00E60B6E" w:rsidP="00E60B6E">
      <w:pPr>
        <w:rPr>
          <w:b/>
          <w:u w:val="single"/>
        </w:rPr>
      </w:pPr>
    </w:p>
    <w:p w14:paraId="64E3337E" w14:textId="7777777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Model parameters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8"/>
        <w:gridCol w:w="2996"/>
        <w:gridCol w:w="1416"/>
        <w:gridCol w:w="4186"/>
      </w:tblGrid>
      <w:tr w:rsidR="00E60B6E" w14:paraId="7C70D0DF" w14:textId="77777777" w:rsidTr="00D86F4D">
        <w:tc>
          <w:tcPr>
            <w:tcW w:w="328" w:type="dxa"/>
            <w:shd w:val="clear" w:color="auto" w:fill="E2EFD9" w:themeFill="accent6" w:themeFillTint="33"/>
          </w:tcPr>
          <w:p w14:paraId="7B3B678C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996" w:type="dxa"/>
          </w:tcPr>
          <w:p w14:paraId="310072F3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daysPerYear</w:t>
            </w:r>
            <w:proofErr w:type="spellEnd"/>
          </w:p>
        </w:tc>
        <w:tc>
          <w:tcPr>
            <w:tcW w:w="1416" w:type="dxa"/>
          </w:tcPr>
          <w:p w14:paraId="7946AF50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360/365</w:t>
            </w:r>
          </w:p>
        </w:tc>
        <w:tc>
          <w:tcPr>
            <w:tcW w:w="4186" w:type="dxa"/>
          </w:tcPr>
          <w:p w14:paraId="27C08481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UKCP18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raw data </w:t>
            </w:r>
            <w:r w:rsidRPr="005D41E6">
              <w:rPr>
                <w:rFonts w:ascii="Calibri" w:hAnsi="Calibri" w:cs="Calibri"/>
                <w:color w:val="000000"/>
                <w:shd w:val="clear" w:color="auto" w:fill="FFFFFF"/>
              </w:rPr>
              <w:t>has 360 days per year (30 days per month)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</w:p>
          <w:p w14:paraId="1FA806D5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C1AD52D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Bias corrected data has 365 day per year as it uses Gregorian calendar and includes leap years (removed in code to keep year length uniform).</w:t>
            </w:r>
          </w:p>
        </w:tc>
      </w:tr>
      <w:tr w:rsidR="00E60B6E" w14:paraId="27AA6615" w14:textId="77777777" w:rsidTr="00D86F4D">
        <w:tc>
          <w:tcPr>
            <w:tcW w:w="328" w:type="dxa"/>
            <w:shd w:val="clear" w:color="auto" w:fill="E2EFD9" w:themeFill="accent6" w:themeFillTint="33"/>
          </w:tcPr>
          <w:p w14:paraId="0F09FDB1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996" w:type="dxa"/>
          </w:tcPr>
          <w:p w14:paraId="0D561A63" w14:textId="77777777" w:rsidR="00E60B6E" w:rsidRPr="007F456A" w:rsidRDefault="00E60B6E" w:rsidP="00D86F4D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adaptScen</w:t>
            </w:r>
            <w:proofErr w:type="spellEnd"/>
          </w:p>
        </w:tc>
        <w:tc>
          <w:tcPr>
            <w:tcW w:w="1416" w:type="dxa"/>
          </w:tcPr>
          <w:p w14:paraId="3B3F0C73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</w:p>
        </w:tc>
        <w:tc>
          <w:tcPr>
            <w:tcW w:w="4186" w:type="dxa"/>
          </w:tcPr>
          <w:p w14:paraId="7CCD725D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Used to calculate results for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hypothetical adaptation in the form of 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acclimatisation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by 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adjusting </w:t>
            </w:r>
            <w:proofErr w:type="spellStart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MortalityThreshold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 This defines three scenarios the user can currently test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: </w:t>
            </w:r>
          </w:p>
          <w:p w14:paraId="70A94AC6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9A68AD6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o Adaptation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= </w:t>
            </w:r>
            <w:proofErr w:type="gramStart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1;</w:t>
            </w:r>
            <w:proofErr w:type="gramEnd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52905C9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Adaptation +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= </w:t>
            </w:r>
            <w:proofErr w:type="gramStart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2;</w:t>
            </w:r>
            <w:proofErr w:type="gramEnd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CFEC4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Adaptation ++ 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=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60A73362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96B122B" w14:textId="77777777" w:rsidR="00E60B6E" w:rsidRPr="00ED1B62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values are set 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adaptIncrement</w:t>
            </w:r>
            <w:proofErr w:type="spellEnd"/>
          </w:p>
          <w:p w14:paraId="6BA4ADBF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60B6E" w14:paraId="46E118D7" w14:textId="77777777" w:rsidTr="00D86F4D">
        <w:tc>
          <w:tcPr>
            <w:tcW w:w="328" w:type="dxa"/>
            <w:shd w:val="clear" w:color="auto" w:fill="E2EFD9" w:themeFill="accent6" w:themeFillTint="33"/>
          </w:tcPr>
          <w:p w14:paraId="4F1B0A78" w14:textId="77777777" w:rsidR="00E60B6E" w:rsidRDefault="00E60B6E" w:rsidP="00D86F4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996" w:type="dxa"/>
          </w:tcPr>
          <w:p w14:paraId="5B6D8B7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socioEcScen</w:t>
            </w:r>
            <w:proofErr w:type="spellEnd"/>
          </w:p>
        </w:tc>
        <w:tc>
          <w:tcPr>
            <w:tcW w:w="1416" w:type="dxa"/>
          </w:tcPr>
          <w:p w14:paraId="148B2C78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</w:p>
        </w:tc>
        <w:tc>
          <w:tcPr>
            <w:tcW w:w="4186" w:type="dxa"/>
          </w:tcPr>
          <w:p w14:paraId="3A35B6D5" w14:textId="77777777" w:rsidR="00E60B6E" w:rsidRPr="00ED1B62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Defines number of runs that have been set up to capture different socio-economic scenarios. Currently 2: Climate change only and climate change and socio-economic change in the form of changes in population.</w:t>
            </w:r>
          </w:p>
          <w:p w14:paraId="39B3EEE8" w14:textId="77777777" w:rsidR="00E60B6E" w:rsidRPr="00ED1B62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4482D2C9" w14:textId="77777777" w:rsidR="00E60B6E" w:rsidRDefault="00E60B6E" w:rsidP="00E60B6E">
      <w:pPr>
        <w:rPr>
          <w:b/>
          <w:u w:val="single"/>
        </w:rPr>
      </w:pPr>
    </w:p>
    <w:p w14:paraId="69DD4B53" w14:textId="7777777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User defined parameters that can be changed in model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8"/>
        <w:gridCol w:w="2996"/>
        <w:gridCol w:w="1416"/>
        <w:gridCol w:w="4186"/>
      </w:tblGrid>
      <w:tr w:rsidR="00E60B6E" w14:paraId="1EF7F31B" w14:textId="77777777" w:rsidTr="00D86F4D">
        <w:tc>
          <w:tcPr>
            <w:tcW w:w="328" w:type="dxa"/>
            <w:shd w:val="clear" w:color="auto" w:fill="E2EFD9" w:themeFill="accent6" w:themeFillTint="33"/>
          </w:tcPr>
          <w:p w14:paraId="699F94FA" w14:textId="77777777" w:rsidR="00E60B6E" w:rsidRPr="006F5377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F5377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</w:p>
        </w:tc>
        <w:tc>
          <w:tcPr>
            <w:tcW w:w="2996" w:type="dxa"/>
          </w:tcPr>
          <w:p w14:paraId="2A233541" w14:textId="77777777" w:rsidR="00E60B6E" w:rsidRPr="006F5377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6F5377">
              <w:rPr>
                <w:rFonts w:ascii="Calibri" w:hAnsi="Calibri" w:cs="Calibri"/>
                <w:color w:val="000000"/>
                <w:shd w:val="clear" w:color="auto" w:fill="FFFFFF"/>
              </w:rPr>
              <w:t>BiasCorrected</w:t>
            </w:r>
            <w:proofErr w:type="spellEnd"/>
          </w:p>
        </w:tc>
        <w:tc>
          <w:tcPr>
            <w:tcW w:w="1416" w:type="dxa"/>
          </w:tcPr>
          <w:p w14:paraId="23BED0D0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[0 or 1]</w:t>
            </w:r>
          </w:p>
        </w:tc>
        <w:tc>
          <w:tcPr>
            <w:tcW w:w="4186" w:type="dxa"/>
          </w:tcPr>
          <w:p w14:paraId="6A5D790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User can define whether to run raw or bias corrected data by selecting 0 (Raw) or 1 (Bias corrected).</w:t>
            </w:r>
          </w:p>
        </w:tc>
      </w:tr>
      <w:tr w:rsidR="00E60B6E" w14:paraId="1324D4C5" w14:textId="77777777" w:rsidTr="00D86F4D">
        <w:tc>
          <w:tcPr>
            <w:tcW w:w="328" w:type="dxa"/>
            <w:shd w:val="clear" w:color="auto" w:fill="E2EFD9" w:themeFill="accent6" w:themeFillTint="33"/>
          </w:tcPr>
          <w:p w14:paraId="2936212F" w14:textId="77777777" w:rsidR="00E60B6E" w:rsidRPr="006F5377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F5377"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</w:p>
        </w:tc>
        <w:tc>
          <w:tcPr>
            <w:tcW w:w="2996" w:type="dxa"/>
          </w:tcPr>
          <w:p w14:paraId="1CA3E1C4" w14:textId="77777777" w:rsidR="00E60B6E" w:rsidRPr="006F5377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6F5377">
              <w:rPr>
                <w:rFonts w:ascii="Calibri" w:hAnsi="Calibri" w:cs="Calibri"/>
                <w:color w:val="000000"/>
                <w:shd w:val="clear" w:color="auto" w:fill="FFFFFF"/>
              </w:rPr>
              <w:t>adaptIncrement</w:t>
            </w:r>
            <w:proofErr w:type="spellEnd"/>
          </w:p>
        </w:tc>
        <w:tc>
          <w:tcPr>
            <w:tcW w:w="1416" w:type="dxa"/>
          </w:tcPr>
          <w:p w14:paraId="5618DFF0" w14:textId="77777777" w:rsidR="00E60B6E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F5377">
              <w:rPr>
                <w:rFonts w:ascii="Calibri" w:hAnsi="Calibri" w:cs="Calibri"/>
                <w:color w:val="000000"/>
                <w:shd w:val="clear" w:color="auto" w:fill="FFFFFF"/>
              </w:rPr>
              <w:t>[0,1,2]</w:t>
            </w:r>
          </w:p>
        </w:tc>
        <w:tc>
          <w:tcPr>
            <w:tcW w:w="4186" w:type="dxa"/>
          </w:tcPr>
          <w:p w14:paraId="1353DBD2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User can define how </w:t>
            </w:r>
            <w:proofErr w:type="spellStart"/>
            <w:r w:rsidRPr="00ED1B62">
              <w:rPr>
                <w:rFonts w:ascii="Calibri" w:hAnsi="Calibri" w:cs="Calibri"/>
                <w:color w:val="000000"/>
                <w:shd w:val="clear" w:color="auto" w:fill="FFFFFF"/>
              </w:rPr>
              <w:t>MortalityThreshold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will be adjusted to account for adaptation in the form of natural acclimatisation. The number of scenario options are set by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adaptScen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The values for each scenario are set here, in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 xml:space="preserve">this case no adaptation (no change), adjusting the mortality threshold by </w:t>
            </w:r>
            <w:r>
              <w:t>1</w:t>
            </w:r>
            <w:r w:rsidRPr="00437E5C">
              <w:t>°</w:t>
            </w:r>
            <w:r>
              <w:t>C and adjusting the mortality threshold by 2</w:t>
            </w:r>
            <w:r w:rsidRPr="00437E5C">
              <w:t>°</w:t>
            </w:r>
            <w:r>
              <w:t>C.</w:t>
            </w:r>
          </w:p>
        </w:tc>
      </w:tr>
      <w:tr w:rsidR="00E60B6E" w14:paraId="6F22BAB9" w14:textId="77777777" w:rsidTr="00D86F4D">
        <w:tc>
          <w:tcPr>
            <w:tcW w:w="328" w:type="dxa"/>
            <w:shd w:val="clear" w:color="auto" w:fill="E2EFD9" w:themeFill="accent6" w:themeFillTint="33"/>
          </w:tcPr>
          <w:p w14:paraId="07033601" w14:textId="77777777" w:rsidR="00E60B6E" w:rsidRPr="006F5377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996" w:type="dxa"/>
          </w:tcPr>
          <w:p w14:paraId="213B6CD4" w14:textId="77777777" w:rsidR="00E60B6E" w:rsidRPr="00D353B9" w:rsidRDefault="00E60B6E" w:rsidP="00D86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353B9">
              <w:rPr>
                <w:rFonts w:ascii="Calibri" w:hAnsi="Calibri" w:cs="Calibri"/>
                <w:color w:val="000000"/>
                <w:shd w:val="clear" w:color="auto" w:fill="FFFFFF"/>
              </w:rPr>
              <w:t>impactMetric</w:t>
            </w:r>
            <w:proofErr w:type="spellEnd"/>
          </w:p>
        </w:tc>
        <w:tc>
          <w:tcPr>
            <w:tcW w:w="1416" w:type="dxa"/>
          </w:tcPr>
          <w:p w14:paraId="7FCAB7C9" w14:textId="77777777" w:rsidR="00E60B6E" w:rsidRPr="006F5377" w:rsidRDefault="00E60B6E" w:rsidP="00D86F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[1,2….]</w:t>
            </w:r>
          </w:p>
        </w:tc>
        <w:tc>
          <w:tcPr>
            <w:tcW w:w="4186" w:type="dxa"/>
          </w:tcPr>
          <w:p w14:paraId="1EF991C2" w14:textId="46B08FC5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1 =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Runs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Mortality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calculations</w:t>
            </w:r>
          </w:p>
          <w:p w14:paraId="40B594D0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2 =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Runs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Labour productivity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calculations</w:t>
            </w:r>
          </w:p>
          <w:p w14:paraId="4BEC833F" w14:textId="77777777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7597D24" w14:textId="099F57DC" w:rsidR="00E60B6E" w:rsidRDefault="00E60B6E" w:rsidP="00D86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E60B6E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Tbd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-Add more and option to ‘run all’.</w:t>
            </w:r>
          </w:p>
        </w:tc>
      </w:tr>
    </w:tbl>
    <w:p w14:paraId="22623396" w14:textId="77777777" w:rsidR="00E60B6E" w:rsidRDefault="00E60B6E" w:rsidP="00E60B6E">
      <w:pPr>
        <w:rPr>
          <w:b/>
          <w:u w:val="single"/>
        </w:rPr>
      </w:pPr>
    </w:p>
    <w:p w14:paraId="3A833854" w14:textId="5BD61A6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TBD: Add table for Labour productivity as above….</w:t>
      </w:r>
    </w:p>
    <w:p w14:paraId="2C61B605" w14:textId="7648C99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Input data</w:t>
      </w:r>
    </w:p>
    <w:p w14:paraId="3B909DF5" w14:textId="77777777" w:rsidR="00E60B6E" w:rsidRPr="005431B2" w:rsidRDefault="00E60B6E" w:rsidP="00E60B6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proofErr w:type="spellStart"/>
      <w:r w:rsidRPr="005431B2">
        <w:rPr>
          <w:rFonts w:ascii="Calibri" w:hAnsi="Calibri" w:cs="Calibri"/>
          <w:color w:val="000000"/>
          <w:shd w:val="clear" w:color="auto" w:fill="FFFFFF"/>
        </w:rPr>
        <w:t>Labour_productivity_ERFs</w:t>
      </w:r>
      <w:proofErr w:type="spellEnd"/>
    </w:p>
    <w:p w14:paraId="36088610" w14:textId="40FA4C2B" w:rsidR="00E60B6E" w:rsidRDefault="00E60B6E" w:rsidP="00E60B6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proofErr w:type="spellStart"/>
      <w:r w:rsidRPr="005431B2">
        <w:rPr>
          <w:rFonts w:ascii="Calibri" w:hAnsi="Calibri" w:cs="Calibri"/>
          <w:color w:val="000000"/>
          <w:shd w:val="clear" w:color="auto" w:fill="FFFFFF"/>
        </w:rPr>
        <w:t>Labour_productivity_ERFs_acc</w:t>
      </w:r>
      <w:proofErr w:type="spellEnd"/>
    </w:p>
    <w:p w14:paraId="5D48DEC4" w14:textId="2B02E78C" w:rsidR="00E60B6E" w:rsidRPr="005431B2" w:rsidRDefault="00E60B6E" w:rsidP="00E60B6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Work Intensity</w:t>
      </w:r>
    </w:p>
    <w:p w14:paraId="000BE749" w14:textId="77777777" w:rsidR="00E60B6E" w:rsidRDefault="00E60B6E" w:rsidP="00E60B6E">
      <w:pPr>
        <w:rPr>
          <w:b/>
          <w:u w:val="single"/>
        </w:rPr>
      </w:pPr>
      <w:r>
        <w:rPr>
          <w:b/>
          <w:u w:val="single"/>
        </w:rPr>
        <w:t>User defined:</w:t>
      </w:r>
    </w:p>
    <w:p w14:paraId="63B49C55" w14:textId="77777777" w:rsidR="00E60B6E" w:rsidRPr="005431B2" w:rsidRDefault="00E60B6E" w:rsidP="00E60B6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5431B2">
        <w:rPr>
          <w:rFonts w:ascii="Calibri" w:hAnsi="Calibri" w:cs="Calibri"/>
          <w:color w:val="000000"/>
          <w:shd w:val="clear" w:color="auto" w:fill="FFFFFF"/>
        </w:rPr>
        <w:t>Acclimatised [0 or 1]</w:t>
      </w:r>
    </w:p>
    <w:p w14:paraId="71D1F1CC" w14:textId="77777777" w:rsidR="005B7AEA" w:rsidRDefault="005B7AEA"/>
    <w:sectPr w:rsidR="005B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15A3" w14:textId="77777777" w:rsidR="00E60B6E" w:rsidRDefault="00E60B6E" w:rsidP="00E60B6E">
      <w:pPr>
        <w:spacing w:after="0" w:line="240" w:lineRule="auto"/>
      </w:pPr>
      <w:r>
        <w:separator/>
      </w:r>
    </w:p>
  </w:endnote>
  <w:endnote w:type="continuationSeparator" w:id="0">
    <w:p w14:paraId="0F46D100" w14:textId="77777777" w:rsidR="00E60B6E" w:rsidRDefault="00E60B6E" w:rsidP="00E6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9C58F" w14:textId="77777777" w:rsidR="00E60B6E" w:rsidRDefault="00E60B6E" w:rsidP="00E60B6E">
      <w:pPr>
        <w:spacing w:after="0" w:line="240" w:lineRule="auto"/>
      </w:pPr>
      <w:r>
        <w:separator/>
      </w:r>
    </w:p>
  </w:footnote>
  <w:footnote w:type="continuationSeparator" w:id="0">
    <w:p w14:paraId="3CBD9980" w14:textId="77777777" w:rsidR="00E60B6E" w:rsidRDefault="00E60B6E" w:rsidP="00E60B6E">
      <w:pPr>
        <w:spacing w:after="0" w:line="240" w:lineRule="auto"/>
      </w:pPr>
      <w:r>
        <w:continuationSeparator/>
      </w:r>
    </w:p>
  </w:footnote>
  <w:footnote w:id="1">
    <w:p w14:paraId="22DE474B" w14:textId="77777777" w:rsidR="00E60B6E" w:rsidRDefault="00E60B6E" w:rsidP="00E60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UK Data Service | Census Data (jisc.ac.uk)</w:t>
        </w:r>
      </w:hyperlink>
    </w:p>
  </w:footnote>
  <w:footnote w:id="2">
    <w:p w14:paraId="4461C444" w14:textId="77777777" w:rsidR="00E60B6E" w:rsidRDefault="00E60B6E" w:rsidP="00E60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Deaths registered monthly in England and Wales - Office for National Statistics (ons.gov.uk)</w:t>
        </w:r>
      </w:hyperlink>
      <w:r>
        <w:rPr>
          <w:rStyle w:val="Hyperlink"/>
        </w:rPr>
        <w:t xml:space="preserve">; </w:t>
      </w:r>
      <w:hyperlink r:id="rId3" w:history="1">
        <w:r w:rsidRPr="00D905A3">
          <w:rPr>
            <w:rStyle w:val="Hyperlink"/>
          </w:rPr>
          <w:t>[ARCHIVED CONTENT] Release Edition Reference Tables - ONS (nationalarchives.gov.uk)</w:t>
        </w:r>
      </w:hyperlink>
      <w:r>
        <w:t xml:space="preserve"> – BY AGE</w:t>
      </w:r>
    </w:p>
  </w:footnote>
  <w:footnote w:id="3">
    <w:p w14:paraId="75B32B22" w14:textId="77777777" w:rsidR="00E60B6E" w:rsidRDefault="00E60B6E" w:rsidP="00E60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Monthly Data on Births and Deaths Registered in Scotland | National Records of Scotland (nrscotland.gov.uk)</w:t>
        </w:r>
      </w:hyperlink>
      <w:r>
        <w:rPr>
          <w:rStyle w:val="Hyperlink"/>
        </w:rPr>
        <w:t xml:space="preserve">; </w:t>
      </w:r>
      <w:hyperlink r:id="rId5" w:history="1">
        <w:r>
          <w:rPr>
            <w:rStyle w:val="Hyperlink"/>
          </w:rPr>
          <w:t>Deaths Time Series Data | National Records of Scotland (nrscotland.gov.uk)</w:t>
        </w:r>
      </w:hyperlink>
      <w:r>
        <w:t xml:space="preserve"> – BY AGE (groupings slightly different)</w:t>
      </w:r>
    </w:p>
  </w:footnote>
  <w:footnote w:id="4">
    <w:p w14:paraId="758AADA9" w14:textId="77777777" w:rsidR="00E60B6E" w:rsidRDefault="00E60B6E" w:rsidP="00E60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Death Statistics | Northern Ireland Statistics and Research Agency (nisra.gov.uk)</w:t>
        </w:r>
      </w:hyperlink>
      <w:r>
        <w:rPr>
          <w:rStyle w:val="Hyperlink"/>
        </w:rPr>
        <w:t xml:space="preserve"> </w:t>
      </w:r>
      <w:r w:rsidRPr="00CB739B">
        <w:rPr>
          <w:rStyle w:val="Hyperlink"/>
          <w:color w:val="auto"/>
          <w:u w:val="none"/>
        </w:rPr>
        <w:t>– Estimated breakdown in age based on</w:t>
      </w:r>
      <w:r>
        <w:rPr>
          <w:rStyle w:val="Hyperlink"/>
          <w:color w:val="auto"/>
          <w:u w:val="none"/>
        </w:rPr>
        <w:t xml:space="preserve"> figures by age for whole</w:t>
      </w:r>
      <w:r w:rsidRPr="00CB739B">
        <w:rPr>
          <w:rStyle w:val="Hyperlink"/>
          <w:color w:val="auto"/>
          <w:u w:val="none"/>
        </w:rPr>
        <w:t xml:space="preserve"> NI, then applied to council areas as no age specific regional data</w:t>
      </w:r>
      <w:r>
        <w:rPr>
          <w:rStyle w:val="Hyperlink"/>
          <w:color w:val="auto"/>
          <w:u w:val="none"/>
        </w:rPr>
        <w:t xml:space="preserve">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F703A"/>
    <w:multiLevelType w:val="hybridMultilevel"/>
    <w:tmpl w:val="E676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12AC"/>
    <w:multiLevelType w:val="hybridMultilevel"/>
    <w:tmpl w:val="159C7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6E"/>
    <w:rsid w:val="005B7AEA"/>
    <w:rsid w:val="00E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D18E"/>
  <w15:chartTrackingRefBased/>
  <w15:docId w15:val="{2278F229-10D5-41AD-A573-F248C503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B6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B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B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B6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0B6E"/>
    <w:pPr>
      <w:ind w:left="720"/>
      <w:contextualSpacing/>
    </w:pPr>
  </w:style>
  <w:style w:type="table" w:styleId="TableGrid">
    <w:name w:val="Table Grid"/>
    <w:basedOn w:val="TableNormal"/>
    <w:uiPriority w:val="39"/>
    <w:rsid w:val="00E6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barchive.nationalarchives.gov.uk/ukgwa/20150907083844/http:/www.ons.gov.uk/ons/publications/re-reference-tables.html?edition=tcm%3A77-275375" TargetMode="External"/><Relationship Id="rId2" Type="http://schemas.openxmlformats.org/officeDocument/2006/relationships/hyperlink" Target="https://www.ons.gov.uk/peoplepopulationandcommunity/birthsdeathsandmarriages/deaths/datasets/monthlyfiguresondeathsregisteredbyareaofusualresidence" TargetMode="External"/><Relationship Id="rId1" Type="http://schemas.openxmlformats.org/officeDocument/2006/relationships/hyperlink" Target="https://www.statistics.digitalresources.jisc.ac.uk/dataset/2011-census-geography-boundaries-local-authorities/resource/c6844602-8ad2-466e-adbf" TargetMode="External"/><Relationship Id="rId6" Type="http://schemas.openxmlformats.org/officeDocument/2006/relationships/hyperlink" Target="https://www.nisra.gov.uk/publications/death-statistics" TargetMode="External"/><Relationship Id="rId5" Type="http://schemas.openxmlformats.org/officeDocument/2006/relationships/hyperlink" Target="https://www.nrscotland.gov.uk/statistics-and-data/statistics/statistics-by-theme/vital-events/deaths/deaths-time-series-data" TargetMode="External"/><Relationship Id="rId4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Jenkins (TYN - Staff)</dc:creator>
  <cp:keywords/>
  <dc:description/>
  <cp:lastModifiedBy>Katie Jenkins (TYN - Staff)</cp:lastModifiedBy>
  <cp:revision>1</cp:revision>
  <dcterms:created xsi:type="dcterms:W3CDTF">2021-10-20T11:55:00Z</dcterms:created>
  <dcterms:modified xsi:type="dcterms:W3CDTF">2021-10-20T12:02:00Z</dcterms:modified>
</cp:coreProperties>
</file>