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For project 2, “What’s Cookin’”, I focused on backend development. Once our table structures were established, I created the sequelize models and api routes necessary to deliver the database info to our front end. The most difficult aspect was deciphering the Sequelize documentation on how to join tables behind the scenes. I was able to join our “Recipes” and “Ingredients” tables by assigning both a “Belongs To Many, Through (join model)” relationship. From there I used Postman to test the api routes as well as determine how the Get/Post/Put data was passing through from the front end.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Once the backend code was finally up and running, I was able to jump in and help out with some miscellaneous front end coding, such as getting the list buttons to change boolean values in the database and change display on the front end.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All in all, this was a fairly challenging project. I learned a lot about testing code via Postman, as well as how to use data attributes in html and Handlebars to hold relevant db info on the front end.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