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Interlinked — Prompt Viability Review</w:t>
      </w:r>
    </w:p>
    <w:p>
      <w:pPr>
        <w:spacing w:after="200"/>
      </w:pPr>
      <w:r>
        <w:rPr>
          <w:i/>
          <w:color w:val="B8860B"/>
          <w:sz w:val="21"/>
        </w:rPr>
        <w:t>Three workshopped prompts, rated through the creativity-from-constraints lens (Tromp &amp; Baer, 2022)</w:t>
      </w:r>
    </w:p>
    <w:p>
      <w:pPr>
        <w:spacing w:after="80" w:before="200"/>
      </w:pPr>
      <w:r>
        <w:rPr>
          <w:b/>
          <w:color w:val="1A1A2E"/>
          <w:sz w:val="30"/>
        </w:rPr>
        <w:t>How I reached these conclusions</w:t>
      </w:r>
    </w:p>
    <w:p>
      <w:pPr>
        <w:spacing w:after="120"/>
      </w:pPr>
      <w:r>
        <w:rPr>
          <w:b w:val="0"/>
          <w:color w:val="1A1A2E"/>
          <w:sz w:val="21"/>
        </w:rPr>
        <w:t>I didn't score on taste. I built a five-part rubric straight from the paper's constructs, then read each prompt's five instruments (prompt line, seeds, star labels, example stars, help questions) against each one. Rebound-risk is treated as a gate, not a criterion — a prompt can be brilliant everywhere else and still need rework if it parks someone in a wound, because that's your own §6 rule and the paper's clearest failure mode.</w:t>
      </w:r>
    </w:p>
    <w:p>
      <w:pPr>
        <w:spacing w:after="80"/>
      </w:pPr>
      <w:r>
        <w:rPr>
          <w:b/>
          <w:color w:val="1A1A2E"/>
          <w:sz w:val="21"/>
        </w:rPr>
        <w:t xml:space="preserve">1 · Focusing vs exclusionary. </w:t>
      </w:r>
      <w:r>
        <w:rPr>
          <w:b w:val="0"/>
          <w:color w:val="1A1A2E"/>
          <w:sz w:val="21"/>
        </w:rPr>
        <w:t>Is the core a “use-this” direction (focusing) rather than a “this-to-avoid” one (exclusionary)? Focusing constraints direct the creative search; exclusionary ones risk fixation.</w:t>
      </w:r>
    </w:p>
    <w:p>
      <w:pPr>
        <w:spacing w:after="80"/>
      </w:pPr>
      <w:r>
        <w:rPr>
          <w:b/>
          <w:color w:val="1A1A2E"/>
          <w:sz w:val="21"/>
        </w:rPr>
        <w:t xml:space="preserve">2 · Anchor &amp; channel strength. </w:t>
      </w:r>
      <w:r>
        <w:rPr>
          <w:b w:val="0"/>
          <w:color w:val="1A1A2E"/>
          <w:sz w:val="21"/>
        </w:rPr>
        <w:t>Is there a concrete starting concept (anchor) and do the seeds/labels/example stars channel toward a scene rather than an abstraction? Picture-strength example stars score highest.</w:t>
      </w:r>
    </w:p>
    <w:p>
      <w:pPr>
        <w:spacing w:after="80"/>
      </w:pPr>
      <w:r>
        <w:rPr>
          <w:b/>
          <w:color w:val="1A1A2E"/>
          <w:sz w:val="21"/>
        </w:rPr>
        <w:t xml:space="preserve">3 · Sweet-spot position. </w:t>
      </w:r>
      <w:r>
        <w:rPr>
          <w:b w:val="0"/>
          <w:color w:val="1A1A2E"/>
          <w:sz w:val="21"/>
        </w:rPr>
        <w:t>Where does the seed pair sit on the inverted-U (Acar 2019)? Over-constrained (mutually-defining poles → one forced bridge) and under-constrained (no path) both lose.</w:t>
      </w:r>
    </w:p>
    <w:p>
      <w:pPr>
        <w:spacing w:after="80"/>
      </w:pPr>
      <w:r>
        <w:rPr>
          <w:b/>
          <w:color w:val="1A1A2E"/>
          <w:sz w:val="21"/>
        </w:rPr>
        <w:t xml:space="preserve">4 · Rebound risk  (gate). </w:t>
      </w:r>
      <w:r>
        <w:rPr>
          <w:b w:val="0"/>
          <w:color w:val="1A1A2E"/>
          <w:sz w:val="21"/>
        </w:rPr>
        <w:t>Does the framing invite suppression/rumination (Wegner's white bear)? Movement is the antidote; static wounds are the danger.</w:t>
      </w:r>
    </w:p>
    <w:p>
      <w:pPr>
        <w:spacing w:after="80"/>
      </w:pPr>
      <w:r>
        <w:rPr>
          <w:b/>
          <w:color w:val="1A1A2E"/>
          <w:sz w:val="21"/>
        </w:rPr>
        <w:t xml:space="preserve">5 · Carry-over potential. </w:t>
      </w:r>
      <w:r>
        <w:rPr>
          <w:b w:val="0"/>
          <w:color w:val="1A1A2E"/>
          <w:sz w:val="21"/>
        </w:rPr>
        <w:t>Does it cultivate the constraint-leveraging move — teaching the user a transferable way to find insight under limits?</w:t>
      </w:r>
    </w:p>
    <w:p>
      <w:pPr>
        <w:spacing w:after="200"/>
      </w:pPr>
      <w:r>
        <w:rPr>
          <w:b/>
          <w:color w:val="555566"/>
          <w:sz w:val="21"/>
        </w:rPr>
        <w:t xml:space="preserve">Verdict scale: </w:t>
      </w:r>
      <w:r>
        <w:rPr>
          <w:b/>
          <w:color w:val="555566"/>
          <w:sz w:val="21"/>
        </w:rPr>
        <w:t>High</w:t>
      </w:r>
      <w:r>
        <w:rPr>
          <w:b w:val="0"/>
          <w:color w:val="555566"/>
          <w:sz w:val="21"/>
        </w:rPr>
        <w:t xml:space="preserve"> (ship) · </w:t>
      </w:r>
      <w:r>
        <w:rPr>
          <w:b/>
          <w:color w:val="555566"/>
          <w:sz w:val="21"/>
        </w:rPr>
        <w:t>Medium-High — watch</w:t>
      </w:r>
      <w:r>
        <w:rPr>
          <w:b w:val="0"/>
          <w:color w:val="555566"/>
          <w:sz w:val="21"/>
        </w:rPr>
        <w:t xml:space="preserve"> (ship with the named mitigation, instrument it in testing) · </w:t>
      </w:r>
      <w:r>
        <w:rPr>
          <w:b/>
          <w:color w:val="555566"/>
          <w:sz w:val="21"/>
        </w:rPr>
        <w:t>Rework</w:t>
      </w:r>
      <w:r>
        <w:rPr>
          <w:b w:val="0"/>
          <w:color w:val="555566"/>
          <w:sz w:val="21"/>
        </w:rPr>
        <w:t xml:space="preserve"> (fix before publish).</w:t>
      </w:r>
    </w:p>
    <w:p>
      <w:pPr>
        <w:spacing w:after="80" w:before="200"/>
      </w:pPr>
      <w:r>
        <w:rPr>
          <w:b/>
          <w:color w:val="1A1A2E"/>
          <w:sz w:val="30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One-line reason</w:t>
            </w:r>
          </w:p>
        </w:tc>
      </w:tr>
      <w:tr>
        <w:tc>
          <w:tcPr>
            <w:tcW w:type="dxa" w:w="2880"/>
          </w:tcPr>
          <w:p>
            <w:r>
              <w:t>1 · Speeding Up vs Slowing Down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880"/>
          </w:tcPr>
          <w:p>
            <w:r>
              <w:t>The reseed away from antonyms is a textbook slide down the inverted-U into the sweet spot.</w:t>
            </w:r>
          </w:p>
        </w:tc>
      </w:tr>
      <w:tr>
        <w:tc>
          <w:tcPr>
            <w:tcW w:type="dxa" w:w="2880"/>
          </w:tcPr>
          <w:p>
            <w:r>
              <w:t>2 · The Power of Culture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880"/>
          </w:tcPr>
          <w:p>
            <w:r>
              <w:t>Cross-category seeds, strong concrete anchors, movement built in — lowest rebound risk of the three.</w:t>
            </w:r>
          </w:p>
        </w:tc>
      </w:tr>
      <w:tr>
        <w:tc>
          <w:tcPr>
            <w:tcW w:type="dxa" w:w="2880"/>
          </w:tcPr>
          <w:p>
            <w:r>
              <w:t>3 · The Self You'll Never Be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Medium-High — watch</w:t>
            </w:r>
          </w:p>
        </w:tc>
        <w:tc>
          <w:tcPr>
            <w:tcW w:type="dxa" w:w="2880"/>
          </w:tcPr>
          <w:p>
            <w:r>
              <w:t>An inherently exclusionary theme rescued by focusing constraints; highest structural rebound risk, well mitigated.</w:t>
            </w:r>
          </w:p>
        </w:tc>
      </w:tr>
    </w:tbl>
    <w:p/>
    <w:p>
      <w:pPr>
        <w:spacing w:after="80" w:before="240"/>
      </w:pPr>
      <w:r>
        <w:rPr>
          <w:b/>
          <w:color w:val="B8860B"/>
          <w:sz w:val="26"/>
        </w:rPr>
        <w:t>Prompt 1 — Speeding Up vs Slowing Down</w:t>
      </w:r>
    </w:p>
    <w:p>
      <w:pPr>
        <w:spacing w:after="120"/>
      </w:pPr>
      <w:r>
        <w:rPr>
          <w:b/>
          <w:color w:val="1A1A2E"/>
          <w:sz w:val="21"/>
        </w:rPr>
        <w:t xml:space="preserve">Verdict: </w:t>
      </w:r>
      <w:r>
        <w:rPr>
          <w:b/>
          <w:color w:val="1A1A2E"/>
          <w:sz w:val="21"/>
        </w:rPr>
        <w:t>High</w:t>
      </w:r>
    </w:p>
    <w:p>
      <w:pPr>
        <w:spacing w:after="100"/>
      </w:pPr>
      <w:r>
        <w:rPr>
          <w:b/>
          <w:color w:val="1A1A2E"/>
          <w:sz w:val="21"/>
        </w:rPr>
        <w:t xml:space="preserve">Focusing. </w:t>
      </w:r>
      <w:r>
        <w:rPr>
          <w:b w:val="0"/>
          <w:color w:val="1A1A2E"/>
          <w:sz w:val="21"/>
        </w:rPr>
        <w:t>Both prompt lines are use-this directions — name the season, name what you saw. No avoidance framing. ✓</w:t>
      </w:r>
    </w:p>
    <w:p>
      <w:pPr>
        <w:spacing w:after="100"/>
      </w:pPr>
      <w:r>
        <w:rPr>
          <w:b/>
          <w:color w:val="1A1A2E"/>
          <w:sz w:val="21"/>
        </w:rPr>
        <w:t xml:space="preserve">Anchors &amp; channels. </w:t>
      </w:r>
      <w:r>
        <w:rPr>
          <w:b w:val="0"/>
          <w:color w:val="1A1A2E"/>
          <w:sz w:val="21"/>
        </w:rPr>
        <w:t>Temporal anchors do heavy lifting (“the season you couldn't slow down,” “the day you did”), and the example stars are picture-strength — “the waiting room where I finally had to sit still” is a scene, not a category. ✓</w:t>
      </w:r>
    </w:p>
    <w:p>
      <w:pPr>
        <w:spacing w:after="100"/>
      </w:pPr>
      <w:r>
        <w:rPr>
          <w:b/>
          <w:color w:val="1A1A2E"/>
          <w:sz w:val="21"/>
        </w:rPr>
        <w:t xml:space="preserve">Sweet spot — the standout. </w:t>
      </w:r>
      <w:r>
        <w:rPr>
          <w:b w:val="0"/>
          <w:color w:val="1A1A2E"/>
          <w:sz w:val="21"/>
        </w:rPr>
        <w:t>Your own note says you reseeded “to break the antonym-obviousness.” That is the inverted-U correction made visible: speed/slow are mutually-defining poles (over-constrained → a one-bridge riddle); “something you were chasing / something you only saw once you'd stopped” slides the pair into the productive middle. This is the clearest evidence in the set that you're calibrating on the curve. ✓</w:t>
      </w:r>
    </w:p>
    <w:p>
      <w:pPr>
        <w:spacing w:after="100"/>
      </w:pPr>
      <w:r>
        <w:rPr>
          <w:b/>
          <w:color w:val="1A1A2E"/>
          <w:sz w:val="21"/>
        </w:rPr>
        <w:t xml:space="preserve">Rebound. </w:t>
      </w:r>
      <w:r>
        <w:rPr>
          <w:b w:val="0"/>
          <w:color w:val="1A1A2E"/>
          <w:sz w:val="21"/>
        </w:rPr>
        <w:t>Movement is intrinsic (chasing → saw); no static wound. Low risk. ✓</w:t>
      </w:r>
    </w:p>
    <w:p>
      <w:pPr>
        <w:spacing w:after="100"/>
      </w:pPr>
      <w:r>
        <w:rPr>
          <w:b/>
          <w:color w:val="1A1A2E"/>
          <w:sz w:val="21"/>
        </w:rPr>
        <w:t xml:space="preserve">A vs B — the open decision. </w:t>
      </w:r>
      <w:r>
        <w:rPr>
          <w:b w:val="0"/>
          <w:color w:val="1A1A2E"/>
          <w:sz w:val="21"/>
        </w:rPr>
        <w:t>Through this lens I lean A. B's “outrunning” clause is a second anchor that pre-loads the trade-off reading, which nudges the pair toward over-determination and can shrink your three-bridges breadth toward one dominant reading. A keeps the curve wider and the discovery more open. Keep B as the fallback if testing shows people stall for want of an on-ramp.</w:t>
      </w:r>
    </w:p>
    <w:p>
      <w:pPr>
        <w:spacing w:after="80" w:before="240"/>
      </w:pPr>
      <w:r>
        <w:rPr>
          <w:b/>
          <w:color w:val="B8860B"/>
          <w:sz w:val="26"/>
        </w:rPr>
        <w:t>Prompt 2 — The Power of Culture</w:t>
      </w:r>
    </w:p>
    <w:p>
      <w:pPr>
        <w:spacing w:after="120"/>
      </w:pPr>
      <w:r>
        <w:rPr>
          <w:b/>
          <w:color w:val="1A1A2E"/>
          <w:sz w:val="21"/>
        </w:rPr>
        <w:t xml:space="preserve">Verdict: </w:t>
      </w:r>
      <w:r>
        <w:rPr>
          <w:b/>
          <w:color w:val="1A1A2E"/>
          <w:sz w:val="21"/>
        </w:rPr>
        <w:t>High</w:t>
      </w:r>
    </w:p>
    <w:p>
      <w:pPr>
        <w:spacing w:after="100"/>
      </w:pPr>
      <w:r>
        <w:rPr>
          <w:b/>
          <w:color w:val="1A1A2E"/>
          <w:sz w:val="21"/>
        </w:rPr>
        <w:t xml:space="preserve">Focusing. </w:t>
      </w:r>
      <w:r>
        <w:rPr>
          <w:b w:val="0"/>
          <w:color w:val="1A1A2E"/>
          <w:sz w:val="21"/>
        </w:rPr>
        <w:t>“When did you first go off it?” is a use-this direction with built-in movement. ✓</w:t>
      </w:r>
    </w:p>
    <w:p>
      <w:pPr>
        <w:spacing w:after="100"/>
      </w:pPr>
      <w:r>
        <w:rPr>
          <w:b/>
          <w:color w:val="1A1A2E"/>
          <w:sz w:val="21"/>
        </w:rPr>
        <w:t xml:space="preserve">Anchors &amp; channels. </w:t>
      </w:r>
      <w:r>
        <w:rPr>
          <w:b w:val="0"/>
          <w:color w:val="1A1A2E"/>
          <w:sz w:val="21"/>
        </w:rPr>
        <w:t>“a script for how life was supposed to go” is a strong conceptual channel; the example stars are concrete and scene-shaped (“the night I said I was quitting the plan, out loud at dinner, and no one spoke”). ✓</w:t>
      </w:r>
    </w:p>
    <w:p>
      <w:pPr>
        <w:spacing w:after="100"/>
      </w:pPr>
      <w:r>
        <w:rPr>
          <w:b/>
          <w:color w:val="1A1A2E"/>
          <w:sz w:val="21"/>
        </w:rPr>
        <w:t xml:space="preserve">Sweet spot. </w:t>
      </w:r>
      <w:r>
        <w:rPr>
          <w:b w:val="0"/>
          <w:color w:val="1A1A2E"/>
          <w:sz w:val="21"/>
        </w:rPr>
        <w:t>Seeds are cross-category (a prescribed life / a specific moment) — related but not mutually-defining. Squarely mid-curve, the safest position of the three. ✓</w:t>
      </w:r>
    </w:p>
    <w:p>
      <w:pPr>
        <w:spacing w:after="100"/>
      </w:pPr>
      <w:r>
        <w:rPr>
          <w:b/>
          <w:color w:val="1A1A2E"/>
          <w:sz w:val="21"/>
        </w:rPr>
        <w:t xml:space="preserve">Rebound. </w:t>
      </w:r>
      <w:r>
        <w:rPr>
          <w:b w:val="0"/>
          <w:color w:val="1A1A2E"/>
          <w:sz w:val="21"/>
        </w:rPr>
        <w:t>Lowest of the set. Movement is baked in (script → off-script), and the theme is held to the creator card, so nothing anchors the answer before effort (your §6 anchoring rule). ✓</w:t>
      </w:r>
    </w:p>
    <w:p>
      <w:pPr>
        <w:spacing w:after="100"/>
      </w:pPr>
      <w:r>
        <w:rPr>
          <w:b/>
          <w:color w:val="1A1A2E"/>
          <w:sz w:val="21"/>
        </w:rPr>
        <w:t xml:space="preserve">Note. </w:t>
      </w:r>
      <w:r>
        <w:rPr>
          <w:b w:val="0"/>
          <w:color w:val="1A1A2E"/>
          <w:sz w:val="21"/>
        </w:rPr>
        <w:t>Cleanest unit here. Nothing to fix; it's your reference example for what mid-curve looks like.</w:t>
      </w:r>
    </w:p>
    <w:p>
      <w:pPr>
        <w:spacing w:after="80" w:before="240"/>
      </w:pPr>
      <w:r>
        <w:rPr>
          <w:b/>
          <w:color w:val="B8860B"/>
          <w:sz w:val="26"/>
        </w:rPr>
        <w:t>Prompt 3 — The Self You'll Never Be (Shadow)</w:t>
      </w:r>
    </w:p>
    <w:p>
      <w:pPr>
        <w:spacing w:after="120"/>
      </w:pPr>
      <w:r>
        <w:rPr>
          <w:b/>
          <w:color w:val="1A1A2E"/>
          <w:sz w:val="21"/>
        </w:rPr>
        <w:t xml:space="preserve">Verdict: </w:t>
      </w:r>
      <w:r>
        <w:rPr>
          <w:b/>
          <w:color w:val="1A1A2E"/>
          <w:sz w:val="21"/>
        </w:rPr>
        <w:t>Medium-High — watch</w:t>
      </w:r>
    </w:p>
    <w:p>
      <w:pPr>
        <w:spacing w:after="100"/>
      </w:pPr>
      <w:r>
        <w:rPr>
          <w:b/>
          <w:color w:val="1A1A2E"/>
          <w:sz w:val="21"/>
        </w:rPr>
        <w:t xml:space="preserve">Why it's the interesting one. </w:t>
      </w:r>
      <w:r>
        <w:rPr>
          <w:b w:val="0"/>
          <w:color w:val="1A1A2E"/>
          <w:sz w:val="21"/>
        </w:rPr>
        <w:t>Its core is exclusionary by construction — “a version of yourself you decided you'll never be” names a thing to avoid, which is exactly Wegner's white-bear territory. Left raw, that framing invites fixation. ✓ for honesty that your own doc already flags this.</w:t>
      </w:r>
    </w:p>
    <w:p>
      <w:pPr>
        <w:spacing w:after="100"/>
      </w:pPr>
      <w:r>
        <w:rPr>
          <w:b/>
          <w:color w:val="1A1A2E"/>
          <w:sz w:val="21"/>
        </w:rPr>
        <w:t xml:space="preserve">Why it still works. </w:t>
      </w:r>
      <w:r>
        <w:rPr>
          <w:b w:val="0"/>
          <w:color w:val="1A1A2E"/>
          <w:sz w:val="21"/>
        </w:rPr>
        <w:t>The design applies the paper's prescribed antidote precisely. The “almost” / near-miss framing converts avoidance into a focused direction toward a specific moment (focused distraction, not suppression), and the movement (self-image → the moment it cracked) stops the circling. You've taken an exclusionary theme and rescued it with focusing constraints — a genuinely advanced move.</w:t>
      </w:r>
    </w:p>
    <w:p>
      <w:pPr>
        <w:spacing w:after="100"/>
      </w:pPr>
      <w:r>
        <w:rPr>
          <w:b/>
          <w:color w:val="1A1A2E"/>
          <w:sz w:val="21"/>
        </w:rPr>
        <w:t xml:space="preserve">Sweet spot — the caveat. </w:t>
      </w:r>
      <w:r>
        <w:rPr>
          <w:b w:val="0"/>
          <w:color w:val="1A1A2E"/>
          <w:sz w:val="21"/>
        </w:rPr>
        <w:t>The seeds are same-domain (a self-image and its contradiction), so this pair sits at the high-constraint upper edge of the curve. Your §3 already predicts this: same-category seeds need an invented bridge and longer pauses. Viable, but the least margin — if it tips, it tips toward over-constraint.</w:t>
      </w:r>
    </w:p>
    <w:p>
      <w:pPr>
        <w:spacing w:after="100"/>
      </w:pPr>
      <w:r>
        <w:rPr>
          <w:b/>
          <w:color w:val="1A1A2E"/>
          <w:sz w:val="21"/>
        </w:rPr>
        <w:t xml:space="preserve">Rebound — the gate. </w:t>
      </w:r>
      <w:r>
        <w:rPr>
          <w:b w:val="0"/>
          <w:color w:val="1A1A2E"/>
          <w:sz w:val="21"/>
        </w:rPr>
        <w:t>Structurally the highest risk in the set, but actively and correctly mitigated. It clears the gate. It is, however, the one to instrument: in testing, watch whether users land on recognition (good) or rumination (the failure mode) — that's the single measurement that tells you if the mitigations hold at scale.</w:t>
      </w:r>
    </w:p>
    <w:p>
      <w:pPr>
        <w:spacing w:after="80" w:before="200"/>
      </w:pPr>
      <w:r>
        <w:rPr>
          <w:b/>
          <w:color w:val="1A1A2E"/>
          <w:sz w:val="30"/>
        </w:rPr>
        <w:t>The through-line</w:t>
      </w:r>
    </w:p>
    <w:p>
      <w:pPr>
        <w:spacing w:after="120"/>
      </w:pPr>
      <w:r>
        <w:rPr>
          <w:b w:val="0"/>
          <w:color w:val="1A1A2E"/>
          <w:sz w:val="21"/>
        </w:rPr>
        <w:t>All three are viable, and the set as a whole shows you're already working on the right axis. The most useful signal isn't the scores — it's that Prompt 1's reseed and Prompt 3's mitigations are both, unprompted, the exact corrections the research prescribes. You're not decorating with the theory; you're using it. The one thing to add is deliberate: name where each future prompt sits on the inverted-U before you publish, and treat any same-domain pair (like Prompt 3) as a watch-item to measure, not a defect to avoid.</w:t>
      </w:r>
    </w:p>
    <w:p>
      <w:pPr>
        <w:spacing w:after="40"/>
      </w:pPr>
      <w:r>
        <w:rPr>
          <w:b w:val="0"/>
          <w:color w:val="555566"/>
          <w:sz w:val="18"/>
        </w:rPr>
        <w:t>Sources: Tromp &amp; Baer (2022), Creativity from constraints; the IConIC model (Tromp, 2022); Acar et al. (2019) inverted-U review; Haught-Tromp (2017) forced-word + carry-over; Wegner (1994) ironic process / rebound.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