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Katie</w:t>
      </w:r>
      <w:r>
        <w:t xml:space="preserve"> </w:t>
      </w:r>
      <w:r>
        <w:t xml:space="preserve">Wells</w:t>
      </w:r>
      <w:r>
        <w:t xml:space="preserve"> </w:t>
      </w:r>
      <w:r>
        <w:t xml:space="preserve">&amp;</w:t>
      </w:r>
      <w:r>
        <w:t xml:space="preserve"> </w:t>
      </w:r>
      <w:r>
        <w:t xml:space="preserve">Connor</w:t>
      </w:r>
      <w:r>
        <w:t xml:space="preserve"> </w:t>
      </w:r>
      <w:r>
        <w:t xml:space="preserve">Ross</w:t>
      </w:r>
    </w:p>
    <w:p>
      <w:pPr>
        <w:pStyle w:val="Date"/>
      </w:pPr>
      <w:r>
        <w:t xml:space="preserve">4/19/23</w:t>
      </w:r>
    </w:p>
    <w:bookmarkStart w:id="20" w:name="summaryabstract"/>
    <w:p>
      <w:pPr>
        <w:pStyle w:val="Heading1"/>
      </w:pPr>
      <w:r>
        <w:t xml:space="preserve">1. Summary/Abstract</w:t>
      </w:r>
    </w:p>
    <w:p>
      <w:pPr>
        <w:pStyle w:val="FirstParagraph"/>
      </w:pPr>
      <w:r>
        <w:t xml:space="preserve">This article seeks to examine the popularity of different COVID-19 vaccine manufacturers in the year 2021 in the U.S. and to develop a model in understanding what potential factors are more associated with increase vaccine administration. Understanding the popularity differences across manufactures and the profiles of the different region within the U.S. could potentially explain differences in vaccine uptake. While vaccine distribution and administration information is updated every week, other potential drivers of increase vaccine administration across the country are not updated as frequently. For this reason, we limited our scope to 2021 so as to include data relating to these variables. After cleaning and joining the necessary datasets, several machine learning models were generated to ascertain the best comparative performance to explain the differences in vaccine administration. Given the complexity of the dataset and incompatibility of others containing region characteristics we were interested in, our findings were limited. However, modeling indicates that region, particularly in the West, is a major indicator of vaccine administration. More research and consistent data is needed to target the major factors of vaccine uptake. Furthermore, looking into the characteristics and behaviors of those living in the Western region of the U.S. states may lead to interventions to promote vaccine uptake which can reduce the transmission of COVID-19 and severity of disease.</w:t>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A little over three years ago, the world was brought to its knees by a virus no one had heard of before. SARS-CoV-2, which causes the disease COVID-19, ravaged the world and caused millions of deaths</w:t>
      </w:r>
      <w:r>
        <w:t xml:space="preserve"> </w:t>
      </w:r>
      <w:r>
        <w:t xml:space="preserve">(CDC, n.d.-a)</w:t>
      </w:r>
      <w:r>
        <w:t xml:space="preserve">. Scientists and researchers worked tirelessly during 2020 to develop vaccines to stop the spread and lessen the symptoms, and by the end of the year emergency use authorizations were given to administer the first immunizations.</w:t>
      </w:r>
    </w:p>
    <w:p>
      <w:pPr>
        <w:pStyle w:val="BodyText"/>
      </w:pPr>
      <w:r>
        <w:t xml:space="preserve">After the first vaccines were approved, a rollout began across the United States to distribute the new immunizations. In the beginning, priority was given to healthcare workers, long-term care facility residents, essential workers, those with high-risk conditions, and older adults. Distribution then began to other groups as supply warranted. Throughout 2021 and 2022, immunizations continued to be distributed to each state through health departments, pharmacies, doctor’s offices, and many other settings</w:t>
      </w:r>
      <w:r>
        <w:t xml:space="preserve"> </w:t>
      </w:r>
      <w:r>
        <w:t xml:space="preserve">(Dooling et al., 2021)</w:t>
      </w:r>
      <w:r>
        <w:t xml:space="preserve">. Distribution did not always equal administration, however, and many factors may have affected whether or not someone received a vaccine.</w:t>
      </w:r>
    </w:p>
    <w:p>
      <w:pPr>
        <w:pStyle w:val="BodyText"/>
      </w:pPr>
      <w:r>
        <w:t xml:space="preserve">Income is an integral predictor of health outcomes; previous studies have shown that there are large health differences between high and low income groups</w:t>
      </w:r>
      <w:r>
        <w:t xml:space="preserve"> </w:t>
      </w:r>
      <w:r>
        <w:t xml:space="preserve">(Zimmerman &amp; Anderson, 2019)</w:t>
      </w:r>
      <w:r>
        <w:t xml:space="preserve">. Studies have also shown that low income is associated with low vaccine uptake</w:t>
      </w:r>
      <w:r>
        <w:t xml:space="preserve"> </w:t>
      </w:r>
      <w:r>
        <w:t xml:space="preserve">(Kawai &amp; Kawai, 2021)</w:t>
      </w:r>
      <w:r>
        <w:t xml:space="preserve">. Low income areas are likely to have less access to healthcare facilities, which may contribute to these numbers.</w:t>
      </w:r>
    </w:p>
    <w:p>
      <w:pPr>
        <w:pStyle w:val="BodyText"/>
      </w:pPr>
      <w:r>
        <w:t xml:space="preserve">To investigate if any outside factors affected administration, we are going to compare region groups and median income data for each state to administration numbers and investigate their relationships. We expect to see states with lower median incomes (and therefore regions with lower median incomes) having lower administration numbers.</w:t>
      </w:r>
    </w:p>
    <w:bookmarkEnd w:id="21"/>
    <w:bookmarkStart w:id="22" w:name="description-of-data-and-data-source"/>
    <w:p>
      <w:pPr>
        <w:pStyle w:val="Heading2"/>
      </w:pPr>
      <w:r>
        <w:t xml:space="preserve">2.2 Description of data and data source</w:t>
      </w:r>
    </w:p>
    <w:p>
      <w:pPr>
        <w:pStyle w:val="FirstParagraph"/>
      </w:pPr>
      <w:r>
        <w:t xml:space="preserve">The main dataset contains US COVID-19 vaccine deliveries and administration data at national and jurisdiction level from all vaccine partners, including jurisdictional partner clinics, retail pharmacies, long-term care facilities, dialysis centers, Federal Emergency Management Agency and Health Resources and Services Administration partner sites, and federal entity facilities</w:t>
      </w:r>
      <w:r>
        <w:t xml:space="preserve"> </w:t>
      </w:r>
      <w:r>
        <w:t xml:space="preserve">(CDC, n.d.-b)</w:t>
      </w:r>
      <w:r>
        <w:t xml:space="preserve">. It has 109 columns and 37,500 rows of administration, distribution, and series data of COVID-19 vaccinations across the US.</w:t>
      </w:r>
    </w:p>
    <w:p>
      <w:pPr>
        <w:pStyle w:val="BodyText"/>
      </w:pPr>
      <w:r>
        <w:t xml:space="preserve">To use income data in our analysis, we uses US Census Bureau ACS Income date from 2021</w:t>
      </w:r>
      <w:r>
        <w:t xml:space="preserve"> </w:t>
      </w:r>
      <w:r>
        <w:t xml:space="preserve">(Bureau, 2021)</w:t>
      </w:r>
      <w:r>
        <w:t xml:space="preserve">. This data was taken from the American Community Survey.</w:t>
      </w:r>
    </w:p>
    <w:bookmarkEnd w:id="22"/>
    <w:bookmarkStart w:id="23" w:name="questionshypotheses-to-be-addressed"/>
    <w:p>
      <w:pPr>
        <w:pStyle w:val="Heading2"/>
      </w:pPr>
      <w:r>
        <w:t xml:space="preserve">2.3 Questions/Hypotheses to be addressed</w:t>
      </w:r>
    </w:p>
    <w:p>
      <w:pPr>
        <w:pStyle w:val="FirstParagraph"/>
      </w:pPr>
      <w:r>
        <w:t xml:space="preserve">Question: What factors (like region or median income) influenced COVID-19 vaccines across the US? Hypotheses: H0 - There is no association between region or median income per state and COVID-19 vaccine administration in the United States. HA - There is an association between region or median income and COVID-19 vaccine administration in the United States.</w:t>
      </w:r>
    </w:p>
    <w:p>
      <w:r>
        <w:br w:type="page"/>
      </w:r>
    </w:p>
    <w:bookmarkEnd w:id="23"/>
    <w:bookmarkEnd w:id="24"/>
    <w:bookmarkStart w:id="27" w:name="methods"/>
    <w:p>
      <w:pPr>
        <w:pStyle w:val="Heading1"/>
      </w:pPr>
      <w:r>
        <w:t xml:space="preserve">3.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bookmarkStart w:id="25" w:name="data-aquisition"/>
    <w:p>
      <w:pPr>
        <w:pStyle w:val="Heading2"/>
      </w:pPr>
      <w:r>
        <w:t xml:space="preserve">3.1 Data aquisition</w:t>
      </w:r>
    </w:p>
    <w:p>
      <w:pPr>
        <w:pStyle w:val="FirstParagraph"/>
      </w:pPr>
      <w:r>
        <w:rPr>
          <w:iCs/>
          <w:i/>
        </w:rPr>
        <w:t xml:space="preserve">As applicable, explain where and how you got the data. If you directly import the data from an online source, you can combine this section with the next.</w:t>
      </w:r>
    </w:p>
    <w:bookmarkEnd w:id="25"/>
    <w:bookmarkStart w:id="26" w:name="statistical-analysis"/>
    <w:p>
      <w:pPr>
        <w:pStyle w:val="Heading2"/>
      </w:pPr>
      <w:r>
        <w:t xml:space="preserve">3.2 Statistical analysis</w:t>
      </w:r>
    </w:p>
    <w:p>
      <w:pPr>
        <w:pStyle w:val="FirstParagraph"/>
      </w:pPr>
      <w:r>
        <w:t xml:space="preserve">After placing each state in a region of the US, we will conduct a time series analysis to determine the change in popularity over time. Further, we intended to plot overall administration of manufacturer-specific vaccines in each region to determine popularity after adjusting for distribution and time.</w:t>
      </w:r>
    </w:p>
    <w:p>
      <w:r>
        <w:br w:type="page"/>
      </w:r>
    </w:p>
    <w:bookmarkEnd w:id="26"/>
    <w:bookmarkEnd w:id="27"/>
    <w:bookmarkStart w:id="37" w:name="results"/>
    <w:p>
      <w:pPr>
        <w:pStyle w:val="Heading1"/>
      </w:pPr>
      <w:r>
        <w:t xml:space="preserve">4. Results</w:t>
      </w:r>
    </w:p>
    <w:bookmarkStart w:id="34" w:name="exploratorydescriptive-analysis"/>
    <w:p>
      <w:pPr>
        <w:pStyle w:val="Heading2"/>
      </w:pPr>
      <w:r>
        <w:t xml:space="preserve">4.1 Exploratory/Descriptive analysis</w:t>
      </w:r>
    </w:p>
    <w:p>
      <w:pPr>
        <w:pStyle w:val="FirstParagraph"/>
      </w:pPr>
      <w:r>
        <w:t xml:space="preserve">Here are the main results from our exploratory analysis where we plotted the distributed and administered vaccines over the observed period. Individual bar graphs for each region can be found in the</w:t>
      </w:r>
      <w:r>
        <w:t xml:space="preserve"> </w:t>
      </w:r>
      <w:r>
        <w:t xml:space="preserve">‘</w:t>
      </w:r>
      <w:r>
        <w:t xml:space="preserve">exploration.qmd</w:t>
      </w:r>
      <w:r>
        <w:t xml:space="preserve">’</w:t>
      </w:r>
      <w:r>
        <w:t xml:space="preserve"> </w:t>
      </w:r>
      <w:r>
        <w:t xml:space="preserve">file in the</w:t>
      </w:r>
      <w:r>
        <w:t xml:space="preserve"> </w:t>
      </w:r>
      <w:r>
        <w:t xml:space="preserve">‘</w:t>
      </w:r>
      <w:r>
        <w:t xml:space="preserve">processing_code</w:t>
      </w:r>
      <w:r>
        <w:t xml:space="preserve">’</w:t>
      </w:r>
      <w:r>
        <w:t xml:space="preserve"> </w:t>
      </w:r>
      <w:r>
        <w:t xml:space="preserve">file.</w:t>
      </w:r>
    </w:p>
    <w:tbl>
      <w:tblPr>
        <w:tblStyle w:val="Table"/>
        <w:tblW w:type="pct" w:w="5000"/>
        <w:tblLook w:firstRow="0" w:lastRow="0" w:firstColumn="0" w:lastColumn="0" w:noHBand="0" w:noVBand="0" w:val="0000"/>
      </w:tblPr>
      <w:tblGrid>
        <w:gridCol w:w="7920"/>
      </w:tblGrid>
      <w:tr>
        <w:tc>
          <w:tcPr/>
          <w:p>
            <w:pPr>
              <w:jc w:val="center"/>
            </w:pPr>
            <w:r>
              <w:drawing>
                <wp:inline>
                  <wp:extent cx="5334000" cy="5334000"/>
                  <wp:effectExtent b="0" l="0" r="0" t="0"/>
                  <wp:docPr descr="" title="" id="29" name="Picture"/>
                  <a:graphic>
                    <a:graphicData uri="http://schemas.openxmlformats.org/drawingml/2006/picture">
                      <pic:pic>
                        <pic:nvPicPr>
                          <pic:cNvPr descr="images/graph_distime-02.png" id="3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p>
        </w:tc>
      </w:tr>
    </w:tbl>
    <w:p/>
    <w:tbl>
      <w:tblPr>
        <w:tblStyle w:val="Table"/>
        <w:tblW w:type="pct" w:w="5000"/>
        <w:tblLook w:firstRow="0" w:lastRow="0" w:firstColumn="0" w:lastColumn="0" w:noHBand="0" w:noVBand="0" w:val="0000"/>
      </w:tblPr>
      <w:tblGrid>
        <w:gridCol w:w="7920"/>
      </w:tblGrid>
      <w:tr>
        <w:tc>
          <w:tcPr/>
          <w:p>
            <w:pPr>
              <w:jc w:val="center"/>
            </w:pPr>
            <w:r>
              <w:drawing>
                <wp:inline>
                  <wp:extent cx="5334000" cy="5334000"/>
                  <wp:effectExtent b="0" l="0" r="0" t="0"/>
                  <wp:docPr descr="" title="" id="32" name="Picture"/>
                  <a:graphic>
                    <a:graphicData uri="http://schemas.openxmlformats.org/drawingml/2006/picture">
                      <pic:pic>
                        <pic:nvPicPr>
                          <pic:cNvPr descr="images/graph_admintime-02.png" id="33"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p>
        </w:tc>
      </w:tr>
    </w:tbl>
    <w:bookmarkEnd w:id="34"/>
    <w:bookmarkStart w:id="35" w:name="basic-statistical-analysis"/>
    <w:p>
      <w:pPr>
        <w:pStyle w:val="Heading2"/>
      </w:pPr>
      <w:r>
        <w:t xml:space="preserve">4.2 Basic statistical analysis</w:t>
      </w:r>
    </w:p>
    <w:p>
      <w:pPr>
        <w:pStyle w:val="FirstParagraph"/>
      </w:pPr>
      <w:r>
        <w:t xml:space="preserve">Here are the main results from our initial fitting analysis. Note: we may not keep all of these fits in our final project but we calculated them all to view the results. Further checking of the models can be found in the</w:t>
      </w:r>
      <w:r>
        <w:t xml:space="preserve"> </w:t>
      </w:r>
      <w:r>
        <w:t xml:space="preserve">‘</w:t>
      </w:r>
      <w:r>
        <w:t xml:space="preserve">fitting.qmd</w:t>
      </w:r>
      <w:r>
        <w:t xml:space="preserve">’</w:t>
      </w:r>
      <w:r>
        <w:t xml:space="preserve"> </w:t>
      </w:r>
      <w:r>
        <w:t xml:space="preserve">in the</w:t>
      </w:r>
      <w:r>
        <w:t xml:space="preserve"> </w:t>
      </w:r>
      <w:r>
        <w:t xml:space="preserve">‘</w:t>
      </w:r>
      <w:r>
        <w:t xml:space="preserve">analysis_code</w:t>
      </w:r>
      <w:r>
        <w:t xml:space="preserve">’</w:t>
      </w:r>
      <w:r>
        <w:t xml:space="preserve"> </w:t>
      </w:r>
      <w:r>
        <w:t xml:space="preserve">folder.</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-4.080986e+04</w:t>
            </w:r>
          </w:p>
        </w:tc>
        <w:tc>
          <w:tcPr/>
          <w:p>
            <w:pPr>
              <w:pStyle w:val="Compact"/>
              <w:jc w:val="right"/>
            </w:pPr>
            <w:r>
              <w:t xml:space="preserve">8.911512e+03</w:t>
            </w:r>
          </w:p>
        </w:tc>
        <w:tc>
          <w:tcPr/>
          <w:p>
            <w:pPr>
              <w:pStyle w:val="Compact"/>
              <w:jc w:val="right"/>
            </w:pPr>
            <w:r>
              <w:t xml:space="preserve">-4.579454</w:t>
            </w:r>
          </w:p>
        </w:tc>
        <w:tc>
          <w:tcPr/>
          <w:p>
            <w:pPr>
              <w:pStyle w:val="Compact"/>
              <w:jc w:val="right"/>
            </w:pPr>
            <w:r>
              <w:t xml:space="preserve">4.7e-06</w:t>
            </w:r>
          </w:p>
        </w:tc>
      </w:tr>
      <w:tr>
        <w:tc>
          <w:tcPr/>
          <w:p>
            <w:pPr>
              <w:pStyle w:val="Compact"/>
              <w:jc w:val="left"/>
            </w:pPr>
            <w:r>
              <w:t xml:space="preserve">RegionNorthEast</w:t>
            </w:r>
          </w:p>
        </w:tc>
        <w:tc>
          <w:tcPr/>
          <w:p>
            <w:pPr>
              <w:pStyle w:val="Compact"/>
              <w:jc w:val="right"/>
            </w:pPr>
            <w:r>
              <w:t xml:space="preserve">1.372110e+05</w:t>
            </w:r>
          </w:p>
        </w:tc>
        <w:tc>
          <w:tcPr/>
          <w:p>
            <w:pPr>
              <w:pStyle w:val="Compact"/>
              <w:jc w:val="right"/>
            </w:pPr>
            <w:r>
              <w:t xml:space="preserve">1.231630e+04</w:t>
            </w:r>
          </w:p>
        </w:tc>
        <w:tc>
          <w:tcPr/>
          <w:p>
            <w:pPr>
              <w:pStyle w:val="Compact"/>
              <w:jc w:val="right"/>
            </w:pPr>
            <w:r>
              <w:t xml:space="preserve">11.140597</w:t>
            </w:r>
          </w:p>
        </w:tc>
        <w:tc>
          <w:tcPr/>
          <w:p>
            <w:pPr>
              <w:pStyle w:val="Compact"/>
              <w:jc w:val="right"/>
            </w:pPr>
            <w:r>
              <w:t xml:space="preserve">0.0e+00</w:t>
            </w:r>
          </w:p>
        </w:tc>
      </w:tr>
      <w:tr>
        <w:tc>
          <w:tcPr/>
          <w:p>
            <w:pPr>
              <w:pStyle w:val="Compact"/>
              <w:jc w:val="left"/>
            </w:pPr>
            <w:r>
              <w:t xml:space="preserve">RegionSouthEast</w:t>
            </w:r>
          </w:p>
        </w:tc>
        <w:tc>
          <w:tcPr/>
          <w:p>
            <w:pPr>
              <w:pStyle w:val="Compact"/>
              <w:jc w:val="right"/>
            </w:pPr>
            <w:r>
              <w:t xml:space="preserve">-3.766822e+05</w:t>
            </w:r>
          </w:p>
        </w:tc>
        <w:tc>
          <w:tcPr/>
          <w:p>
            <w:pPr>
              <w:pStyle w:val="Compact"/>
              <w:jc w:val="right"/>
            </w:pPr>
            <w:r>
              <w:t xml:space="preserve">1.205792e+04</w:t>
            </w:r>
          </w:p>
        </w:tc>
        <w:tc>
          <w:tcPr/>
          <w:p>
            <w:pPr>
              <w:pStyle w:val="Compact"/>
              <w:jc w:val="right"/>
            </w:pPr>
            <w:r>
              <w:t xml:space="preserve">-31.239408</w:t>
            </w:r>
          </w:p>
        </w:tc>
        <w:tc>
          <w:tcPr/>
          <w:p>
            <w:pPr>
              <w:pStyle w:val="Compact"/>
              <w:jc w:val="right"/>
            </w:pPr>
            <w:r>
              <w:t xml:space="preserve">0.0e+00</w:t>
            </w:r>
          </w:p>
        </w:tc>
      </w:tr>
      <w:tr>
        <w:tc>
          <w:tcPr/>
          <w:p>
            <w:pPr>
              <w:pStyle w:val="Compact"/>
              <w:jc w:val="left"/>
            </w:pPr>
            <w:r>
              <w:t xml:space="preserve">RegionSouthWest</w:t>
            </w:r>
          </w:p>
        </w:tc>
        <w:tc>
          <w:tcPr/>
          <w:p>
            <w:pPr>
              <w:pStyle w:val="Compact"/>
              <w:jc w:val="right"/>
            </w:pPr>
            <w:r>
              <w:t xml:space="preserve">-4.360264e+05</w:t>
            </w:r>
          </w:p>
        </w:tc>
        <w:tc>
          <w:tcPr/>
          <w:p>
            <w:pPr>
              <w:pStyle w:val="Compact"/>
              <w:jc w:val="right"/>
            </w:pPr>
            <w:r>
              <w:t xml:space="preserve">1.718853e+04</w:t>
            </w:r>
          </w:p>
        </w:tc>
        <w:tc>
          <w:tcPr/>
          <w:p>
            <w:pPr>
              <w:pStyle w:val="Compact"/>
              <w:jc w:val="right"/>
            </w:pPr>
            <w:r>
              <w:t xml:space="preserve">-25.367286</w:t>
            </w:r>
          </w:p>
        </w:tc>
        <w:tc>
          <w:tcPr/>
          <w:p>
            <w:pPr>
              <w:pStyle w:val="Compact"/>
              <w:jc w:val="right"/>
            </w:pPr>
            <w:r>
              <w:t xml:space="preserve">0.0e+00</w:t>
            </w:r>
          </w:p>
        </w:tc>
      </w:tr>
      <w:tr>
        <w:tc>
          <w:tcPr/>
          <w:p>
            <w:pPr>
              <w:pStyle w:val="Compact"/>
              <w:jc w:val="left"/>
            </w:pPr>
            <w:r>
              <w:t xml:space="preserve">RegionWest</w:t>
            </w:r>
          </w:p>
        </w:tc>
        <w:tc>
          <w:tcPr/>
          <w:p>
            <w:pPr>
              <w:pStyle w:val="Compact"/>
              <w:jc w:val="right"/>
            </w:pPr>
            <w:r>
              <w:t xml:space="preserve">8.410008e+04</w:t>
            </w:r>
          </w:p>
        </w:tc>
        <w:tc>
          <w:tcPr/>
          <w:p>
            <w:pPr>
              <w:pStyle w:val="Compact"/>
              <w:jc w:val="right"/>
            </w:pPr>
            <w:r>
              <w:t xml:space="preserve">1.231966e+04</w:t>
            </w:r>
          </w:p>
        </w:tc>
        <w:tc>
          <w:tcPr/>
          <w:p>
            <w:pPr>
              <w:pStyle w:val="Compact"/>
              <w:jc w:val="right"/>
            </w:pPr>
            <w:r>
              <w:t xml:space="preserve">6.826495</w:t>
            </w:r>
          </w:p>
        </w:tc>
        <w:tc>
          <w:tcPr/>
          <w:p>
            <w:pPr>
              <w:pStyle w:val="Compact"/>
              <w:jc w:val="right"/>
            </w:pPr>
            <w:r>
              <w:t xml:space="preserve">0.0e+00</w:t>
            </w:r>
          </w:p>
        </w:tc>
      </w:tr>
      <w:tr>
        <w:tc>
          <w:tcPr/>
          <w:p>
            <w:pPr>
              <w:pStyle w:val="Compact"/>
              <w:jc w:val="left"/>
            </w:pPr>
            <w:r>
              <w:t xml:space="preserve">Distributed</w:t>
            </w:r>
          </w:p>
        </w:tc>
        <w:tc>
          <w:tcPr/>
          <w:p>
            <w:pPr>
              <w:pStyle w:val="Compact"/>
              <w:jc w:val="right"/>
            </w:pPr>
            <w:r>
              <w:t xml:space="preserve">8.316494e-01</w:t>
            </w:r>
          </w:p>
        </w:tc>
        <w:tc>
          <w:tcPr/>
          <w:p>
            <w:pPr>
              <w:pStyle w:val="Compact"/>
              <w:jc w:val="right"/>
            </w:pPr>
            <w:r>
              <w:t xml:space="preserve">4.335000e-04</w:t>
            </w:r>
          </w:p>
        </w:tc>
        <w:tc>
          <w:tcPr/>
          <w:p>
            <w:pPr>
              <w:pStyle w:val="Compact"/>
              <w:jc w:val="right"/>
            </w:pPr>
            <w:r>
              <w:t xml:space="preserve">1918.240535</w:t>
            </w:r>
          </w:p>
        </w:tc>
        <w:tc>
          <w:tcPr/>
          <w:p>
            <w:pPr>
              <w:pStyle w:val="Compact"/>
              <w:jc w:val="right"/>
            </w:pPr>
            <w:r>
              <w:t xml:space="preserve">0.0e+00</w:t>
            </w:r>
          </w:p>
        </w:tc>
      </w:tr>
    </w:tbl>
    <w:p>
      <w:pPr>
        <w:pStyle w:val="BodyText"/>
      </w:pP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5019195.3</w:t>
            </w:r>
          </w:p>
        </w:tc>
        <w:tc>
          <w:tcPr/>
          <w:p>
            <w:pPr>
              <w:pStyle w:val="Compact"/>
              <w:jc w:val="right"/>
            </w:pPr>
            <w:r>
              <w:t xml:space="preserve">127037.3</w:t>
            </w:r>
          </w:p>
        </w:tc>
        <w:tc>
          <w:tcPr/>
          <w:p>
            <w:pPr>
              <w:pStyle w:val="Compact"/>
              <w:jc w:val="right"/>
            </w:pPr>
            <w:r>
              <w:t xml:space="preserve">39.509619</w:t>
            </w:r>
          </w:p>
        </w:tc>
        <w:tc>
          <w:tcPr/>
          <w:p>
            <w:pPr>
              <w:pStyle w:val="Compact"/>
              <w:jc w:val="right"/>
            </w:pPr>
            <w:r>
              <w:t xml:space="preserve">0e+00</w:t>
            </w:r>
          </w:p>
        </w:tc>
      </w:tr>
      <w:tr>
        <w:tc>
          <w:tcPr/>
          <w:p>
            <w:pPr>
              <w:pStyle w:val="Compact"/>
              <w:jc w:val="left"/>
            </w:pPr>
            <w:r>
              <w:t xml:space="preserve">RegionNorthEast</w:t>
            </w:r>
          </w:p>
        </w:tc>
        <w:tc>
          <w:tcPr/>
          <w:p>
            <w:pPr>
              <w:pStyle w:val="Compact"/>
              <w:jc w:val="right"/>
            </w:pPr>
            <w:r>
              <w:t xml:space="preserve">974680.7</w:t>
            </w:r>
          </w:p>
        </w:tc>
        <w:tc>
          <w:tcPr/>
          <w:p>
            <w:pPr>
              <w:pStyle w:val="Compact"/>
              <w:jc w:val="right"/>
            </w:pPr>
            <w:r>
              <w:t xml:space="preserve">183695.6</w:t>
            </w:r>
          </w:p>
        </w:tc>
        <w:tc>
          <w:tcPr/>
          <w:p>
            <w:pPr>
              <w:pStyle w:val="Compact"/>
              <w:jc w:val="right"/>
            </w:pPr>
            <w:r>
              <w:t xml:space="preserve">5.305955</w:t>
            </w:r>
          </w:p>
        </w:tc>
        <w:tc>
          <w:tcPr/>
          <w:p>
            <w:pPr>
              <w:pStyle w:val="Compact"/>
              <w:jc w:val="right"/>
            </w:pPr>
            <w:r>
              <w:t xml:space="preserve">1e-07</w:t>
            </w:r>
          </w:p>
        </w:tc>
      </w:tr>
      <w:tr>
        <w:tc>
          <w:tcPr/>
          <w:p>
            <w:pPr>
              <w:pStyle w:val="Compact"/>
              <w:jc w:val="left"/>
            </w:pPr>
            <w:r>
              <w:t xml:space="preserve">RegionSouthEast</w:t>
            </w:r>
          </w:p>
        </w:tc>
        <w:tc>
          <w:tcPr/>
          <w:p>
            <w:pPr>
              <w:pStyle w:val="Compact"/>
              <w:jc w:val="right"/>
            </w:pPr>
            <w:r>
              <w:t xml:space="preserve">951843.1</w:t>
            </w:r>
          </w:p>
        </w:tc>
        <w:tc>
          <w:tcPr/>
          <w:p>
            <w:pPr>
              <w:pStyle w:val="Compact"/>
              <w:jc w:val="right"/>
            </w:pPr>
            <w:r>
              <w:t xml:space="preserve">179657.9</w:t>
            </w:r>
          </w:p>
        </w:tc>
        <w:tc>
          <w:tcPr/>
          <w:p>
            <w:pPr>
              <w:pStyle w:val="Compact"/>
              <w:jc w:val="right"/>
            </w:pPr>
            <w:r>
              <w:t xml:space="preserve">5.298088</w:t>
            </w:r>
          </w:p>
        </w:tc>
        <w:tc>
          <w:tcPr/>
          <w:p>
            <w:pPr>
              <w:pStyle w:val="Compact"/>
              <w:jc w:val="right"/>
            </w:pPr>
            <w:r>
              <w:t xml:space="preserve">1e-07</w:t>
            </w:r>
          </w:p>
        </w:tc>
      </w:tr>
      <w:tr>
        <w:tc>
          <w:tcPr/>
          <w:p>
            <w:pPr>
              <w:pStyle w:val="Compact"/>
              <w:jc w:val="left"/>
            </w:pPr>
            <w:r>
              <w:t xml:space="preserve">RegionSouthWest</w:t>
            </w:r>
          </w:p>
        </w:tc>
        <w:tc>
          <w:tcPr/>
          <w:p>
            <w:pPr>
              <w:pStyle w:val="Compact"/>
              <w:jc w:val="right"/>
            </w:pPr>
            <w:r>
              <w:t xml:space="preserve">4110723.8</w:t>
            </w:r>
          </w:p>
        </w:tc>
        <w:tc>
          <w:tcPr/>
          <w:p>
            <w:pPr>
              <w:pStyle w:val="Compact"/>
              <w:jc w:val="right"/>
            </w:pPr>
            <w:r>
              <w:t xml:space="preserve">254074.6</w:t>
            </w:r>
          </w:p>
        </w:tc>
        <w:tc>
          <w:tcPr/>
          <w:p>
            <w:pPr>
              <w:pStyle w:val="Compact"/>
              <w:jc w:val="right"/>
            </w:pPr>
            <w:r>
              <w:t xml:space="preserve">16.179200</w:t>
            </w:r>
          </w:p>
        </w:tc>
        <w:tc>
          <w:tcPr/>
          <w:p>
            <w:pPr>
              <w:pStyle w:val="Compact"/>
              <w:jc w:val="right"/>
            </w:pPr>
            <w:r>
              <w:t xml:space="preserve">0e+00</w:t>
            </w:r>
          </w:p>
        </w:tc>
      </w:tr>
      <w:tr>
        <w:tc>
          <w:tcPr/>
          <w:p>
            <w:pPr>
              <w:pStyle w:val="Compact"/>
              <w:jc w:val="left"/>
            </w:pPr>
            <w:r>
              <w:t xml:space="preserve">RegionWest</w:t>
            </w:r>
          </w:p>
        </w:tc>
        <w:tc>
          <w:tcPr/>
          <w:p>
            <w:pPr>
              <w:pStyle w:val="Compact"/>
              <w:jc w:val="right"/>
            </w:pPr>
            <w:r>
              <w:t xml:space="preserve">1086846.3</w:t>
            </w:r>
          </w:p>
        </w:tc>
        <w:tc>
          <w:tcPr/>
          <w:p>
            <w:pPr>
              <w:pStyle w:val="Compact"/>
              <w:jc w:val="right"/>
            </w:pPr>
            <w:r>
              <w:t xml:space="preserve">183695.6</w:t>
            </w:r>
          </w:p>
        </w:tc>
        <w:tc>
          <w:tcPr/>
          <w:p>
            <w:pPr>
              <w:pStyle w:val="Compact"/>
              <w:jc w:val="right"/>
            </w:pPr>
            <w:r>
              <w:t xml:space="preserve">5.916561</w:t>
            </w:r>
          </w:p>
        </w:tc>
        <w:tc>
          <w:tcPr/>
          <w:p>
            <w:pPr>
              <w:pStyle w:val="Compact"/>
              <w:jc w:val="right"/>
            </w:pPr>
            <w:r>
              <w:t xml:space="preserve">0e+00</w:t>
            </w:r>
          </w:p>
        </w:tc>
      </w:tr>
    </w:tbl>
    <w:p>
      <w:pPr>
        <w:pStyle w:val="BodyText"/>
      </w:pP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-1.031285e+05</w:t>
            </w:r>
          </w:p>
        </w:tc>
        <w:tc>
          <w:tcPr/>
          <w:p>
            <w:pPr>
              <w:pStyle w:val="Compact"/>
              <w:jc w:val="right"/>
            </w:pPr>
            <w:r>
              <w:t xml:space="preserve">5664.8526336</w:t>
            </w:r>
          </w:p>
        </w:tc>
        <w:tc>
          <w:tcPr/>
          <w:p>
            <w:pPr>
              <w:pStyle w:val="Compact"/>
              <w:jc w:val="right"/>
            </w:pPr>
            <w:r>
              <w:t xml:space="preserve">-18.20498</w:t>
            </w:r>
          </w:p>
        </w:tc>
        <w:tc>
          <w:tcPr/>
          <w:p>
            <w:pPr>
              <w:pStyle w:val="Compact"/>
              <w:jc w:val="right"/>
            </w:pPr>
            <w:r>
              <w:t xml:space="preserve">0</w:t>
            </w:r>
          </w:p>
        </w:tc>
      </w:tr>
      <w:tr>
        <w:tc>
          <w:tcPr/>
          <w:p>
            <w:pPr>
              <w:pStyle w:val="Compact"/>
              <w:jc w:val="left"/>
            </w:pPr>
            <w:r>
              <w:t xml:space="preserve">Distributed</w:t>
            </w:r>
          </w:p>
        </w:tc>
        <w:tc>
          <w:tcPr/>
          <w:p>
            <w:pPr>
              <w:pStyle w:val="Compact"/>
              <w:jc w:val="right"/>
            </w:pPr>
            <w:r>
              <w:t xml:space="preserve">8.297177e-01</w:t>
            </w:r>
          </w:p>
        </w:tc>
        <w:tc>
          <w:tcPr/>
          <w:p>
            <w:pPr>
              <w:pStyle w:val="Compact"/>
              <w:jc w:val="right"/>
            </w:pPr>
            <w:r>
              <w:t xml:space="preserve">0.0004641</w:t>
            </w:r>
          </w:p>
        </w:tc>
        <w:tc>
          <w:tcPr/>
          <w:p>
            <w:pPr>
              <w:pStyle w:val="Compact"/>
              <w:jc w:val="right"/>
            </w:pPr>
            <w:r>
              <w:t xml:space="preserve">1787.81982</w:t>
            </w:r>
          </w:p>
        </w:tc>
        <w:tc>
          <w:tcPr/>
          <w:p>
            <w:pPr>
              <w:pStyle w:val="Compact"/>
              <w:jc w:val="right"/>
            </w:pPr>
            <w:r>
              <w:t xml:space="preserve">0</w:t>
            </w:r>
          </w:p>
        </w:tc>
      </w:tr>
    </w:tbl>
    <w:p>
      <w:r>
        <w:br w:type="page"/>
      </w:r>
    </w:p>
    <w:bookmarkEnd w:id="35"/>
    <w:bookmarkStart w:id="36" w:name="full-analysis"/>
    <w:p>
      <w:pPr>
        <w:pStyle w:val="Heading2"/>
      </w:pPr>
      <w:r>
        <w:t xml:space="preserve">4.3 Full analysis</w:t>
      </w:r>
    </w:p>
    <w:p>
      <w:pPr>
        <w:pStyle w:val="FirstParagraph"/>
      </w:pPr>
      <w:r>
        <w:t xml:space="preserve">Comparing the best tree model to the null model fitted with the training dataset.</w:t>
      </w:r>
    </w:p>
    <w:tbl>
      <w:tblPr>
        <w:tblStyle w:val="Table"/>
        <w:tblW w:type="pct" w:w="5000"/>
        <w:tblLook w:firstRow="1" w:lastRow="0" w:firstColumn="0" w:lastColumn="0" w:noHBand="0" w:noVBand="0" w:val="0020"/>
      </w:tblPr>
      <w:tblGrid>
        <w:gridCol w:w="1440"/>
        <w:gridCol w:w="990"/>
        <w:gridCol w:w="720"/>
        <w:gridCol w:w="990"/>
        <w:gridCol w:w="810"/>
        <w:gridCol w:w="270"/>
        <w:gridCol w:w="720"/>
        <w:gridCol w:w="1980"/>
      </w:tblGrid>
      <w:tr>
        <w:trPr>
          <w:tblHeader w:val="true"/>
        </w:trPr>
        <w:tc>
          <w:tcPr/>
          <w:p>
            <w:pPr>
              <w:pStyle w:val="Compact"/>
              <w:jc w:val="right"/>
            </w:pPr>
            <w:r>
              <w:t xml:space="preserve">cost_complexity</w:t>
            </w:r>
          </w:p>
        </w:tc>
        <w:tc>
          <w:tcPr/>
          <w:p>
            <w:pPr>
              <w:pStyle w:val="Compact"/>
              <w:jc w:val="right"/>
            </w:pPr>
            <w:r>
              <w:t xml:space="preserve">tree_depth</w:t>
            </w:r>
          </w:p>
        </w:tc>
        <w:tc>
          <w:tcPr/>
          <w:p>
            <w:pPr>
              <w:pStyle w:val="Compact"/>
              <w:jc w:val="left"/>
            </w:pPr>
            <w:r>
              <w:t xml:space="preserve">.metric</w:t>
            </w:r>
          </w:p>
        </w:tc>
        <w:tc>
          <w:tcPr/>
          <w:p>
            <w:pPr>
              <w:pStyle w:val="Compact"/>
              <w:jc w:val="left"/>
            </w:pPr>
            <w:r>
              <w:t xml:space="preserve">.estimator</w:t>
            </w:r>
          </w:p>
        </w:tc>
        <w:tc>
          <w:tcPr/>
          <w:p>
            <w:pPr>
              <w:pStyle w:val="Compact"/>
              <w:jc w:val="right"/>
            </w:pPr>
            <w:r>
              <w:t xml:space="preserve">mean</w:t>
            </w:r>
          </w:p>
        </w:tc>
        <w:tc>
          <w:tcPr/>
          <w:p>
            <w:pPr>
              <w:pStyle w:val="Compact"/>
              <w:jc w:val="right"/>
            </w:pPr>
            <w:r>
              <w:t xml:space="preserve">n</w:t>
            </w:r>
          </w:p>
        </w:tc>
        <w:tc>
          <w:tcPr/>
          <w:p>
            <w:pPr>
              <w:pStyle w:val="Compact"/>
              <w:jc w:val="right"/>
            </w:pPr>
            <w:r>
              <w:t xml:space="preserve">std_err</w:t>
            </w:r>
          </w:p>
        </w:tc>
        <w:tc>
          <w:tcPr/>
          <w:p>
            <w:pPr>
              <w:pStyle w:val="Compact"/>
              <w:jc w:val="left"/>
            </w:pPr>
            <w:r>
              <w:t xml:space="preserve">.config</w:t>
            </w:r>
          </w:p>
        </w:tc>
      </w:tr>
      <w:tr>
        <w:tc>
          <w:tcPr/>
          <w:p>
            <w:pPr>
              <w:pStyle w:val="Compact"/>
              <w:jc w:val="right"/>
            </w:pPr>
            <w:r>
              <w:t xml:space="preserve">0</w:t>
            </w:r>
          </w:p>
        </w:tc>
        <w:tc>
          <w:tcPr/>
          <w:p>
            <w:pPr>
              <w:pStyle w:val="Compact"/>
              <w:jc w:val="right"/>
            </w:pPr>
            <w:r>
              <w:t xml:space="preserve">1</w:t>
            </w:r>
          </w:p>
        </w:tc>
        <w:tc>
          <w:tcPr/>
          <w:p>
            <w:pPr>
              <w:pStyle w:val="Compact"/>
              <w:jc w:val="left"/>
            </w:pPr>
            <w:r>
              <w:t xml:space="preserve">rmse</w:t>
            </w:r>
          </w:p>
        </w:tc>
        <w:tc>
          <w:tcPr/>
          <w:p>
            <w:pPr>
              <w:pStyle w:val="Compact"/>
              <w:jc w:val="left"/>
            </w:pPr>
            <w:r>
              <w:t xml:space="preserve">standard</w:t>
            </w:r>
          </w:p>
        </w:tc>
        <w:tc>
          <w:tcPr/>
          <w:p>
            <w:pPr>
              <w:pStyle w:val="Compact"/>
              <w:jc w:val="right"/>
            </w:pPr>
            <w:r>
              <w:t xml:space="preserve">10850738</w:t>
            </w:r>
          </w:p>
        </w:tc>
        <w:tc>
          <w:tcPr/>
          <w:p>
            <w:pPr>
              <w:pStyle w:val="Compact"/>
              <w:jc w:val="right"/>
            </w:pPr>
            <w:r>
              <w:t xml:space="preserve">5</w:t>
            </w:r>
          </w:p>
        </w:tc>
        <w:tc>
          <w:tcPr/>
          <w:p>
            <w:pPr>
              <w:pStyle w:val="Compact"/>
              <w:jc w:val="right"/>
            </w:pPr>
            <w:r>
              <w:t xml:space="preserve">1323450</w:t>
            </w:r>
          </w:p>
        </w:tc>
        <w:tc>
          <w:tcPr/>
          <w:p>
            <w:pPr>
              <w:pStyle w:val="Compact"/>
              <w:jc w:val="left"/>
            </w:pPr>
            <w:r>
              <w:t xml:space="preserve">Preprocessor1_Model01</w:t>
            </w:r>
          </w:p>
        </w:tc>
      </w:tr>
    </w:tbl>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.metric</w:t>
            </w:r>
          </w:p>
        </w:tc>
        <w:tc>
          <w:tcPr/>
          <w:p>
            <w:pPr>
              <w:pStyle w:val="Compact"/>
              <w:jc w:val="left"/>
            </w:pPr>
            <w:r>
              <w:t xml:space="preserve">.estimator</w:t>
            </w:r>
          </w:p>
        </w:tc>
        <w:tc>
          <w:tcPr/>
          <w:p>
            <w:pPr>
              <w:pStyle w:val="Compact"/>
              <w:jc w:val="right"/>
            </w:pPr>
            <w:r>
              <w:t xml:space="preserve">mean</w:t>
            </w:r>
          </w:p>
        </w:tc>
        <w:tc>
          <w:tcPr/>
          <w:p>
            <w:pPr>
              <w:pStyle w:val="Compact"/>
              <w:jc w:val="right"/>
            </w:pPr>
            <w:r>
              <w:t xml:space="preserve">n</w:t>
            </w:r>
          </w:p>
        </w:tc>
        <w:tc>
          <w:tcPr/>
          <w:p>
            <w:pPr>
              <w:pStyle w:val="Compact"/>
              <w:jc w:val="right"/>
            </w:pPr>
            <w:r>
              <w:t xml:space="preserve">std_err</w:t>
            </w:r>
          </w:p>
        </w:tc>
        <w:tc>
          <w:tcPr/>
          <w:p>
            <w:pPr>
              <w:pStyle w:val="Compact"/>
              <w:jc w:val="left"/>
            </w:pPr>
            <w:r>
              <w:t xml:space="preserve">.config</w:t>
            </w:r>
          </w:p>
        </w:tc>
      </w:tr>
      <w:tr>
        <w:tc>
          <w:tcPr/>
          <w:p>
            <w:pPr>
              <w:pStyle w:val="Compact"/>
              <w:jc w:val="left"/>
            </w:pPr>
            <w:r>
              <w:t xml:space="preserve">rmse</w:t>
            </w:r>
          </w:p>
        </w:tc>
        <w:tc>
          <w:tcPr/>
          <w:p>
            <w:pPr>
              <w:pStyle w:val="Compact"/>
              <w:jc w:val="left"/>
            </w:pPr>
            <w:r>
              <w:t xml:space="preserve">standard</w:t>
            </w:r>
          </w:p>
        </w:tc>
        <w:tc>
          <w:tcPr/>
          <w:p>
            <w:pPr>
              <w:pStyle w:val="Compact"/>
              <w:jc w:val="right"/>
            </w:pPr>
            <w:r>
              <w:t xml:space="preserve">10034816</w:t>
            </w:r>
          </w:p>
        </w:tc>
        <w:tc>
          <w:tcPr/>
          <w:p>
            <w:pPr>
              <w:pStyle w:val="Compact"/>
              <w:jc w:val="right"/>
            </w:pPr>
            <w:r>
              <w:t xml:space="preserve">5</w:t>
            </w:r>
          </w:p>
        </w:tc>
        <w:tc>
          <w:tcPr/>
          <w:p>
            <w:pPr>
              <w:pStyle w:val="Compact"/>
              <w:jc w:val="right"/>
            </w:pPr>
            <w:r>
              <w:t xml:space="preserve">1058155</w:t>
            </w:r>
          </w:p>
        </w:tc>
        <w:tc>
          <w:tcPr/>
          <w:p>
            <w:pPr>
              <w:pStyle w:val="Compact"/>
              <w:jc w:val="left"/>
            </w:pPr>
            <w:r>
              <w:t xml:space="preserve">Preprocessor1_Model1</w:t>
            </w:r>
          </w:p>
        </w:tc>
      </w:tr>
      <w:tr>
        <w:tc>
          <w:tcPr/>
          <w:p>
            <w:pPr>
              <w:pStyle w:val="Compact"/>
              <w:jc w:val="left"/>
            </w:pPr>
            <w:r>
              <w:t xml:space="preserve">rsq</w:t>
            </w:r>
          </w:p>
        </w:tc>
        <w:tc>
          <w:tcPr/>
          <w:p>
            <w:pPr>
              <w:pStyle w:val="Compact"/>
              <w:jc w:val="left"/>
            </w:pPr>
            <w:r>
              <w:t xml:space="preserve">standard</w:t>
            </w:r>
          </w:p>
        </w:tc>
        <w:tc>
          <w:tcPr/>
          <w:p>
            <w:pPr>
              <w:pStyle w:val="Compact"/>
              <w:jc w:val="right"/>
            </w:pPr>
            <w:r>
              <w:t xml:space="preserve">NaN</w:t>
            </w:r>
          </w:p>
        </w:tc>
        <w:tc>
          <w:tcPr/>
          <w:p>
            <w:pPr>
              <w:pStyle w:val="Compact"/>
              <w:jc w:val="right"/>
            </w:pPr>
            <w:r>
              <w:t xml:space="preserve">0</w:t>
            </w:r>
          </w:p>
        </w:tc>
        <w:tc>
          <w:tcPr/>
          <w:p>
            <w:pPr>
              <w:pStyle w:val="Compact"/>
              <w:jc w:val="right"/>
            </w:pPr>
            <w:r>
              <w:t xml:space="preserve">NA</w:t>
            </w:r>
          </w:p>
        </w:tc>
        <w:tc>
          <w:tcPr/>
          <w:p>
            <w:pPr>
              <w:pStyle w:val="Compact"/>
              <w:jc w:val="left"/>
            </w:pPr>
            <w:r>
              <w:t xml:space="preserve">Preprocessor1_Model1</w:t>
            </w:r>
          </w:p>
        </w:tc>
      </w:tr>
    </w:tbl>
    <w:p>
      <w:pPr>
        <w:pStyle w:val="BodyText"/>
      </w:pPr>
      <w:r>
        <w:t xml:space="preserve">Comparing the last tree fit with the null model fitted with the testing data.</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.metric</w:t>
            </w:r>
          </w:p>
        </w:tc>
        <w:tc>
          <w:tcPr/>
          <w:p>
            <w:pPr>
              <w:pStyle w:val="Compact"/>
              <w:jc w:val="left"/>
            </w:pPr>
            <w:r>
              <w:t xml:space="preserve">.estimator</w:t>
            </w:r>
          </w:p>
        </w:tc>
        <w:tc>
          <w:tcPr/>
          <w:p>
            <w:pPr>
              <w:pStyle w:val="Compact"/>
              <w:jc w:val="right"/>
            </w:pPr>
            <w:r>
              <w:t xml:space="preserve">.estimate</w:t>
            </w:r>
          </w:p>
        </w:tc>
        <w:tc>
          <w:tcPr/>
          <w:p>
            <w:pPr>
              <w:pStyle w:val="Compact"/>
              <w:jc w:val="left"/>
            </w:pPr>
            <w:r>
              <w:t xml:space="preserve">.config</w:t>
            </w:r>
          </w:p>
        </w:tc>
      </w:tr>
      <w:tr>
        <w:tc>
          <w:tcPr/>
          <w:p>
            <w:pPr>
              <w:pStyle w:val="Compact"/>
              <w:jc w:val="left"/>
            </w:pPr>
            <w:r>
              <w:t xml:space="preserve">rmse</w:t>
            </w:r>
          </w:p>
        </w:tc>
        <w:tc>
          <w:tcPr/>
          <w:p>
            <w:pPr>
              <w:pStyle w:val="Compact"/>
              <w:jc w:val="left"/>
            </w:pPr>
            <w:r>
              <w:t xml:space="preserve">standard</w:t>
            </w:r>
          </w:p>
        </w:tc>
        <w:tc>
          <w:tcPr/>
          <w:p>
            <w:pPr>
              <w:pStyle w:val="Compact"/>
              <w:jc w:val="right"/>
            </w:pPr>
            <w:r>
              <w:t xml:space="preserve">1.589127e+07</w:t>
            </w:r>
          </w:p>
        </w:tc>
        <w:tc>
          <w:tcPr/>
          <w:p>
            <w:pPr>
              <w:pStyle w:val="Compact"/>
              <w:jc w:val="left"/>
            </w:pPr>
            <w:r>
              <w:t xml:space="preserve">Preprocessor1_Model1</w:t>
            </w:r>
          </w:p>
        </w:tc>
      </w:tr>
      <w:tr>
        <w:tc>
          <w:tcPr/>
          <w:p>
            <w:pPr>
              <w:pStyle w:val="Compact"/>
              <w:jc w:val="left"/>
            </w:pPr>
            <w:r>
              <w:t xml:space="preserve">rsq</w:t>
            </w:r>
          </w:p>
        </w:tc>
        <w:tc>
          <w:tcPr/>
          <w:p>
            <w:pPr>
              <w:pStyle w:val="Compact"/>
              <w:jc w:val="left"/>
            </w:pPr>
            <w:r>
              <w:t xml:space="preserve">standard</w:t>
            </w:r>
          </w:p>
        </w:tc>
        <w:tc>
          <w:tcPr/>
          <w:p>
            <w:pPr>
              <w:pStyle w:val="Compact"/>
              <w:jc w:val="right"/>
            </w:pPr>
            <w:r>
              <w:t xml:space="preserve">5.776640e-02</w:t>
            </w:r>
          </w:p>
        </w:tc>
        <w:tc>
          <w:tcPr/>
          <w:p>
            <w:pPr>
              <w:pStyle w:val="Compact"/>
              <w:jc w:val="left"/>
            </w:pPr>
            <w:r>
              <w:t xml:space="preserve">Preprocessor1_Model1</w:t>
            </w:r>
          </w:p>
        </w:tc>
      </w:tr>
    </w:tbl>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.metric</w:t>
            </w:r>
          </w:p>
        </w:tc>
        <w:tc>
          <w:tcPr/>
          <w:p>
            <w:pPr>
              <w:pStyle w:val="Compact"/>
              <w:jc w:val="left"/>
            </w:pPr>
            <w:r>
              <w:t xml:space="preserve">.estimator</w:t>
            </w:r>
          </w:p>
        </w:tc>
        <w:tc>
          <w:tcPr/>
          <w:p>
            <w:pPr>
              <w:pStyle w:val="Compact"/>
              <w:jc w:val="right"/>
            </w:pPr>
            <w:r>
              <w:t xml:space="preserve">mean</w:t>
            </w:r>
          </w:p>
        </w:tc>
        <w:tc>
          <w:tcPr/>
          <w:p>
            <w:pPr>
              <w:pStyle w:val="Compact"/>
              <w:jc w:val="right"/>
            </w:pPr>
            <w:r>
              <w:t xml:space="preserve">n</w:t>
            </w:r>
          </w:p>
        </w:tc>
        <w:tc>
          <w:tcPr/>
          <w:p>
            <w:pPr>
              <w:pStyle w:val="Compact"/>
              <w:jc w:val="right"/>
            </w:pPr>
            <w:r>
              <w:t xml:space="preserve">std_err</w:t>
            </w:r>
          </w:p>
        </w:tc>
        <w:tc>
          <w:tcPr/>
          <w:p>
            <w:pPr>
              <w:pStyle w:val="Compact"/>
              <w:jc w:val="left"/>
            </w:pPr>
            <w:r>
              <w:t xml:space="preserve">.config</w:t>
            </w:r>
          </w:p>
        </w:tc>
      </w:tr>
      <w:tr>
        <w:tc>
          <w:tcPr/>
          <w:p>
            <w:pPr>
              <w:pStyle w:val="Compact"/>
              <w:jc w:val="left"/>
            </w:pPr>
            <w:r>
              <w:t xml:space="preserve">rmse</w:t>
            </w:r>
          </w:p>
        </w:tc>
        <w:tc>
          <w:tcPr/>
          <w:p>
            <w:pPr>
              <w:pStyle w:val="Compact"/>
              <w:jc w:val="left"/>
            </w:pPr>
            <w:r>
              <w:t xml:space="preserve">standard</w:t>
            </w:r>
          </w:p>
        </w:tc>
        <w:tc>
          <w:tcPr/>
          <w:p>
            <w:pPr>
              <w:pStyle w:val="Compact"/>
              <w:jc w:val="right"/>
            </w:pPr>
            <w:r>
              <w:t xml:space="preserve">11986004</w:t>
            </w:r>
          </w:p>
        </w:tc>
        <w:tc>
          <w:tcPr/>
          <w:p>
            <w:pPr>
              <w:pStyle w:val="Compact"/>
              <w:jc w:val="right"/>
            </w:pPr>
            <w:r>
              <w:t xml:space="preserve">5</w:t>
            </w:r>
          </w:p>
        </w:tc>
        <w:tc>
          <w:tcPr/>
          <w:p>
            <w:pPr>
              <w:pStyle w:val="Compact"/>
              <w:jc w:val="right"/>
            </w:pPr>
            <w:r>
              <w:t xml:space="preserve">5556718</w:t>
            </w:r>
          </w:p>
        </w:tc>
        <w:tc>
          <w:tcPr/>
          <w:p>
            <w:pPr>
              <w:pStyle w:val="Compact"/>
              <w:jc w:val="left"/>
            </w:pPr>
            <w:r>
              <w:t xml:space="preserve">Preprocessor1_Model1</w:t>
            </w:r>
          </w:p>
        </w:tc>
      </w:tr>
      <w:tr>
        <w:tc>
          <w:tcPr/>
          <w:p>
            <w:pPr>
              <w:pStyle w:val="Compact"/>
              <w:jc w:val="left"/>
            </w:pPr>
            <w:r>
              <w:t xml:space="preserve">rsq</w:t>
            </w:r>
          </w:p>
        </w:tc>
        <w:tc>
          <w:tcPr/>
          <w:p>
            <w:pPr>
              <w:pStyle w:val="Compact"/>
              <w:jc w:val="left"/>
            </w:pPr>
            <w:r>
              <w:t xml:space="preserve">standard</w:t>
            </w:r>
          </w:p>
        </w:tc>
        <w:tc>
          <w:tcPr/>
          <w:p>
            <w:pPr>
              <w:pStyle w:val="Compact"/>
              <w:jc w:val="right"/>
            </w:pPr>
            <w:r>
              <w:t xml:space="preserve">NaN</w:t>
            </w:r>
          </w:p>
        </w:tc>
        <w:tc>
          <w:tcPr/>
          <w:p>
            <w:pPr>
              <w:pStyle w:val="Compact"/>
              <w:jc w:val="right"/>
            </w:pPr>
            <w:r>
              <w:t xml:space="preserve">0</w:t>
            </w:r>
          </w:p>
        </w:tc>
        <w:tc>
          <w:tcPr/>
          <w:p>
            <w:pPr>
              <w:pStyle w:val="Compact"/>
              <w:jc w:val="right"/>
            </w:pPr>
            <w:r>
              <w:t xml:space="preserve">NA</w:t>
            </w:r>
          </w:p>
        </w:tc>
        <w:tc>
          <w:tcPr/>
          <w:p>
            <w:pPr>
              <w:pStyle w:val="Compact"/>
              <w:jc w:val="left"/>
            </w:pPr>
            <w:r>
              <w:t xml:space="preserve">Preprocessor1_Model1</w:t>
            </w:r>
          </w:p>
        </w:tc>
      </w:tr>
    </w:tbl>
    <w:p>
      <w:r>
        <w:br w:type="page"/>
      </w:r>
    </w:p>
    <w:bookmarkEnd w:id="36"/>
    <w:bookmarkEnd w:id="37"/>
    <w:bookmarkStart w:id="41" w:name="discussion"/>
    <w:p>
      <w:pPr>
        <w:pStyle w:val="Heading1"/>
      </w:pPr>
      <w:r>
        <w:t xml:space="preserve">5. Discussion</w:t>
      </w:r>
    </w:p>
    <w:bookmarkStart w:id="38"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38"/>
    <w:bookmarkStart w:id="39" w:name="strengths-and-limitations"/>
    <w:p>
      <w:pPr>
        <w:pStyle w:val="Heading2"/>
      </w:pPr>
      <w:r>
        <w:t xml:space="preserve">5.2 Strengths and Limitations</w:t>
      </w:r>
    </w:p>
    <w:p>
      <w:pPr>
        <w:pStyle w:val="FirstParagraph"/>
      </w:pPr>
      <w:r>
        <w:t xml:space="preserve">We believe given the consistency and availability of COVID-19 vaccination across the U.S. there is great potential to drill down on the drivers of increase vaccination uptake and identify regions having great success and regions of concern. This study showed that the Western region of the U.S. is associated with increase COVID-19 vaccine administered in the year 2021. Further, from our machine learning modeling region appears to be a major indicator of vaccine administration despite including income by state. Our findings should spur more research looking at the characteristics of these regions to ascertain these drivers from a national viewpoint. Our research was limited by the context and formatting of datasets with other variable that characteristics these areas. Datasets were incompatible due to less frequent or sparse updates as well as insufficient information to reliably join or add to our existing dataset containing COVID-19 vaccine numbers.</w:t>
      </w:r>
    </w:p>
    <w:bookmarkEnd w:id="39"/>
    <w:bookmarkStart w:id="40"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r>
        <w:br w:type="page"/>
      </w:r>
    </w:p>
    <w:bookmarkEnd w:id="40"/>
    <w:bookmarkEnd w:id="41"/>
    <w:bookmarkStart w:id="54" w:name="references"/>
    <w:p>
      <w:pPr>
        <w:pStyle w:val="Heading1"/>
      </w:pPr>
      <w:r>
        <w:t xml:space="preserve">6. References</w:t>
      </w:r>
    </w:p>
    <w:bookmarkStart w:id="53" w:name="refs"/>
    <w:bookmarkStart w:id="43" w:name="ref-us_census_bureau_american_2021"/>
    <w:p>
      <w:pPr>
        <w:pStyle w:val="Bibliography"/>
      </w:pPr>
      <w:r>
        <w:t xml:space="preserve">Bureau, U. C. (2021).</w:t>
      </w:r>
      <w:r>
        <w:t xml:space="preserve"> </w:t>
      </w:r>
      <w:r>
        <w:rPr>
          <w:iCs/>
          <w:i/>
        </w:rPr>
        <w:t xml:space="preserve">American</w:t>
      </w:r>
      <w:r>
        <w:rPr>
          <w:iCs/>
          <w:i/>
        </w:rPr>
        <w:t xml:space="preserve"> </w:t>
      </w:r>
      <w:r>
        <w:rPr>
          <w:iCs/>
          <w:i/>
        </w:rPr>
        <w:t xml:space="preserve">Community</w:t>
      </w:r>
      <w:r>
        <w:rPr>
          <w:iCs/>
          <w:i/>
        </w:rPr>
        <w:t xml:space="preserve"> </w:t>
      </w:r>
      <w:r>
        <w:rPr>
          <w:iCs/>
          <w:i/>
        </w:rPr>
        <w:t xml:space="preserve">Survey</w:t>
      </w:r>
      <w:r>
        <w:rPr>
          <w:iCs/>
          <w:i/>
        </w:rPr>
        <w:t xml:space="preserve"> </w:t>
      </w:r>
      <w:r>
        <w:rPr>
          <w:iCs/>
          <w:i/>
        </w:rPr>
        <w:t xml:space="preserve">Income</w:t>
      </w:r>
      <w:r>
        <w:rPr>
          <w:iCs/>
          <w:i/>
        </w:rPr>
        <w:t xml:space="preserve"> </w:t>
      </w:r>
      <w:r>
        <w:rPr>
          <w:iCs/>
          <w:i/>
        </w:rPr>
        <w:t xml:space="preserve">Data</w:t>
      </w:r>
      <w:r>
        <w:rPr>
          <w:iCs/>
          <w:i/>
        </w:rPr>
        <w:t xml:space="preserve"> </w:t>
      </w:r>
      <w:r>
        <w:rPr>
          <w:iCs/>
          <w:i/>
        </w:rPr>
        <w:t xml:space="preserve">over the</w:t>
      </w:r>
      <w:r>
        <w:rPr>
          <w:iCs/>
          <w:i/>
        </w:rPr>
        <w:t xml:space="preserve"> </w:t>
      </w:r>
      <w:r>
        <w:rPr>
          <w:iCs/>
          <w:i/>
        </w:rPr>
        <w:t xml:space="preserve">Past</w:t>
      </w:r>
      <w:r>
        <w:rPr>
          <w:iCs/>
          <w:i/>
        </w:rPr>
        <w:t xml:space="preserve"> </w:t>
      </w:r>
      <w:r>
        <w:rPr>
          <w:iCs/>
          <w:i/>
        </w:rPr>
        <w:t xml:space="preserve">12</w:t>
      </w:r>
      <w:r>
        <w:rPr>
          <w:iCs/>
          <w:i/>
        </w:rPr>
        <w:t xml:space="preserve"> </w:t>
      </w:r>
      <w:r>
        <w:rPr>
          <w:iCs/>
          <w:i/>
        </w:rPr>
        <w:t xml:space="preserve">Months</w:t>
      </w:r>
      <w:r>
        <w:t xml:space="preserve">. Retrieved from</w:t>
      </w:r>
      <w:r>
        <w:t xml:space="preserve"> </w:t>
      </w:r>
      <w:hyperlink r:id="rId42">
        <w:r>
          <w:rPr>
            <w:rStyle w:val="Hyperlink"/>
          </w:rPr>
          <w:t xml:space="preserve">https://data.census.gov/table?q=United+States&amp;t=Income+and+Earnings&amp;g=010XX00US,$0400000&amp;y=2021</w:t>
        </w:r>
      </w:hyperlink>
    </w:p>
    <w:bookmarkEnd w:id="43"/>
    <w:bookmarkStart w:id="45" w:name="ref-cdc_cdc_nodate"/>
    <w:p>
      <w:pPr>
        <w:pStyle w:val="Bibliography"/>
      </w:pPr>
      <w:r>
        <w:t xml:space="preserve">CDC. (n.d.-a).</w:t>
      </w:r>
      <w:r>
        <w:t xml:space="preserve"> </w:t>
      </w:r>
      <w:r>
        <w:rPr>
          <w:iCs/>
          <w:i/>
        </w:rPr>
        <w:t xml:space="preserve">CDC</w:t>
      </w:r>
      <w:r>
        <w:rPr>
          <w:iCs/>
          <w:i/>
        </w:rPr>
        <w:t xml:space="preserve"> </w:t>
      </w:r>
      <w:r>
        <w:rPr>
          <w:iCs/>
          <w:i/>
        </w:rPr>
        <w:t xml:space="preserve">COVID</w:t>
      </w:r>
      <w:r>
        <w:rPr>
          <w:iCs/>
          <w:i/>
        </w:rPr>
        <w:t xml:space="preserve">-19</w:t>
      </w:r>
      <w:r>
        <w:rPr>
          <w:iCs/>
          <w:i/>
        </w:rPr>
        <w:t xml:space="preserve"> </w:t>
      </w:r>
      <w:r>
        <w:rPr>
          <w:iCs/>
          <w:i/>
        </w:rPr>
        <w:t xml:space="preserve">Data</w:t>
      </w:r>
      <w:r>
        <w:rPr>
          <w:iCs/>
          <w:i/>
        </w:rPr>
        <w:t xml:space="preserve"> </w:t>
      </w:r>
      <w:r>
        <w:rPr>
          <w:iCs/>
          <w:i/>
        </w:rPr>
        <w:t xml:space="preserve">Tracker</w:t>
      </w:r>
      <w:r>
        <w:t xml:space="preserve">. Retrieved from</w:t>
      </w:r>
      <w:r>
        <w:t xml:space="preserve"> </w:t>
      </w:r>
      <w:hyperlink r:id="rId44">
        <w:r>
          <w:rPr>
            <w:rStyle w:val="Hyperlink"/>
          </w:rPr>
          <w:t xml:space="preserve">https://covid.cdc.gov/covid-data-tracker/#datatracker-home</w:t>
        </w:r>
      </w:hyperlink>
    </w:p>
    <w:bookmarkEnd w:id="45"/>
    <w:bookmarkStart w:id="47" w:name="ref-cdc_covid-19_nodate"/>
    <w:p>
      <w:pPr>
        <w:pStyle w:val="Bibliography"/>
      </w:pPr>
      <w:r>
        <w:t xml:space="preserve">CDC. (n.d.-b).</w:t>
      </w:r>
      <w:r>
        <w:t xml:space="preserve"> </w:t>
      </w:r>
      <w:r>
        <w:rPr>
          <w:iCs/>
          <w:i/>
        </w:rPr>
        <w:t xml:space="preserve">COVID</w:t>
      </w:r>
      <w:r>
        <w:rPr>
          <w:iCs/>
          <w:i/>
        </w:rPr>
        <w:t xml:space="preserve">-19</w:t>
      </w:r>
      <w:r>
        <w:rPr>
          <w:iCs/>
          <w:i/>
        </w:rPr>
        <w:t xml:space="preserve"> </w:t>
      </w:r>
      <w:r>
        <w:rPr>
          <w:iCs/>
          <w:i/>
        </w:rPr>
        <w:t xml:space="preserve">Vaccinations</w:t>
      </w:r>
      <w:r>
        <w:rPr>
          <w:iCs/>
          <w:i/>
        </w:rPr>
        <w:t xml:space="preserve"> </w:t>
      </w:r>
      <w:r>
        <w:rPr>
          <w:iCs/>
          <w:i/>
        </w:rPr>
        <w:t xml:space="preserve">in the</w:t>
      </w:r>
      <w:r>
        <w:rPr>
          <w:iCs/>
          <w:i/>
        </w:rPr>
        <w:t xml:space="preserve"> </w:t>
      </w:r>
      <w:r>
        <w:rPr>
          <w:iCs/>
          <w:i/>
        </w:rPr>
        <w:t xml:space="preserve">United</w:t>
      </w:r>
      <w:r>
        <w:rPr>
          <w:iCs/>
          <w:i/>
        </w:rPr>
        <w:t xml:space="preserve"> </w:t>
      </w:r>
      <w:r>
        <w:rPr>
          <w:iCs/>
          <w:i/>
        </w:rPr>
        <w:t xml:space="preserve">States</w:t>
      </w:r>
      <w:r>
        <w:rPr>
          <w:iCs/>
          <w:i/>
        </w:rPr>
        <w:t xml:space="preserve">,</w:t>
      </w:r>
      <w:r>
        <w:rPr>
          <w:iCs/>
          <w:i/>
        </w:rPr>
        <w:t xml:space="preserve">Jurisdiction</w:t>
      </w:r>
      <w:r>
        <w:t xml:space="preserve">. Retrieved from</w:t>
      </w:r>
      <w:r>
        <w:t xml:space="preserve"> </w:t>
      </w:r>
      <w:hyperlink r:id="rId46">
        <w:r>
          <w:rPr>
            <w:rStyle w:val="Hyperlink"/>
          </w:rPr>
          <w:t xml:space="preserve">https://data.cdc.gov/Vaccinations/COVID-19-Vaccinations-in-the-United-States-Jurisdi/unsk-b7fc</w:t>
        </w:r>
      </w:hyperlink>
    </w:p>
    <w:bookmarkEnd w:id="47"/>
    <w:bookmarkStart w:id="48" w:name="ref-dooling_advisory_2021"/>
    <w:p>
      <w:pPr>
        <w:pStyle w:val="Bibliography"/>
      </w:pPr>
      <w:r>
        <w:t xml:space="preserve">Dooling, K., Marin, M., Wallace, M., McClung, N., Chamberland, M., Lee, G. M., … Oliver, S. E. (2021).</w:t>
      </w:r>
      <w:r>
        <w:t xml:space="preserve"> </w:t>
      </w:r>
      <w:r>
        <w:rPr>
          <w:iCs/>
          <w:i/>
        </w:rPr>
        <w:t xml:space="preserve">The</w:t>
      </w:r>
      <w:r>
        <w:rPr>
          <w:iCs/>
          <w:i/>
        </w:rPr>
        <w:t xml:space="preserve"> </w:t>
      </w:r>
      <w:r>
        <w:rPr>
          <w:iCs/>
          <w:i/>
        </w:rPr>
        <w:t xml:space="preserve">Advisory</w:t>
      </w:r>
      <w:r>
        <w:rPr>
          <w:iCs/>
          <w:i/>
        </w:rPr>
        <w:t xml:space="preserve"> </w:t>
      </w:r>
      <w:r>
        <w:rPr>
          <w:iCs/>
          <w:i/>
        </w:rPr>
        <w:t xml:space="preserve">Committee</w:t>
      </w:r>
      <w:r>
        <w:rPr>
          <w:iCs/>
          <w:i/>
        </w:rPr>
        <w:t xml:space="preserve"> </w:t>
      </w:r>
      <w:r>
        <w:rPr>
          <w:iCs/>
          <w:i/>
        </w:rPr>
        <w:t xml:space="preserve">on</w:t>
      </w:r>
      <w:r>
        <w:rPr>
          <w:iCs/>
          <w:i/>
        </w:rPr>
        <w:t xml:space="preserve"> </w:t>
      </w:r>
      <w:r>
        <w:rPr>
          <w:iCs/>
          <w:i/>
        </w:rPr>
        <w:t xml:space="preserve">Immunization</w:t>
      </w:r>
      <w:r>
        <w:rPr>
          <w:iCs/>
          <w:i/>
        </w:rPr>
        <w:t xml:space="preserve"> </w:t>
      </w:r>
      <w:r>
        <w:rPr>
          <w:iCs/>
          <w:i/>
        </w:rPr>
        <w:t xml:space="preserve">Practices</w:t>
      </w:r>
      <w:r>
        <w:rPr>
          <w:iCs/>
          <w:i/>
        </w:rPr>
        <w:t xml:space="preserve">’</w:t>
      </w:r>
      <w:r>
        <w:rPr>
          <w:iCs/>
          <w:i/>
        </w:rPr>
        <w:t xml:space="preserve"> </w:t>
      </w:r>
      <w:r>
        <w:rPr>
          <w:iCs/>
          <w:i/>
        </w:rPr>
        <w:t xml:space="preserve">Updated</w:t>
      </w:r>
      <w:r>
        <w:rPr>
          <w:iCs/>
          <w:i/>
        </w:rPr>
        <w:t xml:space="preserve"> </w:t>
      </w:r>
      <w:r>
        <w:rPr>
          <w:iCs/>
          <w:i/>
        </w:rPr>
        <w:t xml:space="preserve">Interim</w:t>
      </w:r>
      <w:r>
        <w:rPr>
          <w:iCs/>
          <w:i/>
        </w:rPr>
        <w:t xml:space="preserve"> </w:t>
      </w:r>
      <w:r>
        <w:rPr>
          <w:iCs/>
          <w:i/>
        </w:rPr>
        <w:t xml:space="preserve">Recommendation</w:t>
      </w:r>
      <w:r>
        <w:rPr>
          <w:iCs/>
          <w:i/>
        </w:rPr>
        <w:t xml:space="preserve"> </w:t>
      </w:r>
      <w:r>
        <w:rPr>
          <w:iCs/>
          <w:i/>
        </w:rPr>
        <w:t xml:space="preserve">for</w:t>
      </w:r>
      <w:r>
        <w:rPr>
          <w:iCs/>
          <w:i/>
        </w:rPr>
        <w:t xml:space="preserve"> </w:t>
      </w:r>
      <w:r>
        <w:rPr>
          <w:iCs/>
          <w:i/>
        </w:rPr>
        <w:t xml:space="preserve">Allocation</w:t>
      </w:r>
      <w:r>
        <w:rPr>
          <w:iCs/>
          <w:i/>
        </w:rPr>
        <w:t xml:space="preserve"> </w:t>
      </w:r>
      <w:r>
        <w:rPr>
          <w:iCs/>
          <w:i/>
        </w:rPr>
        <w:t xml:space="preserve">of</w:t>
      </w:r>
      <w:r>
        <w:rPr>
          <w:iCs/>
          <w:i/>
        </w:rPr>
        <w:t xml:space="preserve"> </w:t>
      </w:r>
      <w:r>
        <w:rPr>
          <w:iCs/>
          <w:i/>
        </w:rPr>
        <w:t xml:space="preserve">COVID</w:t>
      </w:r>
      <w:r>
        <w:rPr>
          <w:iCs/>
          <w:i/>
        </w:rPr>
        <w:t xml:space="preserve">-19</w:t>
      </w:r>
      <w:r>
        <w:rPr>
          <w:iCs/>
          <w:i/>
        </w:rPr>
        <w:t xml:space="preserve"> </w:t>
      </w:r>
      <w:r>
        <w:rPr>
          <w:iCs/>
          <w:i/>
        </w:rPr>
        <w:t xml:space="preserve">Vaccine</w:t>
      </w:r>
      <w:r>
        <w:rPr>
          <w:iCs/>
          <w:i/>
        </w:rPr>
        <w:t xml:space="preserve"> </w:t>
      </w:r>
      <w:r>
        <w:rPr>
          <w:iCs/>
          <w:i/>
        </w:rPr>
        <w:t xml:space="preserve">—</w:t>
      </w:r>
      <w:r>
        <w:rPr>
          <w:iCs/>
          <w:i/>
        </w:rPr>
        <w:t xml:space="preserve"> </w:t>
      </w:r>
      <w:r>
        <w:rPr>
          <w:iCs/>
          <w:i/>
        </w:rPr>
        <w:t xml:space="preserve">United</w:t>
      </w:r>
      <w:r>
        <w:rPr>
          <w:iCs/>
          <w:i/>
        </w:rPr>
        <w:t xml:space="preserve"> </w:t>
      </w:r>
      <w:r>
        <w:rPr>
          <w:iCs/>
          <w:i/>
        </w:rPr>
        <w:t xml:space="preserve">States</w:t>
      </w:r>
      <w:r>
        <w:rPr>
          <w:iCs/>
          <w:i/>
        </w:rPr>
        <w:t xml:space="preserve">,</w:t>
      </w:r>
      <w:r>
        <w:rPr>
          <w:iCs/>
          <w:i/>
        </w:rPr>
        <w:t xml:space="preserve"> </w:t>
      </w:r>
      <w:r>
        <w:rPr>
          <w:iCs/>
          <w:i/>
        </w:rPr>
        <w:t xml:space="preserve">December</w:t>
      </w:r>
      <w:r>
        <w:rPr>
          <w:iCs/>
          <w:i/>
        </w:rPr>
        <w:t xml:space="preserve"> </w:t>
      </w:r>
      <w:r>
        <w:rPr>
          <w:iCs/>
          <w:i/>
        </w:rPr>
        <w:t xml:space="preserve">2020</w:t>
      </w:r>
      <w:r>
        <w:t xml:space="preserve">.</w:t>
      </w:r>
      <w:r>
        <w:t xml:space="preserve"> </w:t>
      </w:r>
      <w:r>
        <w:rPr>
          <w:iCs/>
          <w:i/>
        </w:rPr>
        <w:t xml:space="preserve">69</w:t>
      </w:r>
      <w:r>
        <w:t xml:space="preserve">(51).</w:t>
      </w:r>
    </w:p>
    <w:bookmarkEnd w:id="48"/>
    <w:bookmarkStart w:id="50" w:name="ref-kawai_racialethnic_2021"/>
    <w:p>
      <w:pPr>
        <w:pStyle w:val="Bibliography"/>
      </w:pPr>
      <w:r>
        <w:t xml:space="preserve">Kawai, K., &amp; Kawai, A. T. (2021). Racial/</w:t>
      </w:r>
      <w:r>
        <w:t xml:space="preserve">Ethnic</w:t>
      </w:r>
      <w:r>
        <w:t xml:space="preserve"> </w:t>
      </w:r>
      <w:r>
        <w:t xml:space="preserve">and</w:t>
      </w:r>
      <w:r>
        <w:t xml:space="preserve"> </w:t>
      </w:r>
      <w:r>
        <w:t xml:space="preserve">Socioeconomic</w:t>
      </w:r>
      <w:r>
        <w:t xml:space="preserve"> </w:t>
      </w:r>
      <w:r>
        <w:t xml:space="preserve">Disparities</w:t>
      </w:r>
      <w:r>
        <w:t xml:space="preserve"> </w:t>
      </w:r>
      <w:r>
        <w:t xml:space="preserve">in</w:t>
      </w:r>
      <w:r>
        <w:t xml:space="preserve"> </w:t>
      </w:r>
      <w:r>
        <w:t xml:space="preserve">Adult</w:t>
      </w:r>
      <w:r>
        <w:t xml:space="preserve"> </w:t>
      </w:r>
      <w:r>
        <w:t xml:space="preserve">Vaccination</w:t>
      </w:r>
      <w:r>
        <w:t xml:space="preserve"> </w:t>
      </w:r>
      <w:r>
        <w:t xml:space="preserve">Coverage</w:t>
      </w:r>
      <w:r>
        <w:t xml:space="preserve">.</w:t>
      </w:r>
      <w:r>
        <w:t xml:space="preserve"> </w:t>
      </w:r>
      <w:r>
        <w:rPr>
          <w:iCs/>
          <w:i/>
        </w:rPr>
        <w:t xml:space="preserve">American Journal of Preventive Medicine</w:t>
      </w:r>
      <w:r>
        <w:t xml:space="preserve">,</w:t>
      </w:r>
      <w:r>
        <w:t xml:space="preserve"> </w:t>
      </w:r>
      <w:r>
        <w:rPr>
          <w:iCs/>
          <w:i/>
        </w:rPr>
        <w:t xml:space="preserve">61</w:t>
      </w:r>
      <w:r>
        <w:t xml:space="preserve">(4), 465–473.</w:t>
      </w:r>
      <w:r>
        <w:t xml:space="preserve"> </w:t>
      </w:r>
      <w:hyperlink r:id="rId49">
        <w:r>
          <w:rPr>
            <w:rStyle w:val="Hyperlink"/>
          </w:rPr>
          <w:t xml:space="preserve">https://doi.org/10.1016/j.amepre.2021.03.023</w:t>
        </w:r>
      </w:hyperlink>
    </w:p>
    <w:bookmarkEnd w:id="50"/>
    <w:bookmarkStart w:id="52" w:name="ref-zimmerman_trends_2019"/>
    <w:p>
      <w:pPr>
        <w:pStyle w:val="Bibliography"/>
      </w:pPr>
      <w:r>
        <w:t xml:space="preserve">Zimmerman, F. J., &amp; Anderson, N. W. (2019). Trends in</w:t>
      </w:r>
      <w:r>
        <w:t xml:space="preserve"> </w:t>
      </w:r>
      <w:r>
        <w:t xml:space="preserve">Health</w:t>
      </w:r>
      <w:r>
        <w:t xml:space="preserve"> </w:t>
      </w:r>
      <w:r>
        <w:t xml:space="preserve">Equity</w:t>
      </w:r>
      <w:r>
        <w:t xml:space="preserve"> </w:t>
      </w:r>
      <w:r>
        <w:t xml:space="preserve">in the</w:t>
      </w:r>
      <w:r>
        <w:t xml:space="preserve"> </w:t>
      </w:r>
      <w:r>
        <w:t xml:space="preserve">United</w:t>
      </w:r>
      <w:r>
        <w:t xml:space="preserve"> </w:t>
      </w:r>
      <w:r>
        <w:t xml:space="preserve">States</w:t>
      </w:r>
      <w:r>
        <w:t xml:space="preserve"> </w:t>
      </w:r>
      <w:r>
        <w:t xml:space="preserve">by</w:t>
      </w:r>
      <w:r>
        <w:t xml:space="preserve"> </w:t>
      </w:r>
      <w:r>
        <w:t xml:space="preserve">Race</w:t>
      </w:r>
      <w:r>
        <w:t xml:space="preserve">/</w:t>
      </w:r>
      <w:r>
        <w:t xml:space="preserve">Ethnicity</w:t>
      </w:r>
      <w:r>
        <w:t xml:space="preserve">,</w:t>
      </w:r>
      <w:r>
        <w:t xml:space="preserve"> </w:t>
      </w:r>
      <w:r>
        <w:t xml:space="preserve">Sex</w:t>
      </w:r>
      <w:r>
        <w:t xml:space="preserve">, and</w:t>
      </w:r>
      <w:r>
        <w:t xml:space="preserve"> </w:t>
      </w:r>
      <w:r>
        <w:t xml:space="preserve">Income</w:t>
      </w:r>
      <w:r>
        <w:t xml:space="preserve">, 1993-2017.</w:t>
      </w:r>
      <w:r>
        <w:t xml:space="preserve"> </w:t>
      </w:r>
      <w:r>
        <w:rPr>
          <w:iCs/>
          <w:i/>
        </w:rPr>
        <w:t xml:space="preserve">JAMA Network Open</w:t>
      </w:r>
      <w:r>
        <w:t xml:space="preserve">,</w:t>
      </w:r>
      <w:r>
        <w:t xml:space="preserve"> </w:t>
      </w:r>
      <w:r>
        <w:rPr>
          <w:iCs/>
          <w:i/>
        </w:rPr>
        <w:t xml:space="preserve">2</w:t>
      </w:r>
      <w:r>
        <w:t xml:space="preserve">(6), e196386.</w:t>
      </w:r>
      <w:r>
        <w:t xml:space="preserve"> </w:t>
      </w:r>
      <w:hyperlink r:id="rId51">
        <w:r>
          <w:rPr>
            <w:rStyle w:val="Hyperlink"/>
          </w:rPr>
          <w:t xml:space="preserve">https://doi.org/10.1001/jamanetworkopen.2019.6386</w:t>
        </w:r>
      </w:hyperlink>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hyperlink" Id="rId44" Target="https://covid.cdc.gov/covid-data-tracker/#datatracker-home" TargetMode="External" /><Relationship Type="http://schemas.openxmlformats.org/officeDocument/2006/relationships/hyperlink" Id="rId46" Target="https://data.cdc.gov/Vaccinations/COVID-19-Vaccinations-in-the-United-States-Jurisdi/unsk-b7fc" TargetMode="External" /><Relationship Type="http://schemas.openxmlformats.org/officeDocument/2006/relationships/hyperlink" Id="rId42" Target="https://data.census.gov/table?q=United+States&amp;t=Income+and+Earnings&amp;g=010XX00US,$0400000&amp;y=2021" TargetMode="External" /><Relationship Type="http://schemas.openxmlformats.org/officeDocument/2006/relationships/hyperlink" Id="rId51" Target="https://doi.org/10.1001/jamanetworkopen.2019.6386" TargetMode="External" /><Relationship Type="http://schemas.openxmlformats.org/officeDocument/2006/relationships/hyperlink" Id="rId49" Target="https://doi.org/10.1016/j.amepre.2021.03.023" TargetMode="External" /></Relationships>
</file>

<file path=word/_rels/footnotes.xml.rels><?xml version="1.0" encoding="UTF-8"?><Relationships xmlns="http://schemas.openxmlformats.org/package/2006/relationships"><Relationship Type="http://schemas.openxmlformats.org/officeDocument/2006/relationships/hyperlink" Id="rId44" Target="https://covid.cdc.gov/covid-data-tracker/#datatracker-home" TargetMode="External" /><Relationship Type="http://schemas.openxmlformats.org/officeDocument/2006/relationships/hyperlink" Id="rId46" Target="https://data.cdc.gov/Vaccinations/COVID-19-Vaccinations-in-the-United-States-Jurisdi/unsk-b7fc" TargetMode="External" /><Relationship Type="http://schemas.openxmlformats.org/officeDocument/2006/relationships/hyperlink" Id="rId42" Target="https://data.census.gov/table?q=United+States&amp;t=Income+and+Earnings&amp;g=010XX00US,$0400000&amp;y=2021" TargetMode="External" /><Relationship Type="http://schemas.openxmlformats.org/officeDocument/2006/relationships/hyperlink" Id="rId51" Target="https://doi.org/10.1001/jamanetworkopen.2019.6386" TargetMode="External" /><Relationship Type="http://schemas.openxmlformats.org/officeDocument/2006/relationships/hyperlink" Id="rId49" Target="https://doi.org/10.1016/j.amepre.2021.03.0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for a Data Analysis Project</dc:title>
  <dc:creator>Katie Wells &amp; Connor Ross</dc:creator>
  <cp:keywords/>
  <dcterms:created xsi:type="dcterms:W3CDTF">2023-04-19T17:48:55Z</dcterms:created>
  <dcterms:modified xsi:type="dcterms:W3CDTF">2023-04-19T17:48:55Z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../mada_project.bib</vt:lpwstr>
  </property>
  <property fmtid="{D5CDD505-2E9C-101B-9397-08002B2CF9AE}" pid="5" name="by-author">
    <vt:lpwstr/>
  </property>
  <property fmtid="{D5CDD505-2E9C-101B-9397-08002B2CF9AE}" pid="6" name="csl">
    <vt:lpwstr>../apa.csl</vt:lpwstr>
  </property>
  <property fmtid="{D5CDD505-2E9C-101B-9397-08002B2CF9AE}" pid="7" name="date">
    <vt:lpwstr>4/19/23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