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Katie</w:t>
      </w:r>
      <w:r>
        <w:t xml:space="preserve"> </w:t>
      </w:r>
      <w:r>
        <w:t xml:space="preserve">Wells</w:t>
      </w:r>
      <w:r>
        <w:t xml:space="preserve"> </w:t>
      </w:r>
      <w:r>
        <w:t xml:space="preserve">&amp;</w:t>
      </w:r>
      <w:r>
        <w:t xml:space="preserve"> </w:t>
      </w:r>
      <w:r>
        <w:t xml:space="preserve">Connor</w:t>
      </w:r>
      <w:r>
        <w:t xml:space="preserve"> </w:t>
      </w:r>
      <w:r>
        <w:t xml:space="preserve">Ross</w:t>
      </w:r>
    </w:p>
    <w:p>
      <w:pPr>
        <w:pStyle w:val="Date"/>
      </w:pPr>
      <w:r>
        <w:t xml:space="preserve">4/6/23</w:t>
      </w:r>
    </w:p>
    <w:bookmarkStart w:id="23" w:name="introduction"/>
    <w:p>
      <w:pPr>
        <w:pStyle w:val="Heading1"/>
      </w:pPr>
      <w:r>
        <w:t xml:space="preserve">1. Introduction</w:t>
      </w:r>
    </w:p>
    <w:bookmarkStart w:id="20" w:name="general-background-information"/>
    <w:p>
      <w:pPr>
        <w:pStyle w:val="Heading2"/>
      </w:pPr>
      <w:r>
        <w:t xml:space="preserve">1.1 General Background Information</w:t>
      </w:r>
    </w:p>
    <w:p>
      <w:pPr>
        <w:pStyle w:val="FirstParagraph"/>
      </w:pPr>
      <w:r>
        <w:t xml:space="preserve">A little over three years ago, the world was brought to its knees by a virus no one had heard of before. SARS-CoV-2, which causes the disease COVID-19, ravaged the world and caused millions of deaths</w:t>
      </w:r>
      <w:r>
        <w:t xml:space="preserve"> </w:t>
      </w:r>
      <w:r>
        <w:t xml:space="preserve">(CDC, n.d.-a)</w:t>
      </w:r>
      <w:r>
        <w:t xml:space="preserve">. Scientists and researchers worked tirelessly during 2020 to develop vaccines to stop the spread and lessen the symptoms, and by the end of the year emergency use authorizations were given to administer the first immunizations.</w:t>
      </w:r>
    </w:p>
    <w:p>
      <w:pPr>
        <w:pStyle w:val="BodyText"/>
      </w:pPr>
      <w:r>
        <w:t xml:space="preserve">After the first vaccines were approved, a rollout began across the United States to distribute the new immunizations. In the beginning, priority was given to healthcare workers, long-term care facility residents, essential workers, those with high-risk conditions, and older adults. Distribution then began to other groups as supply warranted. Throughout 2021 and 2022, immunizations continued to be distributed to each state through health departments, pharmacies, doctor’s offices, and many other settings</w:t>
      </w:r>
      <w:r>
        <w:t xml:space="preserve"> </w:t>
      </w:r>
      <w:r>
        <w:t xml:space="preserve">(Dooling et al., 2021)</w:t>
      </w:r>
      <w:r>
        <w:t xml:space="preserve">. Distribution did not always equal administration, however, and many factors may have affected whether or not someone received a vaccine.</w:t>
      </w:r>
    </w:p>
    <w:p>
      <w:pPr>
        <w:pStyle w:val="BodyText"/>
      </w:pPr>
      <w:r>
        <w:t xml:space="preserve">Income is an integral predictor of health outcomes; previous studies have shown that there are large health differences between high and low income groups</w:t>
      </w:r>
      <w:r>
        <w:t xml:space="preserve"> </w:t>
      </w:r>
      <w:r>
        <w:t xml:space="preserve">(Zimmerman &amp; Anderson, 2019)</w:t>
      </w:r>
      <w:r>
        <w:t xml:space="preserve">. Studies have also shown that low income is associated with low vaccine uptake</w:t>
      </w:r>
      <w:r>
        <w:t xml:space="preserve"> </w:t>
      </w:r>
      <w:r>
        <w:t xml:space="preserve">(Kawai &amp; Kawai, 2021)</w:t>
      </w:r>
      <w:r>
        <w:t xml:space="preserve">. Low income areas are likely to have less access to healthcare facilities, which may contribute to these numbers.</w:t>
      </w:r>
    </w:p>
    <w:p>
      <w:pPr>
        <w:pStyle w:val="BodyText"/>
      </w:pPr>
      <w:r>
        <w:t xml:space="preserve">To investigate if any outside factors affected administration, we are going to compare region groups and median income data for each state to administration numbers and investigate their relationships. We expect to see states with lower median incomes (and therefore regions with lower median incomes) having lower administration numbers.</w:t>
      </w:r>
    </w:p>
    <w:bookmarkEnd w:id="20"/>
    <w:bookmarkStart w:id="21" w:name="description-of-data-and-data-source"/>
    <w:p>
      <w:pPr>
        <w:pStyle w:val="Heading2"/>
      </w:pPr>
      <w:r>
        <w:t xml:space="preserve">1.2 Description of data and data source</w:t>
      </w:r>
    </w:p>
    <w:p>
      <w:pPr>
        <w:pStyle w:val="FirstParagraph"/>
      </w:pPr>
      <w:r>
        <w:t xml:space="preserve">The main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w:t>
      </w:r>
      <w:r>
        <w:t xml:space="preserve"> </w:t>
      </w:r>
      <w:r>
        <w:t xml:space="preserve">(CDC, n.d.-b)</w:t>
      </w:r>
      <w:r>
        <w:t xml:space="preserve">. It has 109 columns and 37,500 rows of administration, distribution, and series data of COVID-19 vaccinations across the US.</w:t>
      </w:r>
    </w:p>
    <w:p>
      <w:pPr>
        <w:pStyle w:val="BodyText"/>
      </w:pPr>
      <w:r>
        <w:t xml:space="preserve">To use income data in our analysis, we uses US Census Bureau ACS Income date from 2021</w:t>
      </w:r>
      <w:r>
        <w:t xml:space="preserve"> </w:t>
      </w:r>
      <w:r>
        <w:t xml:space="preserve">(Bureau, 2021)</w:t>
      </w:r>
      <w:r>
        <w:t xml:space="preserve">. This data was taken from the American Community Survey</w:t>
      </w:r>
    </w:p>
    <w:bookmarkEnd w:id="21"/>
    <w:bookmarkStart w:id="22" w:name="questionshypotheses-to-be-addressed"/>
    <w:p>
      <w:pPr>
        <w:pStyle w:val="Heading2"/>
      </w:pPr>
      <w:r>
        <w:t xml:space="preserve">1.3 Questions/Hypotheses to be addressed</w:t>
      </w:r>
    </w:p>
    <w:p>
      <w:pPr>
        <w:pStyle w:val="FirstParagraph"/>
      </w:pPr>
      <w:r>
        <w:t xml:space="preserve">Question: What factors (like region or median income) influenced COVID-19 vaccines across the US? Hypotheses: H0 - There is no association between region or median income per state and COVID-19 vaccine administration in the United States. HA - There is an association between region or median income and COVID-19 vaccine administration in the United States.</w:t>
      </w:r>
    </w:p>
    <w:bookmarkEnd w:id="22"/>
    <w:bookmarkEnd w:id="23"/>
    <w:bookmarkStart w:id="24" w:name="summaryabstract"/>
    <w:p>
      <w:pPr>
        <w:pStyle w:val="Heading1"/>
      </w:pPr>
      <w:r>
        <w:t xml:space="preserve">2. Summary/Abstract</w:t>
      </w:r>
    </w:p>
    <w:p>
      <w:pPr>
        <w:pStyle w:val="FirstParagraph"/>
      </w:pPr>
      <w:r>
        <w:rPr>
          <w:iCs/>
          <w:i/>
        </w:rPr>
        <w:t xml:space="preserve">Write a summary of your project.</w:t>
      </w:r>
    </w:p>
    <w:p>
      <w:r>
        <w:br w:type="page"/>
      </w:r>
    </w:p>
    <w:bookmarkEnd w:id="24"/>
    <w:bookmarkStart w:id="27"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5"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statistical-analysis"/>
    <w:p>
      <w:pPr>
        <w:pStyle w:val="Heading2"/>
      </w:pPr>
      <w:r>
        <w:t xml:space="preserve">3.2 Statistical analysis</w:t>
      </w:r>
    </w:p>
    <w:p>
      <w:pPr>
        <w:pStyle w:val="FirstParagraph"/>
      </w:pPr>
      <w:r>
        <w:t xml:space="preserve">After placing each state in a region of the US, we will conduct a time series analysis to determine the change in popularity over time. Further, we intended to plot overall administration of manufacturer-specific vaccines in each region to determine popularity after adjusting for distribution and time.</w:t>
      </w:r>
    </w:p>
    <w:p>
      <w:r>
        <w:br w:type="page"/>
      </w:r>
    </w:p>
    <w:bookmarkEnd w:id="26"/>
    <w:bookmarkEnd w:id="27"/>
    <w:bookmarkStart w:id="37" w:name="results"/>
    <w:p>
      <w:pPr>
        <w:pStyle w:val="Heading1"/>
      </w:pPr>
      <w:r>
        <w:t xml:space="preserve">4. Results</w:t>
      </w:r>
    </w:p>
    <w:bookmarkStart w:id="34" w:name="exploratorydescriptive-analysis"/>
    <w:p>
      <w:pPr>
        <w:pStyle w:val="Heading2"/>
      </w:pPr>
      <w:r>
        <w:t xml:space="preserve">4.1 Exploratory/Descriptive analysis</w:t>
      </w:r>
    </w:p>
    <w:p>
      <w:pPr>
        <w:pStyle w:val="FirstParagraph"/>
      </w:pPr>
      <w:r>
        <w:t xml:space="preserve">Here are the main results from our exploratory analysis where we plotted the distributed and administered vaccines over the observed period. Individual bar graphs for each region can be found in the</w:t>
      </w:r>
      <w:r>
        <w:t xml:space="preserve"> </w:t>
      </w:r>
      <w:r>
        <w:t xml:space="preserve">‘</w:t>
      </w:r>
      <w:r>
        <w:t xml:space="preserve">exploration.qmd</w:t>
      </w:r>
      <w:r>
        <w:t xml:space="preserve">’</w:t>
      </w:r>
      <w:r>
        <w:t xml:space="preserve"> </w:t>
      </w:r>
      <w:r>
        <w:t xml:space="preserve">file in the</w:t>
      </w:r>
      <w:r>
        <w:t xml:space="preserve"> </w:t>
      </w:r>
      <w:r>
        <w:t xml:space="preserve">‘</w:t>
      </w:r>
      <w:r>
        <w:t xml:space="preserve">processing_code</w:t>
      </w:r>
      <w:r>
        <w:t xml:space="preserve">’</w:t>
      </w:r>
      <w:r>
        <w:t xml:space="preserve"> </w:t>
      </w:r>
      <w:r>
        <w:t xml:space="preserve">file.</w:t>
      </w:r>
    </w:p>
    <w:p>
      <w:pPr>
        <w:pStyle w:val="BodyText"/>
      </w:pPr>
      <w:r>
        <w:drawing>
          <wp:inline>
            <wp:extent cx="5334000" cy="3191865"/>
            <wp:effectExtent b="0" l="0" r="0" t="0"/>
            <wp:docPr descr="" title="" id="29" name="Picture"/>
            <a:graphic>
              <a:graphicData uri="http://schemas.openxmlformats.org/drawingml/2006/picture">
                <pic:pic>
                  <pic:nvPicPr>
                    <pic:cNvPr descr="images/image-19820666.png" id="30" name="Picture"/>
                    <pic:cNvPicPr>
                      <a:picLocks noChangeArrowheads="1" noChangeAspect="1"/>
                    </pic:cNvPicPr>
                  </pic:nvPicPr>
                  <pic:blipFill>
                    <a:blip r:embed="rId28"/>
                    <a:stretch>
                      <a:fillRect/>
                    </a:stretch>
                  </pic:blipFill>
                  <pic:spPr bwMode="auto">
                    <a:xfrm>
                      <a:off x="0" y="0"/>
                      <a:ext cx="5334000" cy="3191865"/>
                    </a:xfrm>
                    <a:prstGeom prst="rect">
                      <a:avLst/>
                    </a:prstGeom>
                    <a:noFill/>
                    <a:ln w="9525">
                      <a:noFill/>
                      <a:headEnd/>
                      <a:tailEnd/>
                    </a:ln>
                  </pic:spPr>
                </pic:pic>
              </a:graphicData>
            </a:graphic>
          </wp:inline>
        </w:drawing>
      </w:r>
    </w:p>
    <w:p>
      <w:pPr>
        <w:pStyle w:val="BodyText"/>
      </w:pPr>
      <w:r>
        <w:drawing>
          <wp:inline>
            <wp:extent cx="5334000" cy="3042111"/>
            <wp:effectExtent b="0" l="0" r="0" t="0"/>
            <wp:docPr descr="" title="" id="32" name="Picture"/>
            <a:graphic>
              <a:graphicData uri="http://schemas.openxmlformats.org/drawingml/2006/picture">
                <pic:pic>
                  <pic:nvPicPr>
                    <pic:cNvPr descr="images/image-1680087526.png" id="33" name="Picture"/>
                    <pic:cNvPicPr>
                      <a:picLocks noChangeArrowheads="1" noChangeAspect="1"/>
                    </pic:cNvPicPr>
                  </pic:nvPicPr>
                  <pic:blipFill>
                    <a:blip r:embed="rId31"/>
                    <a:stretch>
                      <a:fillRect/>
                    </a:stretch>
                  </pic:blipFill>
                  <pic:spPr bwMode="auto">
                    <a:xfrm>
                      <a:off x="0" y="0"/>
                      <a:ext cx="5334000" cy="3042111"/>
                    </a:xfrm>
                    <a:prstGeom prst="rect">
                      <a:avLst/>
                    </a:prstGeom>
                    <a:noFill/>
                    <a:ln w="9525">
                      <a:noFill/>
                      <a:headEnd/>
                      <a:tailEnd/>
                    </a:ln>
                  </pic:spPr>
                </pic:pic>
              </a:graphicData>
            </a:graphic>
          </wp:inline>
        </w:drawing>
      </w:r>
    </w:p>
    <w:bookmarkEnd w:id="34"/>
    <w:bookmarkStart w:id="35" w:name="basic-statistical-analysis"/>
    <w:p>
      <w:pPr>
        <w:pStyle w:val="Heading2"/>
      </w:pPr>
      <w:r>
        <w:t xml:space="preserve">4.2 Basic statistical analysis</w:t>
      </w:r>
    </w:p>
    <w:p>
      <w:pPr>
        <w:pStyle w:val="FirstParagraph"/>
      </w:pPr>
      <w:r>
        <w:t xml:space="preserve">Here are the main results from our initial fitting analysis. Note: we may not keep all of these fits in our final project but we calculated them all to view the results. Further checking of the models can be found in the</w:t>
      </w:r>
      <w:r>
        <w:t xml:space="preserve"> </w:t>
      </w:r>
      <w:r>
        <w:t xml:space="preserve">‘</w:t>
      </w:r>
      <w:r>
        <w:t xml:space="preserve">fitting.qmd</w:t>
      </w:r>
      <w:r>
        <w:t xml:space="preserve">’</w:t>
      </w:r>
      <w:r>
        <w:t xml:space="preserve"> </w:t>
      </w:r>
      <w:r>
        <w:t xml:space="preserve">in the</w:t>
      </w:r>
      <w:r>
        <w:t xml:space="preserve"> </w:t>
      </w:r>
      <w:r>
        <w:t xml:space="preserve">‘</w:t>
      </w:r>
      <w:r>
        <w:t xml:space="preserve">analysis_code</w:t>
      </w:r>
      <w:r>
        <w:t xml:space="preserve">’</w:t>
      </w:r>
      <w:r>
        <w:t xml:space="preserve"> </w:t>
      </w:r>
      <w:r>
        <w:t xml:space="preserve">folder.</w:t>
      </w:r>
    </w:p>
    <w:p>
      <w:pPr>
        <w:pStyle w:val="SourceCode"/>
      </w:pPr>
      <w:r>
        <w:rPr>
          <w:rStyle w:val="NormalTok"/>
        </w:rPr>
        <w:t xml:space="preserve">resulttable1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"lm7.rds"</w:t>
      </w:r>
      <w:r>
        <w:rPr>
          <w:rStyle w:val="NormalTok"/>
        </w:rPr>
        <w:t xml:space="preserve">))</w:t>
      </w:r>
      <w:r>
        <w:br/>
      </w:r>
      <w:r>
        <w:rPr>
          <w:rStyle w:val="FunctionTok"/>
        </w:rPr>
        <w:t xml:space="preserve">kable</w:t>
      </w:r>
      <w:r>
        <w:rPr>
          <w:rStyle w:val="NormalTok"/>
        </w:rPr>
        <w:t xml:space="preserve">(resulttable1)</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-3.967848e+04</w:t>
            </w:r>
          </w:p>
        </w:tc>
        <w:tc>
          <w:tcPr/>
          <w:p>
            <w:pPr>
              <w:pStyle w:val="Compact"/>
              <w:jc w:val="right"/>
            </w:pPr>
            <w:r>
              <w:t xml:space="preserve">11621.815926</w:t>
            </w:r>
          </w:p>
        </w:tc>
        <w:tc>
          <w:tcPr/>
          <w:p>
            <w:pPr>
              <w:pStyle w:val="Compact"/>
              <w:jc w:val="right"/>
            </w:pPr>
            <w:r>
              <w:t xml:space="preserve">-3.414138</w:t>
            </w:r>
          </w:p>
        </w:tc>
        <w:tc>
          <w:tcPr/>
          <w:p>
            <w:pPr>
              <w:pStyle w:val="Compact"/>
              <w:jc w:val="right"/>
            </w:pPr>
            <w:r>
              <w:t xml:space="preserve">0.0006408</w:t>
            </w:r>
          </w:p>
        </w:tc>
      </w:tr>
      <w:tr>
        <w:tc>
          <w:tcPr/>
          <w:p>
            <w:pPr>
              <w:pStyle w:val="Compact"/>
              <w:jc w:val="left"/>
            </w:pPr>
            <w:r>
              <w:t xml:space="preserve">RegionNorthEast</w:t>
            </w:r>
          </w:p>
        </w:tc>
        <w:tc>
          <w:tcPr/>
          <w:p>
            <w:pPr>
              <w:pStyle w:val="Compact"/>
              <w:jc w:val="right"/>
            </w:pPr>
            <w:r>
              <w:t xml:space="preserve">2.105466e+05</w:t>
            </w:r>
          </w:p>
        </w:tc>
        <w:tc>
          <w:tcPr/>
          <w:p>
            <w:pPr>
              <w:pStyle w:val="Compact"/>
              <w:jc w:val="right"/>
            </w:pPr>
            <w:r>
              <w:t xml:space="preserve">15658.150692</w:t>
            </w:r>
          </w:p>
        </w:tc>
        <w:tc>
          <w:tcPr/>
          <w:p>
            <w:pPr>
              <w:pStyle w:val="Compact"/>
              <w:jc w:val="right"/>
            </w:pPr>
            <w:r>
              <w:t xml:space="preserve">13.446454</w:t>
            </w:r>
          </w:p>
        </w:tc>
        <w:tc>
          <w:tcPr/>
          <w:p>
            <w:pPr>
              <w:pStyle w:val="Compact"/>
              <w:jc w:val="right"/>
            </w:pPr>
            <w:r>
              <w:t xml:space="preserve">0.0000000</w:t>
            </w:r>
          </w:p>
        </w:tc>
      </w:tr>
      <w:tr>
        <w:tc>
          <w:tcPr/>
          <w:p>
            <w:pPr>
              <w:pStyle w:val="Compact"/>
              <w:jc w:val="left"/>
            </w:pPr>
            <w:r>
              <w:t xml:space="preserve">RegionSouthEast</w:t>
            </w:r>
          </w:p>
        </w:tc>
        <w:tc>
          <w:tcPr/>
          <w:p>
            <w:pPr>
              <w:pStyle w:val="Compact"/>
              <w:jc w:val="right"/>
            </w:pPr>
            <w:r>
              <w:t xml:space="preserve">-3.884536e+05</w:t>
            </w:r>
          </w:p>
        </w:tc>
        <w:tc>
          <w:tcPr/>
          <w:p>
            <w:pPr>
              <w:pStyle w:val="Compact"/>
              <w:jc w:val="right"/>
            </w:pPr>
            <w:r>
              <w:t xml:space="preserve">15043.823274</w:t>
            </w:r>
          </w:p>
        </w:tc>
        <w:tc>
          <w:tcPr/>
          <w:p>
            <w:pPr>
              <w:pStyle w:val="Compact"/>
              <w:jc w:val="right"/>
            </w:pPr>
            <w:r>
              <w:t xml:space="preserve">-25.821468</w:t>
            </w:r>
          </w:p>
        </w:tc>
        <w:tc>
          <w:tcPr/>
          <w:p>
            <w:pPr>
              <w:pStyle w:val="Compact"/>
              <w:jc w:val="right"/>
            </w:pPr>
            <w:r>
              <w:t xml:space="preserve">0.0000000</w:t>
            </w:r>
          </w:p>
        </w:tc>
      </w:tr>
      <w:tr>
        <w:tc>
          <w:tcPr/>
          <w:p>
            <w:pPr>
              <w:pStyle w:val="Compact"/>
              <w:jc w:val="left"/>
            </w:pPr>
            <w:r>
              <w:t xml:space="preserve">RegionSouthWest</w:t>
            </w:r>
          </w:p>
        </w:tc>
        <w:tc>
          <w:tcPr/>
          <w:p>
            <w:pPr>
              <w:pStyle w:val="Compact"/>
              <w:jc w:val="right"/>
            </w:pPr>
            <w:r>
              <w:t xml:space="preserve">-3.807442e+05</w:t>
            </w:r>
          </w:p>
        </w:tc>
        <w:tc>
          <w:tcPr/>
          <w:p>
            <w:pPr>
              <w:pStyle w:val="Compact"/>
              <w:jc w:val="right"/>
            </w:pPr>
            <w:r>
              <w:t xml:space="preserve">21597.652416</w:t>
            </w:r>
          </w:p>
        </w:tc>
        <w:tc>
          <w:tcPr/>
          <w:p>
            <w:pPr>
              <w:pStyle w:val="Compact"/>
              <w:jc w:val="right"/>
            </w:pPr>
            <w:r>
              <w:t xml:space="preserve">-17.628964</w:t>
            </w:r>
          </w:p>
        </w:tc>
        <w:tc>
          <w:tcPr/>
          <w:p>
            <w:pPr>
              <w:pStyle w:val="Compact"/>
              <w:jc w:val="right"/>
            </w:pPr>
            <w:r>
              <w:t xml:space="preserve">0.0000000</w:t>
            </w:r>
          </w:p>
        </w:tc>
      </w:tr>
      <w:tr>
        <w:tc>
          <w:tcPr/>
          <w:p>
            <w:pPr>
              <w:pStyle w:val="Compact"/>
              <w:jc w:val="left"/>
            </w:pPr>
            <w:r>
              <w:t xml:space="preserve">RegionWest</w:t>
            </w:r>
          </w:p>
        </w:tc>
        <w:tc>
          <w:tcPr/>
          <w:p>
            <w:pPr>
              <w:pStyle w:val="Compact"/>
              <w:jc w:val="right"/>
            </w:pPr>
            <w:r>
              <w:t xml:space="preserve">2.474770e+05</w:t>
            </w:r>
          </w:p>
        </w:tc>
        <w:tc>
          <w:tcPr/>
          <w:p>
            <w:pPr>
              <w:pStyle w:val="Compact"/>
              <w:jc w:val="right"/>
            </w:pPr>
            <w:r>
              <w:t xml:space="preserve">16052.402876</w:t>
            </w:r>
          </w:p>
        </w:tc>
        <w:tc>
          <w:tcPr/>
          <w:p>
            <w:pPr>
              <w:pStyle w:val="Compact"/>
              <w:jc w:val="right"/>
            </w:pPr>
            <w:r>
              <w:t xml:space="preserve">15.416821</w:t>
            </w:r>
          </w:p>
        </w:tc>
        <w:tc>
          <w:tcPr/>
          <w:p>
            <w:pPr>
              <w:pStyle w:val="Compact"/>
              <w:jc w:val="right"/>
            </w:pPr>
            <w:r>
              <w:t xml:space="preserve">0.0000000</w:t>
            </w:r>
          </w:p>
        </w:tc>
      </w:tr>
      <w:tr>
        <w:tc>
          <w:tcPr/>
          <w:p>
            <w:pPr>
              <w:pStyle w:val="Compact"/>
              <w:jc w:val="left"/>
            </w:pPr>
            <w:r>
              <w:t xml:space="preserve">Distributed</w:t>
            </w:r>
          </w:p>
        </w:tc>
        <w:tc>
          <w:tcPr/>
          <w:p>
            <w:pPr>
              <w:pStyle w:val="Compact"/>
              <w:jc w:val="right"/>
            </w:pPr>
            <w:r>
              <w:t xml:space="preserve">8.055944e-01</w:t>
            </w:r>
          </w:p>
        </w:tc>
        <w:tc>
          <w:tcPr/>
          <w:p>
            <w:pPr>
              <w:pStyle w:val="Compact"/>
              <w:jc w:val="right"/>
            </w:pPr>
            <w:r>
              <w:t xml:space="preserve">0.000401</w:t>
            </w:r>
          </w:p>
        </w:tc>
        <w:tc>
          <w:tcPr/>
          <w:p>
            <w:pPr>
              <w:pStyle w:val="Compact"/>
              <w:jc w:val="right"/>
            </w:pPr>
            <w:r>
              <w:t xml:space="preserve">2009.211299</w:t>
            </w:r>
          </w:p>
        </w:tc>
        <w:tc>
          <w:tcPr/>
          <w:p>
            <w:pPr>
              <w:pStyle w:val="Compact"/>
              <w:jc w:val="right"/>
            </w:pPr>
            <w:r>
              <w:t xml:space="preserve">0.0000000</w:t>
            </w:r>
          </w:p>
        </w:tc>
      </w:tr>
    </w:tbl>
    <w:p>
      <w:pPr>
        <w:pStyle w:val="BodyText"/>
      </w:pPr>
      <w:r>
        <w:t xml:space="preserve"> </w:t>
      </w:r>
    </w:p>
    <w:p>
      <w:pPr>
        <w:pStyle w:val="SourceCode"/>
      </w:pPr>
      <w:r>
        <w:rPr>
          <w:rStyle w:val="NormalTok"/>
        </w:rPr>
        <w:t xml:space="preserve">resulttable2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"lm8.rds"</w:t>
      </w:r>
      <w:r>
        <w:rPr>
          <w:rStyle w:val="NormalTok"/>
        </w:rPr>
        <w:t xml:space="preserve">))</w:t>
      </w:r>
      <w:r>
        <w:br/>
      </w:r>
      <w:r>
        <w:rPr>
          <w:rStyle w:val="FunctionTok"/>
        </w:rPr>
        <w:t xml:space="preserve">kable</w:t>
      </w:r>
      <w:r>
        <w:rPr>
          <w:rStyle w:val="NormalTok"/>
        </w:rPr>
        <w:t xml:space="preserve">(resulttable2)</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7072182.7</w:t>
            </w:r>
          </w:p>
        </w:tc>
        <w:tc>
          <w:tcPr/>
          <w:p>
            <w:pPr>
              <w:pStyle w:val="Compact"/>
              <w:jc w:val="right"/>
            </w:pPr>
            <w:r>
              <w:t xml:space="preserve">138731.2</w:t>
            </w:r>
          </w:p>
        </w:tc>
        <w:tc>
          <w:tcPr/>
          <w:p>
            <w:pPr>
              <w:pStyle w:val="Compact"/>
              <w:jc w:val="right"/>
            </w:pPr>
            <w:r>
              <w:t xml:space="preserve">50.977583</w:t>
            </w:r>
          </w:p>
        </w:tc>
        <w:tc>
          <w:tcPr/>
          <w:p>
            <w:pPr>
              <w:pStyle w:val="Compact"/>
              <w:jc w:val="right"/>
            </w:pPr>
            <w:r>
              <w:t xml:space="preserve">0.0000000</w:t>
            </w:r>
          </w:p>
        </w:tc>
      </w:tr>
      <w:tr>
        <w:tc>
          <w:tcPr/>
          <w:p>
            <w:pPr>
              <w:pStyle w:val="Compact"/>
              <w:jc w:val="left"/>
            </w:pPr>
            <w:r>
              <w:t xml:space="preserve">RegionNorthEast</w:t>
            </w:r>
          </w:p>
        </w:tc>
        <w:tc>
          <w:tcPr/>
          <w:p>
            <w:pPr>
              <w:pStyle w:val="Compact"/>
              <w:jc w:val="right"/>
            </w:pPr>
            <w:r>
              <w:t xml:space="preserve">853523.1</w:t>
            </w:r>
          </w:p>
        </w:tc>
        <w:tc>
          <w:tcPr/>
          <w:p>
            <w:pPr>
              <w:pStyle w:val="Compact"/>
              <w:jc w:val="right"/>
            </w:pPr>
            <w:r>
              <w:t xml:space="preserve">196195.6</w:t>
            </w:r>
          </w:p>
        </w:tc>
        <w:tc>
          <w:tcPr/>
          <w:p>
            <w:pPr>
              <w:pStyle w:val="Compact"/>
              <w:jc w:val="right"/>
            </w:pPr>
            <w:r>
              <w:t xml:space="preserve">4.350369</w:t>
            </w:r>
          </w:p>
        </w:tc>
        <w:tc>
          <w:tcPr/>
          <w:p>
            <w:pPr>
              <w:pStyle w:val="Compact"/>
              <w:jc w:val="right"/>
            </w:pPr>
            <w:r>
              <w:t xml:space="preserve">0.0000136</w:t>
            </w:r>
          </w:p>
        </w:tc>
      </w:tr>
      <w:tr>
        <w:tc>
          <w:tcPr/>
          <w:p>
            <w:pPr>
              <w:pStyle w:val="Compact"/>
              <w:jc w:val="left"/>
            </w:pPr>
            <w:r>
              <w:t xml:space="preserve">RegionSouthEast</w:t>
            </w:r>
          </w:p>
        </w:tc>
        <w:tc>
          <w:tcPr/>
          <w:p>
            <w:pPr>
              <w:pStyle w:val="Compact"/>
              <w:jc w:val="right"/>
            </w:pPr>
            <w:r>
              <w:t xml:space="preserve">225224.6</w:t>
            </w:r>
          </w:p>
        </w:tc>
        <w:tc>
          <w:tcPr/>
          <w:p>
            <w:pPr>
              <w:pStyle w:val="Compact"/>
              <w:jc w:val="right"/>
            </w:pPr>
            <w:r>
              <w:t xml:space="preserve">188498.6</w:t>
            </w:r>
          </w:p>
        </w:tc>
        <w:tc>
          <w:tcPr/>
          <w:p>
            <w:pPr>
              <w:pStyle w:val="Compact"/>
              <w:jc w:val="right"/>
            </w:pPr>
            <w:r>
              <w:t xml:space="preserve">1.194834</w:t>
            </w:r>
          </w:p>
        </w:tc>
        <w:tc>
          <w:tcPr/>
          <w:p>
            <w:pPr>
              <w:pStyle w:val="Compact"/>
              <w:jc w:val="right"/>
            </w:pPr>
            <w:r>
              <w:t xml:space="preserve">0.2321627</w:t>
            </w:r>
          </w:p>
        </w:tc>
      </w:tr>
      <w:tr>
        <w:tc>
          <w:tcPr/>
          <w:p>
            <w:pPr>
              <w:pStyle w:val="Compact"/>
              <w:jc w:val="left"/>
            </w:pPr>
            <w:r>
              <w:t xml:space="preserve">RegionSouthWest</w:t>
            </w:r>
          </w:p>
        </w:tc>
        <w:tc>
          <w:tcPr/>
          <w:p>
            <w:pPr>
              <w:pStyle w:val="Compact"/>
              <w:jc w:val="right"/>
            </w:pPr>
            <w:r>
              <w:t xml:space="preserve">4913232.6</w:t>
            </w:r>
          </w:p>
        </w:tc>
        <w:tc>
          <w:tcPr/>
          <w:p>
            <w:pPr>
              <w:pStyle w:val="Compact"/>
              <w:jc w:val="right"/>
            </w:pPr>
            <w:r>
              <w:t xml:space="preserve">268651.9</w:t>
            </w:r>
          </w:p>
        </w:tc>
        <w:tc>
          <w:tcPr/>
          <w:p>
            <w:pPr>
              <w:pStyle w:val="Compact"/>
              <w:jc w:val="right"/>
            </w:pPr>
            <w:r>
              <w:t xml:space="preserve">18.288474</w:t>
            </w:r>
          </w:p>
        </w:tc>
        <w:tc>
          <w:tcPr/>
          <w:p>
            <w:pPr>
              <w:pStyle w:val="Compact"/>
              <w:jc w:val="right"/>
            </w:pPr>
            <w:r>
              <w:t xml:space="preserve">0.0000000</w:t>
            </w:r>
          </w:p>
        </w:tc>
      </w:tr>
      <w:tr>
        <w:tc>
          <w:tcPr/>
          <w:p>
            <w:pPr>
              <w:pStyle w:val="Compact"/>
              <w:jc w:val="left"/>
            </w:pPr>
            <w:r>
              <w:t xml:space="preserve">RegionWest</w:t>
            </w:r>
          </w:p>
        </w:tc>
        <w:tc>
          <w:tcPr/>
          <w:p>
            <w:pPr>
              <w:pStyle w:val="Compact"/>
              <w:jc w:val="right"/>
            </w:pPr>
            <w:r>
              <w:t xml:space="preserve">1437161.7</w:t>
            </w:r>
          </w:p>
        </w:tc>
        <w:tc>
          <w:tcPr/>
          <w:p>
            <w:pPr>
              <w:pStyle w:val="Compact"/>
              <w:jc w:val="right"/>
            </w:pPr>
            <w:r>
              <w:t xml:space="preserve">201040.6</w:t>
            </w:r>
          </w:p>
        </w:tc>
        <w:tc>
          <w:tcPr/>
          <w:p>
            <w:pPr>
              <w:pStyle w:val="Compact"/>
              <w:jc w:val="right"/>
            </w:pPr>
            <w:r>
              <w:t xml:space="preserve">7.148613</w:t>
            </w:r>
          </w:p>
        </w:tc>
        <w:tc>
          <w:tcPr/>
          <w:p>
            <w:pPr>
              <w:pStyle w:val="Compact"/>
              <w:jc w:val="right"/>
            </w:pPr>
            <w:r>
              <w:t xml:space="preserve">0.0000000</w:t>
            </w:r>
          </w:p>
        </w:tc>
      </w:tr>
    </w:tbl>
    <w:p>
      <w:pPr>
        <w:pStyle w:val="BodyText"/>
      </w:pPr>
      <w:r>
        <w:t xml:space="preserve"> </w:t>
      </w:r>
    </w:p>
    <w:p>
      <w:pPr>
        <w:pStyle w:val="SourceCode"/>
      </w:pPr>
      <w:r>
        <w:rPr>
          <w:rStyle w:val="NormalTok"/>
        </w:rPr>
        <w:t xml:space="preserve">resulttable3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"lm9.rds"</w:t>
      </w:r>
      <w:r>
        <w:rPr>
          <w:rStyle w:val="NormalTok"/>
        </w:rPr>
        <w:t xml:space="preserve">))</w:t>
      </w:r>
      <w:r>
        <w:br/>
      </w:r>
      <w:r>
        <w:rPr>
          <w:rStyle w:val="FunctionTok"/>
        </w:rPr>
        <w:t xml:space="preserve">kable</w:t>
      </w:r>
      <w:r>
        <w:rPr>
          <w:rStyle w:val="NormalTok"/>
        </w:rPr>
        <w:t xml:space="preserve">(resulttable3)</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-6.876137e+04</w:t>
            </w:r>
          </w:p>
        </w:tc>
        <w:tc>
          <w:tcPr/>
          <w:p>
            <w:pPr>
              <w:pStyle w:val="Compact"/>
              <w:jc w:val="right"/>
            </w:pPr>
            <w:r>
              <w:t xml:space="preserve">6922.7485546</w:t>
            </w:r>
          </w:p>
        </w:tc>
        <w:tc>
          <w:tcPr/>
          <w:p>
            <w:pPr>
              <w:pStyle w:val="Compact"/>
              <w:jc w:val="right"/>
            </w:pPr>
            <w:r>
              <w:t xml:space="preserve">-9.932669</w:t>
            </w:r>
          </w:p>
        </w:tc>
        <w:tc>
          <w:tcPr/>
          <w:p>
            <w:pPr>
              <w:pStyle w:val="Compact"/>
              <w:jc w:val="right"/>
            </w:pPr>
            <w:r>
              <w:t xml:space="preserve">0</w:t>
            </w:r>
          </w:p>
        </w:tc>
      </w:tr>
      <w:tr>
        <w:tc>
          <w:tcPr/>
          <w:p>
            <w:pPr>
              <w:pStyle w:val="Compact"/>
              <w:jc w:val="left"/>
            </w:pPr>
            <w:r>
              <w:t xml:space="preserve">Distributed</w:t>
            </w:r>
          </w:p>
        </w:tc>
        <w:tc>
          <w:tcPr/>
          <w:p>
            <w:pPr>
              <w:pStyle w:val="Compact"/>
              <w:jc w:val="right"/>
            </w:pPr>
            <w:r>
              <w:t xml:space="preserve">8.048692e-01</w:t>
            </w:r>
          </w:p>
        </w:tc>
        <w:tc>
          <w:tcPr/>
          <w:p>
            <w:pPr>
              <w:pStyle w:val="Compact"/>
              <w:jc w:val="right"/>
            </w:pPr>
            <w:r>
              <w:t xml:space="preserve">0.0004176</w:t>
            </w:r>
          </w:p>
        </w:tc>
        <w:tc>
          <w:tcPr/>
          <w:p>
            <w:pPr>
              <w:pStyle w:val="Compact"/>
              <w:jc w:val="right"/>
            </w:pPr>
            <w:r>
              <w:t xml:space="preserve">1927.469243</w:t>
            </w:r>
          </w:p>
        </w:tc>
        <w:tc>
          <w:tcPr/>
          <w:p>
            <w:pPr>
              <w:pStyle w:val="Compact"/>
              <w:jc w:val="right"/>
            </w:pPr>
            <w:r>
              <w:t xml:space="preserve">0</w:t>
            </w:r>
          </w:p>
        </w:tc>
      </w:tr>
    </w:tbl>
    <w:p>
      <w:r>
        <w:br w:type="page"/>
      </w:r>
    </w:p>
    <w:bookmarkEnd w:id="35"/>
    <w:bookmarkStart w:id="36" w:name="full-analysis"/>
    <w:p>
      <w:pPr>
        <w:pStyle w:val="Heading2"/>
      </w:pPr>
      <w:r>
        <w:t xml:space="preserve">4.3 Full analysis</w:t>
      </w:r>
    </w:p>
    <w:p>
      <w:pPr>
        <w:pStyle w:val="FirstParagraph"/>
      </w:pPr>
      <w:r>
        <w:t xml:space="preserve">Comparing the best tree model to the null model fitted with the training dataset.</w:t>
      </w:r>
    </w:p>
    <w:p>
      <w:pPr>
        <w:pStyle w:val="SourceCode"/>
      </w:pPr>
      <w:r>
        <w:rPr>
          <w:rStyle w:val="NormalTok"/>
        </w:rPr>
        <w:t xml:space="preserve">resulttable4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"best_tree_df.rds"</w:t>
      </w:r>
      <w:r>
        <w:rPr>
          <w:rStyle w:val="NormalTok"/>
        </w:rPr>
        <w:t xml:space="preserve">))</w:t>
      </w:r>
      <w:r>
        <w:br/>
      </w:r>
      <w:r>
        <w:rPr>
          <w:rStyle w:val="FunctionTok"/>
        </w:rPr>
        <w:t xml:space="preserve">kable</w:t>
      </w:r>
      <w:r>
        <w:rPr>
          <w:rStyle w:val="NormalTok"/>
        </w:rPr>
        <w:t xml:space="preserve">(resulttable4)</w:t>
      </w:r>
    </w:p>
    <w:tbl>
      <w:tblPr>
        <w:tblStyle w:val="Table"/>
        <w:tblW w:type="pct" w:w="5000"/>
        <w:tblLook w:firstRow="1" w:lastRow="0" w:firstColumn="0" w:lastColumn="0" w:noHBand="0" w:noVBand="0" w:val="0020"/>
      </w:tblPr>
      <w:tblGrid>
        <w:gridCol w:w="1440"/>
        <w:gridCol w:w="990"/>
        <w:gridCol w:w="720"/>
        <w:gridCol w:w="990"/>
        <w:gridCol w:w="810"/>
        <w:gridCol w:w="270"/>
        <w:gridCol w:w="720"/>
        <w:gridCol w:w="1980"/>
      </w:tblGrid>
      <w:tr>
        <w:trPr>
          <w:tblHeader w:val="true"/>
        </w:trPr>
        <w:tc>
          <w:tcPr/>
          <w:p>
            <w:pPr>
              <w:pStyle w:val="Compact"/>
              <w:jc w:val="right"/>
            </w:pPr>
            <w:r>
              <w:t xml:space="preserve">cost_complexity</w:t>
            </w:r>
          </w:p>
        </w:tc>
        <w:tc>
          <w:tcPr/>
          <w:p>
            <w:pPr>
              <w:pStyle w:val="Compact"/>
              <w:jc w:val="right"/>
            </w:pPr>
            <w:r>
              <w:t xml:space="preserve">tree_depth</w:t>
            </w:r>
          </w:p>
        </w:tc>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right"/>
            </w:pPr>
            <w:r>
              <w:t xml:space="preserve">0</w:t>
            </w:r>
          </w:p>
        </w:tc>
        <w:tc>
          <w:tcPr/>
          <w:p>
            <w:pPr>
              <w:pStyle w:val="Compact"/>
              <w:jc w:val="right"/>
            </w:pPr>
            <w:r>
              <w:t xml:space="preserve">1</w:t>
            </w:r>
          </w:p>
        </w:tc>
        <w:tc>
          <w:tcPr/>
          <w:p>
            <w:pPr>
              <w:pStyle w:val="Compact"/>
              <w:jc w:val="left"/>
            </w:pPr>
            <w:r>
              <w:t xml:space="preserve">rmse</w:t>
            </w:r>
          </w:p>
        </w:tc>
        <w:tc>
          <w:tcPr/>
          <w:p>
            <w:pPr>
              <w:pStyle w:val="Compact"/>
              <w:jc w:val="left"/>
            </w:pPr>
            <w:r>
              <w:t xml:space="preserve">standard</w:t>
            </w:r>
          </w:p>
        </w:tc>
        <w:tc>
          <w:tcPr/>
          <w:p>
            <w:pPr>
              <w:pStyle w:val="Compact"/>
              <w:jc w:val="right"/>
            </w:pPr>
            <w:r>
              <w:t xml:space="preserve">10850738</w:t>
            </w:r>
          </w:p>
        </w:tc>
        <w:tc>
          <w:tcPr/>
          <w:p>
            <w:pPr>
              <w:pStyle w:val="Compact"/>
              <w:jc w:val="right"/>
            </w:pPr>
            <w:r>
              <w:t xml:space="preserve">5</w:t>
            </w:r>
          </w:p>
        </w:tc>
        <w:tc>
          <w:tcPr/>
          <w:p>
            <w:pPr>
              <w:pStyle w:val="Compact"/>
              <w:jc w:val="right"/>
            </w:pPr>
            <w:r>
              <w:t xml:space="preserve">1323450</w:t>
            </w:r>
          </w:p>
        </w:tc>
        <w:tc>
          <w:tcPr/>
          <w:p>
            <w:pPr>
              <w:pStyle w:val="Compact"/>
              <w:jc w:val="left"/>
            </w:pPr>
            <w:r>
              <w:t xml:space="preserve">Preprocessor1_Model01</w:t>
            </w:r>
          </w:p>
        </w:tc>
      </w:tr>
    </w:tbl>
    <w:p>
      <w:pPr>
        <w:pStyle w:val="SourceCode"/>
      </w:pPr>
      <w:r>
        <w:rPr>
          <w:rStyle w:val="NormalTok"/>
        </w:rPr>
        <w:t xml:space="preserve">resulttable5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"null_train_df.rds"</w:t>
      </w:r>
      <w:r>
        <w:rPr>
          <w:rStyle w:val="NormalTok"/>
        </w:rPr>
        <w:t xml:space="preserve">))</w:t>
      </w:r>
      <w:r>
        <w:br/>
      </w:r>
      <w:r>
        <w:rPr>
          <w:rStyle w:val="FunctionTok"/>
        </w:rPr>
        <w:t xml:space="preserve">kable</w:t>
      </w:r>
      <w:r>
        <w:rPr>
          <w:rStyle w:val="NormalTok"/>
        </w:rPr>
        <w:t xml:space="preserve">(resulttable5)</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10034816</w:t>
            </w:r>
          </w:p>
        </w:tc>
        <w:tc>
          <w:tcPr/>
          <w:p>
            <w:pPr>
              <w:pStyle w:val="Compact"/>
              <w:jc w:val="right"/>
            </w:pPr>
            <w:r>
              <w:t xml:space="preserve">5</w:t>
            </w:r>
          </w:p>
        </w:tc>
        <w:tc>
          <w:tcPr/>
          <w:p>
            <w:pPr>
              <w:pStyle w:val="Compact"/>
              <w:jc w:val="right"/>
            </w:pPr>
            <w:r>
              <w:t xml:space="preserve">1058155</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pPr>
        <w:pStyle w:val="BodyText"/>
      </w:pPr>
      <w:r>
        <w:t xml:space="preserve">Comparing the last tree fit with the null model fitted with the testing data.</w:t>
      </w:r>
    </w:p>
    <w:p>
      <w:pPr>
        <w:pStyle w:val="SourceCode"/>
      </w:pPr>
      <w:r>
        <w:rPr>
          <w:rStyle w:val="NormalTok"/>
        </w:rPr>
        <w:t xml:space="preserve">resulttable6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"tree_last_df.rds"</w:t>
      </w:r>
      <w:r>
        <w:rPr>
          <w:rStyle w:val="NormalTok"/>
        </w:rPr>
        <w:t xml:space="preserve">))</w:t>
      </w:r>
      <w:r>
        <w:br/>
      </w:r>
      <w:r>
        <w:rPr>
          <w:rStyle w:val="FunctionTok"/>
        </w:rPr>
        <w:t xml:space="preserve">kable</w:t>
      </w:r>
      <w:r>
        <w:rPr>
          <w:rStyle w:val="NormalTok"/>
        </w:rPr>
        <w:t xml:space="preserve">(resulttable6)</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.estimate</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1.589127e+07</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5.776640e-02</w:t>
            </w:r>
          </w:p>
        </w:tc>
        <w:tc>
          <w:tcPr/>
          <w:p>
            <w:pPr>
              <w:pStyle w:val="Compact"/>
              <w:jc w:val="left"/>
            </w:pPr>
            <w:r>
              <w:t xml:space="preserve">Preprocessor1_Model1</w:t>
            </w:r>
          </w:p>
        </w:tc>
      </w:tr>
    </w:tbl>
    <w:p>
      <w:pPr>
        <w:pStyle w:val="SourceCode"/>
      </w:pPr>
      <w:r>
        <w:rPr>
          <w:rStyle w:val="NormalTok"/>
        </w:rPr>
        <w:t xml:space="preserve">resulttable7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"null_test_df.rds"</w:t>
      </w:r>
      <w:r>
        <w:rPr>
          <w:rStyle w:val="NormalTok"/>
        </w:rPr>
        <w:t xml:space="preserve">))</w:t>
      </w:r>
      <w:r>
        <w:br/>
      </w:r>
      <w:r>
        <w:rPr>
          <w:rStyle w:val="FunctionTok"/>
        </w:rPr>
        <w:t xml:space="preserve">kable</w:t>
      </w:r>
      <w:r>
        <w:rPr>
          <w:rStyle w:val="NormalTok"/>
        </w:rPr>
        <w:t xml:space="preserve">(resulttable7)</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11986004</w:t>
            </w:r>
          </w:p>
        </w:tc>
        <w:tc>
          <w:tcPr/>
          <w:p>
            <w:pPr>
              <w:pStyle w:val="Compact"/>
              <w:jc w:val="right"/>
            </w:pPr>
            <w:r>
              <w:t xml:space="preserve">5</w:t>
            </w:r>
          </w:p>
        </w:tc>
        <w:tc>
          <w:tcPr/>
          <w:p>
            <w:pPr>
              <w:pStyle w:val="Compact"/>
              <w:jc w:val="right"/>
            </w:pPr>
            <w:r>
              <w:t xml:space="preserve">5556718</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r>
        <w:br w:type="page"/>
      </w:r>
    </w:p>
    <w:bookmarkEnd w:id="36"/>
    <w:bookmarkEnd w:id="37"/>
    <w:bookmarkStart w:id="41" w:name="discussion"/>
    <w:p>
      <w:pPr>
        <w:pStyle w:val="Heading1"/>
      </w:pPr>
      <w:r>
        <w:t xml:space="preserve">5. Discussion</w:t>
      </w:r>
    </w:p>
    <w:bookmarkStart w:id="38"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8"/>
    <w:bookmarkStart w:id="39"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39"/>
    <w:bookmarkStart w:id="40"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r>
        <w:br w:type="page"/>
      </w:r>
    </w:p>
    <w:bookmarkEnd w:id="40"/>
    <w:bookmarkEnd w:id="41"/>
    <w:bookmarkStart w:id="54" w:name="references"/>
    <w:p>
      <w:pPr>
        <w:pStyle w:val="Heading1"/>
      </w:pPr>
      <w:r>
        <w:t xml:space="preserve">6. References</w:t>
      </w:r>
    </w:p>
    <w:bookmarkStart w:id="53" w:name="refs"/>
    <w:bookmarkStart w:id="43" w:name="ref-us_census_bureau_american_2021"/>
    <w:p>
      <w:pPr>
        <w:pStyle w:val="Bibliography"/>
      </w:pPr>
      <w:r>
        <w:t xml:space="preserve">Bureau, U. C. (2021).</w:t>
      </w:r>
      <w:r>
        <w:t xml:space="preserve"> </w:t>
      </w:r>
      <w:r>
        <w:rPr>
          <w:iCs/>
          <w:i/>
        </w:rPr>
        <w:t xml:space="preserve">American</w:t>
      </w:r>
      <w:r>
        <w:rPr>
          <w:iCs/>
          <w:i/>
        </w:rPr>
        <w:t xml:space="preserve"> </w:t>
      </w:r>
      <w:r>
        <w:rPr>
          <w:iCs/>
          <w:i/>
        </w:rPr>
        <w:t xml:space="preserve">Community</w:t>
      </w:r>
      <w:r>
        <w:rPr>
          <w:iCs/>
          <w:i/>
        </w:rPr>
        <w:t xml:space="preserve"> </w:t>
      </w:r>
      <w:r>
        <w:rPr>
          <w:iCs/>
          <w:i/>
        </w:rPr>
        <w:t xml:space="preserve">Survey</w:t>
      </w:r>
      <w:r>
        <w:rPr>
          <w:iCs/>
          <w:i/>
        </w:rPr>
        <w:t xml:space="preserve"> </w:t>
      </w:r>
      <w:r>
        <w:rPr>
          <w:iCs/>
          <w:i/>
        </w:rPr>
        <w:t xml:space="preserve">Income</w:t>
      </w:r>
      <w:r>
        <w:rPr>
          <w:iCs/>
          <w:i/>
        </w:rPr>
        <w:t xml:space="preserve"> </w:t>
      </w:r>
      <w:r>
        <w:rPr>
          <w:iCs/>
          <w:i/>
        </w:rPr>
        <w:t xml:space="preserve">Data</w:t>
      </w:r>
      <w:r>
        <w:rPr>
          <w:iCs/>
          <w:i/>
        </w:rPr>
        <w:t xml:space="preserve"> </w:t>
      </w:r>
      <w:r>
        <w:rPr>
          <w:iCs/>
          <w:i/>
        </w:rPr>
        <w:t xml:space="preserve">over the</w:t>
      </w:r>
      <w:r>
        <w:rPr>
          <w:iCs/>
          <w:i/>
        </w:rPr>
        <w:t xml:space="preserve"> </w:t>
      </w:r>
      <w:r>
        <w:rPr>
          <w:iCs/>
          <w:i/>
        </w:rPr>
        <w:t xml:space="preserve">Past</w:t>
      </w:r>
      <w:r>
        <w:rPr>
          <w:iCs/>
          <w:i/>
        </w:rPr>
        <w:t xml:space="preserve"> </w:t>
      </w:r>
      <w:r>
        <w:rPr>
          <w:iCs/>
          <w:i/>
        </w:rPr>
        <w:t xml:space="preserve">12</w:t>
      </w:r>
      <w:r>
        <w:rPr>
          <w:iCs/>
          <w:i/>
        </w:rPr>
        <w:t xml:space="preserve"> </w:t>
      </w:r>
      <w:r>
        <w:rPr>
          <w:iCs/>
          <w:i/>
        </w:rPr>
        <w:t xml:space="preserve">Months</w:t>
      </w:r>
      <w:r>
        <w:t xml:space="preserve">. Retrieved from</w:t>
      </w:r>
      <w:r>
        <w:t xml:space="preserve"> </w:t>
      </w:r>
      <w:hyperlink r:id="rId42">
        <w:r>
          <w:rPr>
            <w:rStyle w:val="Hyperlink"/>
          </w:rPr>
          <w:t xml:space="preserve">https://data.census.gov/table?q=United+States&amp;t=Income+and+Earnings&amp;g=010XX00US,$0400000&amp;y=2021</w:t>
        </w:r>
      </w:hyperlink>
    </w:p>
    <w:bookmarkEnd w:id="43"/>
    <w:bookmarkStart w:id="45" w:name="ref-cdc_cdc_nodate"/>
    <w:p>
      <w:pPr>
        <w:pStyle w:val="Bibliography"/>
      </w:pPr>
      <w:r>
        <w:t xml:space="preserve">CDC. (n.d.-a).</w:t>
      </w:r>
      <w:r>
        <w:t xml:space="preserve"> </w:t>
      </w:r>
      <w:r>
        <w:rPr>
          <w:iCs/>
          <w:i/>
        </w:rPr>
        <w:t xml:space="preserve">CDC</w:t>
      </w:r>
      <w:r>
        <w:rPr>
          <w:iCs/>
          <w:i/>
        </w:rPr>
        <w:t xml:space="preserve"> </w:t>
      </w:r>
      <w:r>
        <w:rPr>
          <w:iCs/>
          <w:i/>
        </w:rPr>
        <w:t xml:space="preserve">COVID</w:t>
      </w:r>
      <w:r>
        <w:rPr>
          <w:iCs/>
          <w:i/>
        </w:rPr>
        <w:t xml:space="preserve">-19</w:t>
      </w:r>
      <w:r>
        <w:rPr>
          <w:iCs/>
          <w:i/>
        </w:rPr>
        <w:t xml:space="preserve"> </w:t>
      </w:r>
      <w:r>
        <w:rPr>
          <w:iCs/>
          <w:i/>
        </w:rPr>
        <w:t xml:space="preserve">Data</w:t>
      </w:r>
      <w:r>
        <w:rPr>
          <w:iCs/>
          <w:i/>
        </w:rPr>
        <w:t xml:space="preserve"> </w:t>
      </w:r>
      <w:r>
        <w:rPr>
          <w:iCs/>
          <w:i/>
        </w:rPr>
        <w:t xml:space="preserve">Tracker</w:t>
      </w:r>
      <w:r>
        <w:t xml:space="preserve">. Retrieved from</w:t>
      </w:r>
      <w:r>
        <w:t xml:space="preserve"> </w:t>
      </w:r>
      <w:hyperlink r:id="rId44">
        <w:r>
          <w:rPr>
            <w:rStyle w:val="Hyperlink"/>
          </w:rPr>
          <w:t xml:space="preserve">https://covid.cdc.gov/covid-data-tracker/#datatracker-home</w:t>
        </w:r>
      </w:hyperlink>
    </w:p>
    <w:bookmarkEnd w:id="45"/>
    <w:bookmarkStart w:id="47" w:name="ref-cdc_covid-19_nodate"/>
    <w:p>
      <w:pPr>
        <w:pStyle w:val="Bibliography"/>
      </w:pPr>
      <w:r>
        <w:t xml:space="preserve">CDC. (n.d.-b).</w:t>
      </w:r>
      <w:r>
        <w:t xml:space="preserve"> </w:t>
      </w:r>
      <w:r>
        <w:rPr>
          <w:iCs/>
          <w:i/>
        </w:rPr>
        <w:t xml:space="preserve">COVID</w:t>
      </w:r>
      <w:r>
        <w:rPr>
          <w:iCs/>
          <w:i/>
        </w:rPr>
        <w:t xml:space="preserve">-19</w:t>
      </w:r>
      <w:r>
        <w:rPr>
          <w:iCs/>
          <w:i/>
        </w:rPr>
        <w:t xml:space="preserve"> </w:t>
      </w:r>
      <w:r>
        <w:rPr>
          <w:iCs/>
          <w:i/>
        </w:rPr>
        <w:t xml:space="preserve">Vaccinations</w:t>
      </w:r>
      <w:r>
        <w:rPr>
          <w:iCs/>
          <w:i/>
        </w:rPr>
        <w:t xml:space="preserve"> </w:t>
      </w:r>
      <w:r>
        <w:rPr>
          <w:iCs/>
          <w:i/>
        </w:rPr>
        <w:t xml:space="preserve">in the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Jurisdiction</w:t>
      </w:r>
      <w:r>
        <w:t xml:space="preserve">. Retrieved from</w:t>
      </w:r>
      <w:r>
        <w:t xml:space="preserve"> </w:t>
      </w:r>
      <w:hyperlink r:id="rId46">
        <w:r>
          <w:rPr>
            <w:rStyle w:val="Hyperlink"/>
          </w:rPr>
          <w:t xml:space="preserve">https://data.cdc.gov/Vaccinations/COVID-19-Vaccinations-in-the-United-States-Jurisdi/unsk-b7fc</w:t>
        </w:r>
      </w:hyperlink>
    </w:p>
    <w:bookmarkEnd w:id="47"/>
    <w:bookmarkStart w:id="48" w:name="ref-dooling_advisory_2021"/>
    <w:p>
      <w:pPr>
        <w:pStyle w:val="Bibliography"/>
      </w:pPr>
      <w:r>
        <w:t xml:space="preserve">Dooling, K., Marin, M., Wallace, M., McClung, N., Chamberland, M., Lee, G. M., … Oliver, S. E. (2021).</w:t>
      </w:r>
      <w:r>
        <w:t xml:space="preserve"> </w:t>
      </w:r>
      <w:r>
        <w:rPr>
          <w:iCs/>
          <w:i/>
        </w:rPr>
        <w:t xml:space="preserve">The</w:t>
      </w:r>
      <w:r>
        <w:rPr>
          <w:iCs/>
          <w:i/>
        </w:rPr>
        <w:t xml:space="preserve"> </w:t>
      </w:r>
      <w:r>
        <w:rPr>
          <w:iCs/>
          <w:i/>
        </w:rPr>
        <w:t xml:space="preserve">Advisory</w:t>
      </w:r>
      <w:r>
        <w:rPr>
          <w:iCs/>
          <w:i/>
        </w:rPr>
        <w:t xml:space="preserve"> </w:t>
      </w:r>
      <w:r>
        <w:rPr>
          <w:iCs/>
          <w:i/>
        </w:rPr>
        <w:t xml:space="preserve">Committee</w:t>
      </w:r>
      <w:r>
        <w:rPr>
          <w:iCs/>
          <w:i/>
        </w:rPr>
        <w:t xml:space="preserve"> </w:t>
      </w:r>
      <w:r>
        <w:rPr>
          <w:iCs/>
          <w:i/>
        </w:rPr>
        <w:t xml:space="preserve">on</w:t>
      </w:r>
      <w:r>
        <w:rPr>
          <w:iCs/>
          <w:i/>
        </w:rPr>
        <w:t xml:space="preserve"> </w:t>
      </w:r>
      <w:r>
        <w:rPr>
          <w:iCs/>
          <w:i/>
        </w:rPr>
        <w:t xml:space="preserve">Immunization</w:t>
      </w:r>
      <w:r>
        <w:rPr>
          <w:iCs/>
          <w:i/>
        </w:rPr>
        <w:t xml:space="preserve"> </w:t>
      </w:r>
      <w:r>
        <w:rPr>
          <w:iCs/>
          <w:i/>
        </w:rPr>
        <w:t xml:space="preserve">Practices</w:t>
      </w:r>
      <w:r>
        <w:rPr>
          <w:iCs/>
          <w:i/>
        </w:rPr>
        <w:t xml:space="preserve">’</w:t>
      </w:r>
      <w:r>
        <w:rPr>
          <w:iCs/>
          <w:i/>
        </w:rPr>
        <w:t xml:space="preserve"> </w:t>
      </w:r>
      <w:r>
        <w:rPr>
          <w:iCs/>
          <w:i/>
        </w:rPr>
        <w:t xml:space="preserve">Updated</w:t>
      </w:r>
      <w:r>
        <w:rPr>
          <w:iCs/>
          <w:i/>
        </w:rPr>
        <w:t xml:space="preserve"> </w:t>
      </w:r>
      <w:r>
        <w:rPr>
          <w:iCs/>
          <w:i/>
        </w:rPr>
        <w:t xml:space="preserve">Interim</w:t>
      </w:r>
      <w:r>
        <w:rPr>
          <w:iCs/>
          <w:i/>
        </w:rPr>
        <w:t xml:space="preserve"> </w:t>
      </w:r>
      <w:r>
        <w:rPr>
          <w:iCs/>
          <w:i/>
        </w:rPr>
        <w:t xml:space="preserve">Recommendation</w:t>
      </w:r>
      <w:r>
        <w:rPr>
          <w:iCs/>
          <w:i/>
        </w:rPr>
        <w:t xml:space="preserve"> </w:t>
      </w:r>
      <w:r>
        <w:rPr>
          <w:iCs/>
          <w:i/>
        </w:rPr>
        <w:t xml:space="preserve">for</w:t>
      </w:r>
      <w:r>
        <w:rPr>
          <w:iCs/>
          <w:i/>
        </w:rPr>
        <w:t xml:space="preserve"> </w:t>
      </w:r>
      <w:r>
        <w:rPr>
          <w:iCs/>
          <w:i/>
        </w:rPr>
        <w:t xml:space="preserve">Allocation</w:t>
      </w:r>
      <w:r>
        <w:rPr>
          <w:iCs/>
          <w:i/>
        </w:rPr>
        <w:t xml:space="preserve"> </w:t>
      </w:r>
      <w:r>
        <w:rPr>
          <w:iCs/>
          <w:i/>
        </w:rPr>
        <w:t xml:space="preserve">of</w:t>
      </w:r>
      <w:r>
        <w:rPr>
          <w:iCs/>
          <w:i/>
        </w:rPr>
        <w:t xml:space="preserve"> </w:t>
      </w:r>
      <w:r>
        <w:rPr>
          <w:iCs/>
          <w:i/>
        </w:rPr>
        <w:t xml:space="preserve">COVID</w:t>
      </w:r>
      <w:r>
        <w:rPr>
          <w:iCs/>
          <w:i/>
        </w:rPr>
        <w:t xml:space="preserve">-19</w:t>
      </w:r>
      <w:r>
        <w:rPr>
          <w:iCs/>
          <w:i/>
        </w:rPr>
        <w:t xml:space="preserve"> </w:t>
      </w:r>
      <w:r>
        <w:rPr>
          <w:iCs/>
          <w:i/>
        </w:rPr>
        <w:t xml:space="preserve">Vaccine</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 </w:t>
      </w:r>
      <w:r>
        <w:rPr>
          <w:iCs/>
          <w:i/>
        </w:rPr>
        <w:t xml:space="preserve">December</w:t>
      </w:r>
      <w:r>
        <w:rPr>
          <w:iCs/>
          <w:i/>
        </w:rPr>
        <w:t xml:space="preserve"> </w:t>
      </w:r>
      <w:r>
        <w:rPr>
          <w:iCs/>
          <w:i/>
        </w:rPr>
        <w:t xml:space="preserve">2020</w:t>
      </w:r>
      <w:r>
        <w:t xml:space="preserve">.</w:t>
      </w:r>
      <w:r>
        <w:t xml:space="preserve"> </w:t>
      </w:r>
      <w:r>
        <w:rPr>
          <w:iCs/>
          <w:i/>
        </w:rPr>
        <w:t xml:space="preserve">69</w:t>
      </w:r>
      <w:r>
        <w:t xml:space="preserve">(51).</w:t>
      </w:r>
    </w:p>
    <w:bookmarkEnd w:id="48"/>
    <w:bookmarkStart w:id="50" w:name="ref-kawai_racialethnic_2021"/>
    <w:p>
      <w:pPr>
        <w:pStyle w:val="Bibliography"/>
      </w:pPr>
      <w:r>
        <w:t xml:space="preserve">Kawai, K., &amp; Kawai, A. T. (2021). Racial/</w:t>
      </w:r>
      <w:r>
        <w:t xml:space="preserve">Ethnic</w:t>
      </w:r>
      <w:r>
        <w:t xml:space="preserve"> </w:t>
      </w:r>
      <w:r>
        <w:t xml:space="preserve">and</w:t>
      </w:r>
      <w:r>
        <w:t xml:space="preserve"> </w:t>
      </w:r>
      <w:r>
        <w:t xml:space="preserve">Socioeconomic</w:t>
      </w:r>
      <w:r>
        <w:t xml:space="preserve"> </w:t>
      </w:r>
      <w:r>
        <w:t xml:space="preserve">Disparities</w:t>
      </w:r>
      <w:r>
        <w:t xml:space="preserve"> </w:t>
      </w:r>
      <w:r>
        <w:t xml:space="preserve">in</w:t>
      </w:r>
      <w:r>
        <w:t xml:space="preserve"> </w:t>
      </w:r>
      <w:r>
        <w:t xml:space="preserve">Adult</w:t>
      </w:r>
      <w:r>
        <w:t xml:space="preserve"> </w:t>
      </w:r>
      <w:r>
        <w:t xml:space="preserve">Vaccination</w:t>
      </w:r>
      <w:r>
        <w:t xml:space="preserve"> </w:t>
      </w:r>
      <w:r>
        <w:t xml:space="preserve">Coverage</w:t>
      </w:r>
      <w:r>
        <w:t xml:space="preserve">.</w:t>
      </w:r>
      <w:r>
        <w:t xml:space="preserve"> </w:t>
      </w:r>
      <w:r>
        <w:rPr>
          <w:iCs/>
          <w:i/>
        </w:rPr>
        <w:t xml:space="preserve">American Journal of Preventive Medicine</w:t>
      </w:r>
      <w:r>
        <w:t xml:space="preserve">,</w:t>
      </w:r>
      <w:r>
        <w:t xml:space="preserve"> </w:t>
      </w:r>
      <w:r>
        <w:rPr>
          <w:iCs/>
          <w:i/>
        </w:rPr>
        <w:t xml:space="preserve">61</w:t>
      </w:r>
      <w:r>
        <w:t xml:space="preserve">(4), 465–473.</w:t>
      </w:r>
      <w:r>
        <w:t xml:space="preserve"> </w:t>
      </w:r>
      <w:hyperlink r:id="rId49">
        <w:r>
          <w:rPr>
            <w:rStyle w:val="Hyperlink"/>
          </w:rPr>
          <w:t xml:space="preserve">https://doi.org/10.1016/j.amepre.2021.03.023</w:t>
        </w:r>
      </w:hyperlink>
    </w:p>
    <w:bookmarkEnd w:id="50"/>
    <w:bookmarkStart w:id="52" w:name="ref-zimmerman_trends_2019"/>
    <w:p>
      <w:pPr>
        <w:pStyle w:val="Bibliography"/>
      </w:pPr>
      <w:r>
        <w:t xml:space="preserve">Zimmerman, F. J., &amp; Anderson, N. W. (2019). Trends in</w:t>
      </w:r>
      <w:r>
        <w:t xml:space="preserve"> </w:t>
      </w:r>
      <w:r>
        <w:t xml:space="preserve">Health</w:t>
      </w:r>
      <w:r>
        <w:t xml:space="preserve"> </w:t>
      </w:r>
      <w:r>
        <w:t xml:space="preserve">Equity</w:t>
      </w:r>
      <w:r>
        <w:t xml:space="preserve"> </w:t>
      </w:r>
      <w:r>
        <w:t xml:space="preserve">in the</w:t>
      </w:r>
      <w:r>
        <w:t xml:space="preserve"> </w:t>
      </w:r>
      <w:r>
        <w:t xml:space="preserve">United</w:t>
      </w:r>
      <w:r>
        <w:t xml:space="preserve"> </w:t>
      </w:r>
      <w:r>
        <w:t xml:space="preserve">States</w:t>
      </w:r>
      <w:r>
        <w:t xml:space="preserve"> </w:t>
      </w:r>
      <w:r>
        <w:t xml:space="preserve">by</w:t>
      </w:r>
      <w:r>
        <w:t xml:space="preserve"> </w:t>
      </w:r>
      <w:r>
        <w:t xml:space="preserve">Race</w:t>
      </w:r>
      <w:r>
        <w:t xml:space="preserve">/</w:t>
      </w:r>
      <w:r>
        <w:t xml:space="preserve">Ethnicity</w:t>
      </w:r>
      <w:r>
        <w:t xml:space="preserve">,</w:t>
      </w:r>
      <w:r>
        <w:t xml:space="preserve"> </w:t>
      </w:r>
      <w:r>
        <w:t xml:space="preserve">Sex</w:t>
      </w:r>
      <w:r>
        <w:t xml:space="preserve">, and</w:t>
      </w:r>
      <w:r>
        <w:t xml:space="preserve"> </w:t>
      </w:r>
      <w:r>
        <w:t xml:space="preserve">Income</w:t>
      </w:r>
      <w:r>
        <w:t xml:space="preserve">, 1993-2017.</w:t>
      </w:r>
      <w:r>
        <w:t xml:space="preserve"> </w:t>
      </w:r>
      <w:r>
        <w:rPr>
          <w:iCs/>
          <w:i/>
        </w:rPr>
        <w:t xml:space="preserve">JAMA Network Open</w:t>
      </w:r>
      <w:r>
        <w:t xml:space="preserve">,</w:t>
      </w:r>
      <w:r>
        <w:t xml:space="preserve"> </w:t>
      </w:r>
      <w:r>
        <w:rPr>
          <w:iCs/>
          <w:i/>
        </w:rPr>
        <w:t xml:space="preserve">2</w:t>
      </w:r>
      <w:r>
        <w:t xml:space="preserve">(6), e196386.</w:t>
      </w:r>
      <w:r>
        <w:t xml:space="preserve"> </w:t>
      </w:r>
      <w:hyperlink r:id="rId51">
        <w:r>
          <w:rPr>
            <w:rStyle w:val="Hyperlink"/>
          </w:rPr>
          <w:t xml:space="preserve">https://doi.org/10.1001/jamanetworkopen.2019.6386</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_rels/footnotes.xml.rels><?xml version="1.0" encoding="UTF-8"?><Relationships xmlns="http://schemas.openxmlformats.org/package/2006/relationships"><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a Data Analysis Project</dc:title>
  <dc:creator>Katie Wells &amp; Connor Ross</dc:creator>
  <cp:keywords/>
  <dcterms:created xsi:type="dcterms:W3CDTF">2023-04-06T15:17:24Z</dcterms:created>
  <dcterms:modified xsi:type="dcterms:W3CDTF">2023-04-06T15:17:24Z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../mada_project.bib</vt:lpwstr>
  </property>
  <property fmtid="{D5CDD505-2E9C-101B-9397-08002B2CF9AE}" pid="5" name="by-author">
    <vt:lpwstr/>
  </property>
  <property fmtid="{D5CDD505-2E9C-101B-9397-08002B2CF9AE}" pid="6" name="csl">
    <vt:lpwstr>../apa.csl</vt:lpwstr>
  </property>
  <property fmtid="{D5CDD505-2E9C-101B-9397-08002B2CF9AE}" pid="7" name="date">
    <vt:lpwstr>4/6/23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