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3/16/23</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p>
      <w:pPr>
        <w:pStyle w:val="SourceCode"/>
      </w:pPr>
      <w:r>
        <w:rPr>
          <w:rStyle w:val="VerbatimChar"/>
        </w:rPr>
        <w:t xml:space="preserve">Warning: package 'tidyverse' was built under R version 4.2.2</w:t>
      </w:r>
    </w:p>
    <w:p>
      <w:pPr>
        <w:pStyle w:val="SourceCode"/>
      </w:pPr>
      <w:r>
        <w:rPr>
          <w:rStyle w:val="VerbatimChar"/>
        </w:rPr>
        <w:t xml:space="preserve">Warning: package 'ggplot2' was built under R version 4.2.2</w:t>
      </w:r>
    </w:p>
    <w:p>
      <w:pPr>
        <w:pStyle w:val="SourceCode"/>
      </w:pPr>
      <w:r>
        <w:rPr>
          <w:rStyle w:val="VerbatimChar"/>
        </w:rPr>
        <w:t xml:space="preserve">Warning: package 'tidyr' was built under R version 4.2.2</w:t>
      </w:r>
    </w:p>
    <w:p>
      <w:pPr>
        <w:pStyle w:val="SourceCode"/>
      </w:pPr>
      <w:r>
        <w:rPr>
          <w:rStyle w:val="VerbatimChar"/>
        </w:rPr>
        <w:t xml:space="preserve">Warning: package 'readr' was built under R version 4.2.2</w:t>
      </w:r>
    </w:p>
    <w:p>
      <w:pPr>
        <w:pStyle w:val="SourceCode"/>
      </w:pPr>
      <w:r>
        <w:rPr>
          <w:rStyle w:val="VerbatimChar"/>
        </w:rPr>
        <w:t xml:space="preserve">Warning: package 'purrr' was built under R version 4.2.2</w:t>
      </w:r>
    </w:p>
    <w:p>
      <w:pPr>
        <w:pStyle w:val="SourceCode"/>
      </w:pPr>
      <w:r>
        <w:rPr>
          <w:rStyle w:val="VerbatimChar"/>
        </w:rPr>
        <w:t xml:space="preserve">Warning: package 'dplyr' was built under R version 4.2.2</w:t>
      </w:r>
    </w:p>
    <w:p>
      <w:pPr>
        <w:pStyle w:val="SourceCode"/>
      </w:pPr>
      <w:r>
        <w:rPr>
          <w:rStyle w:val="VerbatimChar"/>
        </w:rPr>
        <w:t xml:space="preserve">Warning: package 'stringr' was built under R version 4.2.2</w:t>
      </w:r>
    </w:p>
    <w:p>
      <w:pPr>
        <w:pStyle w:val="SourceCode"/>
      </w:pPr>
      <w:r>
        <w:rPr>
          <w:rStyle w:val="VerbatimChar"/>
        </w:rPr>
        <w:t xml:space="preserve">Warning: package 'forcats' was built under R version 4.2.2</w:t>
      </w:r>
    </w:p>
    <w:p>
      <w:pPr>
        <w:pStyle w:val="SourceCode"/>
      </w:pPr>
      <w:r>
        <w:rPr>
          <w:rStyle w:val="VerbatimChar"/>
        </w:rPr>
        <w:t xml:space="preserve">Warning: package 'lubridate' was built under R version 4.2.2</w:t>
      </w:r>
    </w:p>
    <w:p>
      <w:pPr>
        <w:pStyle w:val="SourceCode"/>
      </w:pPr>
      <w:r>
        <w:rPr>
          <w:rStyle w:val="VerbatimChar"/>
        </w:rPr>
        <w:t xml:space="preserve">Warning: package 'tidymodels' was built under R version 4.2.2</w:t>
      </w:r>
    </w:p>
    <w:p>
      <w:pPr>
        <w:pStyle w:val="SourceCode"/>
      </w:pPr>
      <w:r>
        <w:rPr>
          <w:rStyle w:val="VerbatimChar"/>
        </w:rPr>
        <w:t xml:space="preserve">Warning: package 'dials' was built under R version 4.2.2</w:t>
      </w:r>
    </w:p>
    <w:p>
      <w:pPr>
        <w:pStyle w:val="SourceCode"/>
      </w:pPr>
      <w:r>
        <w:rPr>
          <w:rStyle w:val="VerbatimChar"/>
        </w:rPr>
        <w:t xml:space="preserve">Warning: package 'scales' was built under R version 4.2.2</w:t>
      </w:r>
    </w:p>
    <w:p>
      <w:pPr>
        <w:pStyle w:val="SourceCode"/>
      </w:pPr>
      <w:r>
        <w:rPr>
          <w:rStyle w:val="VerbatimChar"/>
        </w:rPr>
        <w:t xml:space="preserve">Warning: package 'infer' was built under R version 4.2.2</w:t>
      </w:r>
    </w:p>
    <w:p>
      <w:pPr>
        <w:pStyle w:val="SourceCode"/>
      </w:pPr>
      <w:r>
        <w:rPr>
          <w:rStyle w:val="VerbatimChar"/>
        </w:rPr>
        <w:t xml:space="preserve">Warning: package 'modeldata' was built under R version 4.2.2</w:t>
      </w:r>
    </w:p>
    <w:p>
      <w:pPr>
        <w:pStyle w:val="SourceCode"/>
      </w:pPr>
      <w:r>
        <w:rPr>
          <w:rStyle w:val="VerbatimChar"/>
        </w:rPr>
        <w:t xml:space="preserve">Warning: package 'parsnip' was built under R version 4.2.2</w:t>
      </w:r>
    </w:p>
    <w:p>
      <w:pPr>
        <w:pStyle w:val="SourceCode"/>
      </w:pPr>
      <w:r>
        <w:rPr>
          <w:rStyle w:val="VerbatimChar"/>
        </w:rPr>
        <w:t xml:space="preserve">Warning: package 'recipes' was built under R version 4.2.2</w:t>
      </w:r>
    </w:p>
    <w:p>
      <w:pPr>
        <w:pStyle w:val="SourceCode"/>
      </w:pPr>
      <w:r>
        <w:rPr>
          <w:rStyle w:val="VerbatimChar"/>
        </w:rPr>
        <w:t xml:space="preserve">Warning: package 'rsample' was built under R version 4.2.2</w:t>
      </w:r>
    </w:p>
    <w:p>
      <w:pPr>
        <w:pStyle w:val="SourceCode"/>
      </w:pPr>
      <w:r>
        <w:rPr>
          <w:rStyle w:val="VerbatimChar"/>
        </w:rPr>
        <w:t xml:space="preserve">Warning: package 'tune' was built under R version 4.2.2</w:t>
      </w:r>
    </w:p>
    <w:p>
      <w:pPr>
        <w:pStyle w:val="SourceCode"/>
      </w:pPr>
      <w:r>
        <w:rPr>
          <w:rStyle w:val="VerbatimChar"/>
        </w:rPr>
        <w:t xml:space="preserve">Warning: package 'workflows' was built under R version 4.2.2</w:t>
      </w:r>
    </w:p>
    <w:p>
      <w:pPr>
        <w:pStyle w:val="SourceCode"/>
      </w:pPr>
      <w:r>
        <w:rPr>
          <w:rStyle w:val="VerbatimChar"/>
        </w:rPr>
        <w:t xml:space="preserve">Warning: package 'workflowsets' was built under R version 4.2.2</w:t>
      </w:r>
    </w:p>
    <w:p>
      <w:pPr>
        <w:pStyle w:val="SourceCode"/>
      </w:pPr>
      <w:r>
        <w:rPr>
          <w:rStyle w:val="VerbatimChar"/>
        </w:rPr>
        <w:t xml:space="preserve">Warning: package 'yardstick' was built under R version 4.2.2</w:t>
      </w:r>
    </w:p>
    <w:bookmarkStart w:id="23" w:name="introduction"/>
    <w:p>
      <w:pPr>
        <w:pStyle w:val="Heading1"/>
      </w:pPr>
      <w:r>
        <w:t xml:space="preserve">1. Introduction</w:t>
      </w:r>
    </w:p>
    <w:bookmarkStart w:id="20" w:name="general-background-information"/>
    <w:p>
      <w:pPr>
        <w:pStyle w:val="Heading2"/>
      </w:pPr>
      <w:r>
        <w:t xml:space="preserve">1.1 General Background Information</w:t>
      </w:r>
    </w:p>
    <w:p>
      <w:pPr>
        <w:pStyle w:val="FirstParagraph"/>
      </w:pPr>
      <w:r>
        <w:rPr>
          <w:iCs/>
          <w:i/>
        </w:rPr>
        <w:t xml:space="preserve">Provide enough background on your topic that others can understand the why and how of your analysis</w:t>
      </w:r>
    </w:p>
    <w:bookmarkEnd w:id="20"/>
    <w:bookmarkStart w:id="21" w:name="description-of-data-and-data-source"/>
    <w:p>
      <w:pPr>
        <w:pStyle w:val="Heading2"/>
      </w:pPr>
      <w:r>
        <w:t xml:space="preserve">1.2 Description of data and data source</w:t>
      </w:r>
    </w:p>
    <w:p>
      <w:pPr>
        <w:pStyle w:val="FirstParagraph"/>
      </w:pPr>
      <w:r>
        <w:t xml:space="preserve">This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 It was obtained from https://data.cdc.gov/Vaccinations/COVID-19-Vaccinations-in-the-United-States-Jurisdi/unsk-b7fc. It has 109 columns and 37,500 rows of administration, distribution, and series data of COVID-19 vaccinations across the US.</w:t>
      </w:r>
    </w:p>
    <w:bookmarkEnd w:id="21"/>
    <w:bookmarkStart w:id="22" w:name="questionshypotheses-to-be-addressed"/>
    <w:p>
      <w:pPr>
        <w:pStyle w:val="Heading2"/>
      </w:pPr>
      <w:r>
        <w:t xml:space="preserve">1.3 Questions/Hypotheses to be addressed</w:t>
      </w:r>
    </w:p>
    <w:p>
      <w:pPr>
        <w:pStyle w:val="FirstParagraph"/>
      </w:pPr>
      <w:r>
        <w:t xml:space="preserve">Question: What factors (like region) influenced COVID-19 vaccine distribution across the US? Hypotheses: H0 - There is not a difference in COVID-19 vaccine (across manufacturers) popularity across all the regions in the United States. HA - There is differences in COVID-19 vaccine (manufacturer) popularity across the regions in the United States.</w:t>
      </w:r>
    </w:p>
    <w:bookmarkEnd w:id="22"/>
    <w:bookmarkEnd w:id="23"/>
    <w:bookmarkStart w:id="24" w:name="summaryabstract"/>
    <w:p>
      <w:pPr>
        <w:pStyle w:val="Heading1"/>
      </w:pPr>
      <w:r>
        <w:t xml:space="preserve">2. Summary/Abstract</w:t>
      </w:r>
    </w:p>
    <w:p>
      <w:pPr>
        <w:pStyle w:val="FirstParagraph"/>
      </w:pPr>
      <w:r>
        <w:rPr>
          <w:iCs/>
          <w:i/>
        </w:rPr>
        <w:t xml:space="preserve">Write a summary of your project.</w:t>
      </w:r>
    </w:p>
    <w:p>
      <w:r>
        <w:br w:type="page"/>
      </w:r>
    </w:p>
    <w:bookmarkEnd w:id="24"/>
    <w:bookmarkStart w:id="27"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5"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statistical-analysis"/>
    <w:p>
      <w:pPr>
        <w:pStyle w:val="Heading2"/>
      </w:pPr>
      <w:r>
        <w:t xml:space="preserve">3.2 Statistical analysis</w:t>
      </w:r>
    </w:p>
    <w:p>
      <w:pPr>
        <w:pStyle w:val="FirstParagraph"/>
      </w:pPr>
      <w:r>
        <w:t xml:space="preserve">After placing each state in a region of the US, we will conduct a time series analysis to determine the change in popularity over time. Further, we intended to plot overall administration of manufacturer-specific vaccines in each region to determine popularity after adjusting for distribution and time.</w:t>
      </w:r>
    </w:p>
    <w:p>
      <w:r>
        <w:br w:type="page"/>
      </w:r>
    </w:p>
    <w:bookmarkEnd w:id="26"/>
    <w:bookmarkEnd w:id="27"/>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t xml:space="preserve">Here are the main results from our exploratory analysis where we plotted the distributed and administered vaccines over the observed period. Individual bar graphs for each region can be found in the</w:t>
      </w:r>
      <w:r>
        <w:t xml:space="preserve"> </w:t>
      </w:r>
      <w:r>
        <w:t xml:space="preserve">‘</w:t>
      </w:r>
      <w:r>
        <w:t xml:space="preserve">exploration.qmd</w:t>
      </w:r>
      <w:r>
        <w:t xml:space="preserve">’</w:t>
      </w:r>
      <w:r>
        <w:t xml:space="preserve"> </w:t>
      </w:r>
      <w:r>
        <w:t xml:space="preserve">file in the</w:t>
      </w:r>
      <w:r>
        <w:t xml:space="preserve"> </w:t>
      </w:r>
      <w:r>
        <w:t xml:space="preserve">‘</w:t>
      </w:r>
      <w:r>
        <w:t xml:space="preserve">processing_code</w:t>
      </w:r>
      <w:r>
        <w:t xml:space="preserve">’</w:t>
      </w:r>
      <w:r>
        <w:t xml:space="preserve"> </w:t>
      </w:r>
      <w:r>
        <w:t xml:space="preserve">file.</w:t>
      </w:r>
    </w:p>
    <w:p>
      <w:pPr>
        <w:pStyle w:val="BodyText"/>
      </w:pPr>
      <w:r>
        <w:drawing>
          <wp:inline>
            <wp:extent cx="5334000" cy="3191865"/>
            <wp:effectExtent b="0" l="0" r="0" t="0"/>
            <wp:docPr descr="" title="" id="29" name="Picture"/>
            <a:graphic>
              <a:graphicData uri="http://schemas.openxmlformats.org/drawingml/2006/picture">
                <pic:pic>
                  <pic:nvPicPr>
                    <pic:cNvPr descr="images/image-19820666.png" id="30" name="Picture"/>
                    <pic:cNvPicPr>
                      <a:picLocks noChangeArrowheads="1" noChangeAspect="1"/>
                    </pic:cNvPicPr>
                  </pic:nvPicPr>
                  <pic:blipFill>
                    <a:blip r:embed="rId28"/>
                    <a:stretch>
                      <a:fillRect/>
                    </a:stretch>
                  </pic:blipFill>
                  <pic:spPr bwMode="auto">
                    <a:xfrm>
                      <a:off x="0" y="0"/>
                      <a:ext cx="5334000" cy="3191865"/>
                    </a:xfrm>
                    <a:prstGeom prst="rect">
                      <a:avLst/>
                    </a:prstGeom>
                    <a:noFill/>
                    <a:ln w="9525">
                      <a:noFill/>
                      <a:headEnd/>
                      <a:tailEnd/>
                    </a:ln>
                  </pic:spPr>
                </pic:pic>
              </a:graphicData>
            </a:graphic>
          </wp:inline>
        </w:drawing>
      </w:r>
    </w:p>
    <w:p>
      <w:pPr>
        <w:pStyle w:val="BodyText"/>
      </w:pPr>
      <w:r>
        <w:drawing>
          <wp:inline>
            <wp:extent cx="5334000" cy="3042111"/>
            <wp:effectExtent b="0" l="0" r="0" t="0"/>
            <wp:docPr descr="" title="" id="32" name="Picture"/>
            <a:graphic>
              <a:graphicData uri="http://schemas.openxmlformats.org/drawingml/2006/picture">
                <pic:pic>
                  <pic:nvPicPr>
                    <pic:cNvPr descr="images/image-1680087526.png" id="33" name="Picture"/>
                    <pic:cNvPicPr>
                      <a:picLocks noChangeArrowheads="1" noChangeAspect="1"/>
                    </pic:cNvPicPr>
                  </pic:nvPicPr>
                  <pic:blipFill>
                    <a:blip r:embed="rId31"/>
                    <a:stretch>
                      <a:fillRect/>
                    </a:stretch>
                  </pic:blipFill>
                  <pic:spPr bwMode="auto">
                    <a:xfrm>
                      <a:off x="0" y="0"/>
                      <a:ext cx="5334000" cy="3042111"/>
                    </a:xfrm>
                    <a:prstGeom prst="rect">
                      <a:avLst/>
                    </a:prstGeom>
                    <a:noFill/>
                    <a:ln w="9525">
                      <a:noFill/>
                      <a:headEnd/>
                      <a:tailEnd/>
                    </a:ln>
                  </pic:spPr>
                </pic:pic>
              </a:graphicData>
            </a:graphic>
          </wp:inline>
        </w:drawing>
      </w:r>
    </w:p>
    <w:bookmarkEnd w:id="34"/>
    <w:bookmarkStart w:id="35" w:name="basic-statistical-analysis"/>
    <w:p>
      <w:pPr>
        <w:pStyle w:val="Heading2"/>
      </w:pPr>
      <w:r>
        <w:t xml:space="preserve">4.2 Basic statistical analysis</w:t>
      </w:r>
    </w:p>
    <w:p>
      <w:pPr>
        <w:pStyle w:val="FirstParagraph"/>
      </w:pPr>
      <w:r>
        <w:t xml:space="preserve">Here are the main results from our initial fitting analysis. Note: we may not keep all of these fits in our final project but we calculated them all to view the results. Further checking of the models can be found in the</w:t>
      </w:r>
      <w:r>
        <w:t xml:space="preserve"> </w:t>
      </w:r>
      <w:r>
        <w:t xml:space="preserve">‘</w:t>
      </w:r>
      <w:r>
        <w:t xml:space="preserve">fitting.qmd</w:t>
      </w:r>
      <w:r>
        <w:t xml:space="preserve">’</w:t>
      </w:r>
      <w:r>
        <w:t xml:space="preserve"> </w:t>
      </w:r>
      <w:r>
        <w:t xml:space="preserve">in the</w:t>
      </w:r>
      <w:r>
        <w:t xml:space="preserve"> </w:t>
      </w:r>
      <w:r>
        <w:t xml:space="preserve">‘</w:t>
      </w:r>
      <w:r>
        <w:t xml:space="preserve">analysis_code</w:t>
      </w:r>
      <w:r>
        <w:t xml:space="preserve">’</w:t>
      </w:r>
      <w:r>
        <w:t xml:space="preserve"> </w:t>
      </w:r>
      <w:r>
        <w:t xml:space="preserve">folder.</w:t>
      </w:r>
    </w:p>
    <w:p>
      <w:pPr>
        <w:pStyle w:val="SourceCode"/>
      </w:pPr>
      <w:r>
        <w:rPr>
          <w:rStyle w:val="NormalTok"/>
        </w:rPr>
        <w:t xml:space="preserve">resulttable1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"lm7.rds"</w:t>
      </w:r>
      <w:r>
        <w:rPr>
          <w:rStyle w:val="NormalTok"/>
        </w:rPr>
        <w:t xml:space="preserve">))</w:t>
      </w:r>
      <w:r>
        <w:br/>
      </w:r>
      <w:r>
        <w:rPr>
          <w:rStyle w:val="FunctionTok"/>
        </w:rPr>
        <w:t xml:space="preserve">kable</w:t>
      </w:r>
      <w:r>
        <w:rPr>
          <w:rStyle w:val="NormalTok"/>
        </w:rPr>
        <w:t xml:space="preserve">(resulttable1)</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-3.967848e+04</w:t>
            </w:r>
          </w:p>
        </w:tc>
        <w:tc>
          <w:tcPr/>
          <w:p>
            <w:pPr>
              <w:pStyle w:val="Compact"/>
              <w:jc w:val="right"/>
            </w:pPr>
            <w:r>
              <w:t xml:space="preserve">11621.815926</w:t>
            </w:r>
          </w:p>
        </w:tc>
        <w:tc>
          <w:tcPr/>
          <w:p>
            <w:pPr>
              <w:pStyle w:val="Compact"/>
              <w:jc w:val="right"/>
            </w:pPr>
            <w:r>
              <w:t xml:space="preserve">-3.414138</w:t>
            </w:r>
          </w:p>
        </w:tc>
        <w:tc>
          <w:tcPr/>
          <w:p>
            <w:pPr>
              <w:pStyle w:val="Compact"/>
              <w:jc w:val="right"/>
            </w:pPr>
            <w:r>
              <w:t xml:space="preserve">0.0006408</w:t>
            </w:r>
          </w:p>
        </w:tc>
      </w:tr>
      <w:tr>
        <w:tc>
          <w:tcPr/>
          <w:p>
            <w:pPr>
              <w:pStyle w:val="Compact"/>
              <w:jc w:val="left"/>
            </w:pPr>
            <w:r>
              <w:t xml:space="preserve">RegionNorthEast</w:t>
            </w:r>
          </w:p>
        </w:tc>
        <w:tc>
          <w:tcPr/>
          <w:p>
            <w:pPr>
              <w:pStyle w:val="Compact"/>
              <w:jc w:val="right"/>
            </w:pPr>
            <w:r>
              <w:t xml:space="preserve">2.105466e+05</w:t>
            </w:r>
          </w:p>
        </w:tc>
        <w:tc>
          <w:tcPr/>
          <w:p>
            <w:pPr>
              <w:pStyle w:val="Compact"/>
              <w:jc w:val="right"/>
            </w:pPr>
            <w:r>
              <w:t xml:space="preserve">15658.150692</w:t>
            </w:r>
          </w:p>
        </w:tc>
        <w:tc>
          <w:tcPr/>
          <w:p>
            <w:pPr>
              <w:pStyle w:val="Compact"/>
              <w:jc w:val="right"/>
            </w:pPr>
            <w:r>
              <w:t xml:space="preserve">13.446454</w:t>
            </w:r>
          </w:p>
        </w:tc>
        <w:tc>
          <w:tcPr/>
          <w:p>
            <w:pPr>
              <w:pStyle w:val="Compact"/>
              <w:jc w:val="right"/>
            </w:pPr>
            <w:r>
              <w:t xml:space="preserve">0.0000000</w:t>
            </w:r>
          </w:p>
        </w:tc>
      </w:tr>
      <w:tr>
        <w:tc>
          <w:tcPr/>
          <w:p>
            <w:pPr>
              <w:pStyle w:val="Compact"/>
              <w:jc w:val="left"/>
            </w:pPr>
            <w:r>
              <w:t xml:space="preserve">RegionSouthEast</w:t>
            </w:r>
          </w:p>
        </w:tc>
        <w:tc>
          <w:tcPr/>
          <w:p>
            <w:pPr>
              <w:pStyle w:val="Compact"/>
              <w:jc w:val="right"/>
            </w:pPr>
            <w:r>
              <w:t xml:space="preserve">-3.884536e+05</w:t>
            </w:r>
          </w:p>
        </w:tc>
        <w:tc>
          <w:tcPr/>
          <w:p>
            <w:pPr>
              <w:pStyle w:val="Compact"/>
              <w:jc w:val="right"/>
            </w:pPr>
            <w:r>
              <w:t xml:space="preserve">15043.823274</w:t>
            </w:r>
          </w:p>
        </w:tc>
        <w:tc>
          <w:tcPr/>
          <w:p>
            <w:pPr>
              <w:pStyle w:val="Compact"/>
              <w:jc w:val="right"/>
            </w:pPr>
            <w:r>
              <w:t xml:space="preserve">-25.821468</w:t>
            </w:r>
          </w:p>
        </w:tc>
        <w:tc>
          <w:tcPr/>
          <w:p>
            <w:pPr>
              <w:pStyle w:val="Compact"/>
              <w:jc w:val="right"/>
            </w:pPr>
            <w:r>
              <w:t xml:space="preserve">0.0000000</w:t>
            </w:r>
          </w:p>
        </w:tc>
      </w:tr>
      <w:tr>
        <w:tc>
          <w:tcPr/>
          <w:p>
            <w:pPr>
              <w:pStyle w:val="Compact"/>
              <w:jc w:val="left"/>
            </w:pPr>
            <w:r>
              <w:t xml:space="preserve">RegionSouthWest</w:t>
            </w:r>
          </w:p>
        </w:tc>
        <w:tc>
          <w:tcPr/>
          <w:p>
            <w:pPr>
              <w:pStyle w:val="Compact"/>
              <w:jc w:val="right"/>
            </w:pPr>
            <w:r>
              <w:t xml:space="preserve">-3.807442e+05</w:t>
            </w:r>
          </w:p>
        </w:tc>
        <w:tc>
          <w:tcPr/>
          <w:p>
            <w:pPr>
              <w:pStyle w:val="Compact"/>
              <w:jc w:val="right"/>
            </w:pPr>
            <w:r>
              <w:t xml:space="preserve">21597.652416</w:t>
            </w:r>
          </w:p>
        </w:tc>
        <w:tc>
          <w:tcPr/>
          <w:p>
            <w:pPr>
              <w:pStyle w:val="Compact"/>
              <w:jc w:val="right"/>
            </w:pPr>
            <w:r>
              <w:t xml:space="preserve">-17.628964</w:t>
            </w:r>
          </w:p>
        </w:tc>
        <w:tc>
          <w:tcPr/>
          <w:p>
            <w:pPr>
              <w:pStyle w:val="Compact"/>
              <w:jc w:val="right"/>
            </w:pPr>
            <w:r>
              <w:t xml:space="preserve">0.0000000</w:t>
            </w:r>
          </w:p>
        </w:tc>
      </w:tr>
      <w:tr>
        <w:tc>
          <w:tcPr/>
          <w:p>
            <w:pPr>
              <w:pStyle w:val="Compact"/>
              <w:jc w:val="left"/>
            </w:pPr>
            <w:r>
              <w:t xml:space="preserve">RegionWest</w:t>
            </w:r>
          </w:p>
        </w:tc>
        <w:tc>
          <w:tcPr/>
          <w:p>
            <w:pPr>
              <w:pStyle w:val="Compact"/>
              <w:jc w:val="right"/>
            </w:pPr>
            <w:r>
              <w:t xml:space="preserve">2.474770e+05</w:t>
            </w:r>
          </w:p>
        </w:tc>
        <w:tc>
          <w:tcPr/>
          <w:p>
            <w:pPr>
              <w:pStyle w:val="Compact"/>
              <w:jc w:val="right"/>
            </w:pPr>
            <w:r>
              <w:t xml:space="preserve">16052.402876</w:t>
            </w:r>
          </w:p>
        </w:tc>
        <w:tc>
          <w:tcPr/>
          <w:p>
            <w:pPr>
              <w:pStyle w:val="Compact"/>
              <w:jc w:val="right"/>
            </w:pPr>
            <w:r>
              <w:t xml:space="preserve">15.416821</w:t>
            </w:r>
          </w:p>
        </w:tc>
        <w:tc>
          <w:tcPr/>
          <w:p>
            <w:pPr>
              <w:pStyle w:val="Compact"/>
              <w:jc w:val="right"/>
            </w:pPr>
            <w:r>
              <w:t xml:space="preserve">0.0000000</w:t>
            </w:r>
          </w:p>
        </w:tc>
      </w:tr>
      <w:tr>
        <w:tc>
          <w:tcPr/>
          <w:p>
            <w:pPr>
              <w:pStyle w:val="Compact"/>
              <w:jc w:val="left"/>
            </w:pPr>
            <w:r>
              <w:t xml:space="preserve">Distributed</w:t>
            </w:r>
          </w:p>
        </w:tc>
        <w:tc>
          <w:tcPr/>
          <w:p>
            <w:pPr>
              <w:pStyle w:val="Compact"/>
              <w:jc w:val="right"/>
            </w:pPr>
            <w:r>
              <w:t xml:space="preserve">8.055944e-01</w:t>
            </w:r>
          </w:p>
        </w:tc>
        <w:tc>
          <w:tcPr/>
          <w:p>
            <w:pPr>
              <w:pStyle w:val="Compact"/>
              <w:jc w:val="right"/>
            </w:pPr>
            <w:r>
              <w:t xml:space="preserve">0.000401</w:t>
            </w:r>
          </w:p>
        </w:tc>
        <w:tc>
          <w:tcPr/>
          <w:p>
            <w:pPr>
              <w:pStyle w:val="Compact"/>
              <w:jc w:val="right"/>
            </w:pPr>
            <w:r>
              <w:t xml:space="preserve">2009.211299</w:t>
            </w:r>
          </w:p>
        </w:tc>
        <w:tc>
          <w:tcPr/>
          <w:p>
            <w:pPr>
              <w:pStyle w:val="Compact"/>
              <w:jc w:val="right"/>
            </w:pPr>
            <w:r>
              <w:t xml:space="preserve">0.0000000</w:t>
            </w:r>
          </w:p>
        </w:tc>
      </w:tr>
    </w:tbl>
    <w:p>
      <w:pPr>
        <w:pStyle w:val="BodyText"/>
      </w:pPr>
      <w:r>
        <w:t xml:space="preserve"> </w:t>
      </w:r>
    </w:p>
    <w:p>
      <w:pPr>
        <w:pStyle w:val="SourceCode"/>
      </w:pPr>
      <w:r>
        <w:rPr>
          <w:rStyle w:val="NormalTok"/>
        </w:rPr>
        <w:t xml:space="preserve">resulttable2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"lm8.rds"</w:t>
      </w:r>
      <w:r>
        <w:rPr>
          <w:rStyle w:val="NormalTok"/>
        </w:rPr>
        <w:t xml:space="preserve">))</w:t>
      </w:r>
      <w:r>
        <w:br/>
      </w:r>
      <w:r>
        <w:rPr>
          <w:rStyle w:val="FunctionTok"/>
        </w:rPr>
        <w:t xml:space="preserve">kable</w:t>
      </w:r>
      <w:r>
        <w:rPr>
          <w:rStyle w:val="NormalTok"/>
        </w:rPr>
        <w:t xml:space="preserve">(resulttable2)</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7072182.7</w:t>
            </w:r>
          </w:p>
        </w:tc>
        <w:tc>
          <w:tcPr/>
          <w:p>
            <w:pPr>
              <w:pStyle w:val="Compact"/>
              <w:jc w:val="right"/>
            </w:pPr>
            <w:r>
              <w:t xml:space="preserve">138731.2</w:t>
            </w:r>
          </w:p>
        </w:tc>
        <w:tc>
          <w:tcPr/>
          <w:p>
            <w:pPr>
              <w:pStyle w:val="Compact"/>
              <w:jc w:val="right"/>
            </w:pPr>
            <w:r>
              <w:t xml:space="preserve">50.977583</w:t>
            </w:r>
          </w:p>
        </w:tc>
        <w:tc>
          <w:tcPr/>
          <w:p>
            <w:pPr>
              <w:pStyle w:val="Compact"/>
              <w:jc w:val="right"/>
            </w:pPr>
            <w:r>
              <w:t xml:space="preserve">0.0000000</w:t>
            </w:r>
          </w:p>
        </w:tc>
      </w:tr>
      <w:tr>
        <w:tc>
          <w:tcPr/>
          <w:p>
            <w:pPr>
              <w:pStyle w:val="Compact"/>
              <w:jc w:val="left"/>
            </w:pPr>
            <w:r>
              <w:t xml:space="preserve">RegionNorthEast</w:t>
            </w:r>
          </w:p>
        </w:tc>
        <w:tc>
          <w:tcPr/>
          <w:p>
            <w:pPr>
              <w:pStyle w:val="Compact"/>
              <w:jc w:val="right"/>
            </w:pPr>
            <w:r>
              <w:t xml:space="preserve">853523.1</w:t>
            </w:r>
          </w:p>
        </w:tc>
        <w:tc>
          <w:tcPr/>
          <w:p>
            <w:pPr>
              <w:pStyle w:val="Compact"/>
              <w:jc w:val="right"/>
            </w:pPr>
            <w:r>
              <w:t xml:space="preserve">196195.6</w:t>
            </w:r>
          </w:p>
        </w:tc>
        <w:tc>
          <w:tcPr/>
          <w:p>
            <w:pPr>
              <w:pStyle w:val="Compact"/>
              <w:jc w:val="right"/>
            </w:pPr>
            <w:r>
              <w:t xml:space="preserve">4.350369</w:t>
            </w:r>
          </w:p>
        </w:tc>
        <w:tc>
          <w:tcPr/>
          <w:p>
            <w:pPr>
              <w:pStyle w:val="Compact"/>
              <w:jc w:val="right"/>
            </w:pPr>
            <w:r>
              <w:t xml:space="preserve">0.0000136</w:t>
            </w:r>
          </w:p>
        </w:tc>
      </w:tr>
      <w:tr>
        <w:tc>
          <w:tcPr/>
          <w:p>
            <w:pPr>
              <w:pStyle w:val="Compact"/>
              <w:jc w:val="left"/>
            </w:pPr>
            <w:r>
              <w:t xml:space="preserve">RegionSouthEast</w:t>
            </w:r>
          </w:p>
        </w:tc>
        <w:tc>
          <w:tcPr/>
          <w:p>
            <w:pPr>
              <w:pStyle w:val="Compact"/>
              <w:jc w:val="right"/>
            </w:pPr>
            <w:r>
              <w:t xml:space="preserve">225224.6</w:t>
            </w:r>
          </w:p>
        </w:tc>
        <w:tc>
          <w:tcPr/>
          <w:p>
            <w:pPr>
              <w:pStyle w:val="Compact"/>
              <w:jc w:val="right"/>
            </w:pPr>
            <w:r>
              <w:t xml:space="preserve">188498.6</w:t>
            </w:r>
          </w:p>
        </w:tc>
        <w:tc>
          <w:tcPr/>
          <w:p>
            <w:pPr>
              <w:pStyle w:val="Compact"/>
              <w:jc w:val="right"/>
            </w:pPr>
            <w:r>
              <w:t xml:space="preserve">1.194834</w:t>
            </w:r>
          </w:p>
        </w:tc>
        <w:tc>
          <w:tcPr/>
          <w:p>
            <w:pPr>
              <w:pStyle w:val="Compact"/>
              <w:jc w:val="right"/>
            </w:pPr>
            <w:r>
              <w:t xml:space="preserve">0.2321627</w:t>
            </w:r>
          </w:p>
        </w:tc>
      </w:tr>
      <w:tr>
        <w:tc>
          <w:tcPr/>
          <w:p>
            <w:pPr>
              <w:pStyle w:val="Compact"/>
              <w:jc w:val="left"/>
            </w:pPr>
            <w:r>
              <w:t xml:space="preserve">RegionSouthWest</w:t>
            </w:r>
          </w:p>
        </w:tc>
        <w:tc>
          <w:tcPr/>
          <w:p>
            <w:pPr>
              <w:pStyle w:val="Compact"/>
              <w:jc w:val="right"/>
            </w:pPr>
            <w:r>
              <w:t xml:space="preserve">4913232.6</w:t>
            </w:r>
          </w:p>
        </w:tc>
        <w:tc>
          <w:tcPr/>
          <w:p>
            <w:pPr>
              <w:pStyle w:val="Compact"/>
              <w:jc w:val="right"/>
            </w:pPr>
            <w:r>
              <w:t xml:space="preserve">268651.9</w:t>
            </w:r>
          </w:p>
        </w:tc>
        <w:tc>
          <w:tcPr/>
          <w:p>
            <w:pPr>
              <w:pStyle w:val="Compact"/>
              <w:jc w:val="right"/>
            </w:pPr>
            <w:r>
              <w:t xml:space="preserve">18.288474</w:t>
            </w:r>
          </w:p>
        </w:tc>
        <w:tc>
          <w:tcPr/>
          <w:p>
            <w:pPr>
              <w:pStyle w:val="Compact"/>
              <w:jc w:val="right"/>
            </w:pPr>
            <w:r>
              <w:t xml:space="preserve">0.0000000</w:t>
            </w:r>
          </w:p>
        </w:tc>
      </w:tr>
      <w:tr>
        <w:tc>
          <w:tcPr/>
          <w:p>
            <w:pPr>
              <w:pStyle w:val="Compact"/>
              <w:jc w:val="left"/>
            </w:pPr>
            <w:r>
              <w:t xml:space="preserve">RegionWest</w:t>
            </w:r>
          </w:p>
        </w:tc>
        <w:tc>
          <w:tcPr/>
          <w:p>
            <w:pPr>
              <w:pStyle w:val="Compact"/>
              <w:jc w:val="right"/>
            </w:pPr>
            <w:r>
              <w:t xml:space="preserve">1437161.7</w:t>
            </w:r>
          </w:p>
        </w:tc>
        <w:tc>
          <w:tcPr/>
          <w:p>
            <w:pPr>
              <w:pStyle w:val="Compact"/>
              <w:jc w:val="right"/>
            </w:pPr>
            <w:r>
              <w:t xml:space="preserve">201040.6</w:t>
            </w:r>
          </w:p>
        </w:tc>
        <w:tc>
          <w:tcPr/>
          <w:p>
            <w:pPr>
              <w:pStyle w:val="Compact"/>
              <w:jc w:val="right"/>
            </w:pPr>
            <w:r>
              <w:t xml:space="preserve">7.148613</w:t>
            </w:r>
          </w:p>
        </w:tc>
        <w:tc>
          <w:tcPr/>
          <w:p>
            <w:pPr>
              <w:pStyle w:val="Compact"/>
              <w:jc w:val="right"/>
            </w:pPr>
            <w:r>
              <w:t xml:space="preserve">0.0000000</w:t>
            </w:r>
          </w:p>
        </w:tc>
      </w:tr>
    </w:tbl>
    <w:p>
      <w:pPr>
        <w:pStyle w:val="BodyText"/>
      </w:pPr>
      <w:r>
        <w:t xml:space="preserve"> </w:t>
      </w:r>
    </w:p>
    <w:p>
      <w:pPr>
        <w:pStyle w:val="SourceCode"/>
      </w:pPr>
      <w:r>
        <w:rPr>
          <w:rStyle w:val="NormalTok"/>
        </w:rPr>
        <w:t xml:space="preserve">resulttable3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"lm9.rds"</w:t>
      </w:r>
      <w:r>
        <w:rPr>
          <w:rStyle w:val="NormalTok"/>
        </w:rPr>
        <w:t xml:space="preserve">))</w:t>
      </w:r>
      <w:r>
        <w:br/>
      </w:r>
      <w:r>
        <w:rPr>
          <w:rStyle w:val="FunctionTok"/>
        </w:rPr>
        <w:t xml:space="preserve">kable</w:t>
      </w:r>
      <w:r>
        <w:rPr>
          <w:rStyle w:val="NormalTok"/>
        </w:rPr>
        <w:t xml:space="preserve">(resulttable3)</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-6.876137e+04</w:t>
            </w:r>
          </w:p>
        </w:tc>
        <w:tc>
          <w:tcPr/>
          <w:p>
            <w:pPr>
              <w:pStyle w:val="Compact"/>
              <w:jc w:val="right"/>
            </w:pPr>
            <w:r>
              <w:t xml:space="preserve">6922.7485546</w:t>
            </w:r>
          </w:p>
        </w:tc>
        <w:tc>
          <w:tcPr/>
          <w:p>
            <w:pPr>
              <w:pStyle w:val="Compact"/>
              <w:jc w:val="right"/>
            </w:pPr>
            <w:r>
              <w:t xml:space="preserve">-9.932669</w:t>
            </w:r>
          </w:p>
        </w:tc>
        <w:tc>
          <w:tcPr/>
          <w:p>
            <w:pPr>
              <w:pStyle w:val="Compact"/>
              <w:jc w:val="right"/>
            </w:pPr>
            <w:r>
              <w:t xml:space="preserve">0</w:t>
            </w:r>
          </w:p>
        </w:tc>
      </w:tr>
      <w:tr>
        <w:tc>
          <w:tcPr/>
          <w:p>
            <w:pPr>
              <w:pStyle w:val="Compact"/>
              <w:jc w:val="left"/>
            </w:pPr>
            <w:r>
              <w:t xml:space="preserve">Distributed</w:t>
            </w:r>
          </w:p>
        </w:tc>
        <w:tc>
          <w:tcPr/>
          <w:p>
            <w:pPr>
              <w:pStyle w:val="Compact"/>
              <w:jc w:val="right"/>
            </w:pPr>
            <w:r>
              <w:t xml:space="preserve">8.048692e-01</w:t>
            </w:r>
          </w:p>
        </w:tc>
        <w:tc>
          <w:tcPr/>
          <w:p>
            <w:pPr>
              <w:pStyle w:val="Compact"/>
              <w:jc w:val="right"/>
            </w:pPr>
            <w:r>
              <w:t xml:space="preserve">0.0004176</w:t>
            </w:r>
          </w:p>
        </w:tc>
        <w:tc>
          <w:tcPr/>
          <w:p>
            <w:pPr>
              <w:pStyle w:val="Compact"/>
              <w:jc w:val="right"/>
            </w:pPr>
            <w:r>
              <w:t xml:space="preserve">1927.469243</w:t>
            </w:r>
          </w:p>
        </w:tc>
        <w:tc>
          <w:tcPr/>
          <w:p>
            <w:pPr>
              <w:pStyle w:val="Compact"/>
              <w:jc w:val="right"/>
            </w:pPr>
            <w:r>
              <w:t xml:space="preserve">0</w:t>
            </w:r>
          </w:p>
        </w:tc>
      </w:tr>
    </w:tbl>
    <w:p>
      <w:r>
        <w:br w:type="page"/>
      </w:r>
    </w:p>
    <w:bookmarkEnd w:id="35"/>
    <w:bookmarkStart w:id="36"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6"/>
    <w:bookmarkEnd w:id="37"/>
    <w:bookmarkStart w:id="41" w:name="discussion"/>
    <w:p>
      <w:pPr>
        <w:pStyle w:val="Heading1"/>
      </w:pPr>
      <w:r>
        <w:t xml:space="preserve">5. Discussion</w:t>
      </w:r>
    </w:p>
    <w:bookmarkStart w:id="3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9"/>
    <w:bookmarkStart w:id="4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r>
        <w:br w:type="page"/>
      </w:r>
    </w:p>
    <w:bookmarkEnd w:id="40"/>
    <w:bookmarkEnd w:id="41"/>
    <w:bookmarkStart w:id="42" w:name="references"/>
    <w:p>
      <w:pPr>
        <w:pStyle w:val="Heading1"/>
      </w:pPr>
      <w:r>
        <w:t xml:space="preserve">6. 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2023-03-17T00:26:37Z</dcterms:created>
  <dcterms:modified xsi:type="dcterms:W3CDTF">2023-03-17T00:26:37Z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3/16/23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