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/>
        <w:drawing>
          <wp:inline distB="0" distT="0" distL="0" distR="0">
            <wp:extent cx="876300" cy="571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80"/>
        <w:gridCol w:w="2886"/>
        <w:tblGridChange w:id="0">
          <w:tblGrid>
            <w:gridCol w:w="7580"/>
            <w:gridCol w:w="288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MEETING RECAP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       MEETING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Name: </w:t>
            </w:r>
            <w:r w:rsidDel="00000000" w:rsidR="00000000" w:rsidRPr="00000000">
              <w:rPr>
                <w:rtl w:val="0"/>
              </w:rPr>
              <w:t xml:space="preserve">Khảo sát năng cấp phần mềm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15/07/2026</w:t>
            </w:r>
          </w:p>
        </w:tc>
      </w:tr>
      <w:tr>
        <w:trPr>
          <w:cantSplit w:val="0"/>
          <w:trHeight w:val="446.4794921875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Location: </w:t>
            </w:r>
            <w:r w:rsidDel="00000000" w:rsidR="00000000" w:rsidRPr="00000000">
              <w:rPr>
                <w:rtl w:val="0"/>
              </w:rPr>
              <w:t xml:space="preserve">VP Phổ Đình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09:00 – 17:00</w:t>
            </w:r>
          </w:p>
        </w:tc>
      </w:tr>
    </w:tbl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       MEETING 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PHO DINH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ARITO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7"/>
              </w:numPr>
              <w:spacing w:after="0" w:after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Ms. Duyên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7"/>
              </w:numPr>
              <w:spacing w:after="0" w:after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Mr Khánh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7"/>
              </w:numPr>
              <w:spacing w:after="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Ms Ngọc Em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650"/>
        <w:gridCol w:w="6116"/>
        <w:gridCol w:w="2000"/>
        <w:tblGridChange w:id="0">
          <w:tblGrid>
            <w:gridCol w:w="700"/>
            <w:gridCol w:w="1650"/>
            <w:gridCol w:w="6116"/>
            <w:gridCol w:w="20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       MEETING 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000000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Tài sản/Công cụ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Sau này sẽ map lại và khớp mã giữa hai môi trường.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Tài sản và công cụ sẽ nhập kho.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Dùng phiếu xuất điều chuyển → sinh tài sản.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Khấu hao/phân bổ tài sản theo ngày.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Bán thanh lý dùng hóa đơn bán hàng → update ngày giảm.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Các khoản chi phí trả trước sẽ làm bên tài chính và phân bổ.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Check luồng điều chuyển thiết bị của nội bộ → mã của đơn vị mới?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fbfbf" w:space="0" w:sz="4" w:val="single"/>
              <w:left w:color="000000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Kho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after="6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Phiếu xuất kho kiêm vận chuyển nội bộ: kiểm tra lại nhà cung cấp kết nối.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.98046875" w:hRule="atLeast"/>
          <w:tblHeader w:val="0"/>
        </w:trPr>
        <w:tc>
          <w:tcPr>
            <w:tcBorders>
              <w:top w:color="bfbfbf" w:space="0" w:sz="4" w:val="single"/>
              <w:left w:color="000000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Tổng hợp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60" w:lineRule="auto"/>
              <w:ind w:left="720" w:hanging="36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Tạo 2 quyển cho các phiếu thu/chi không chuyển.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000000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Hợp đồng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Hỗ trợ Mappping bản Quản trị và Thuế để theo dõi các hợp đồng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000000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Mua hàng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Khi trả lại vật tư không mua được sẽ gợi ý các vật tư có thể thay thế.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Thêm dự báo đặt hàng: Tồn kho, nhu cầu đặt thêm, lịch sử 3 tháng gần nhất được điều chuyển, định mức sử dụng.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Thêm báo cáo biểu đồ đường để theo biến động cập nhật giá mua, cập nhật báo giá.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Thêm tính năng cập nhật giá mua từ cập nhật báo giá.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4794921875" w:hRule="atLeast"/>
          <w:tblHeader w:val="0"/>
        </w:trPr>
        <w:tc>
          <w:tcPr>
            <w:tcBorders>
              <w:top w:color="bfbfbf" w:space="0" w:sz="4" w:val="single"/>
              <w:left w:color="000000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Giá vốn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Thương Mại: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Đi tỉnh: xuất hóa đơn VAT: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Giá vốn: đích danh Nợ 632/Có 15x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Doanh thu:đích danh Nợ 136/Có 511NB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CN hạch toán: Nợ 15x/Có 336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CN nội thành: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Sản xuất: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- Phổ Đình xem lại hạch toán 336/136.</w:t>
            </w:r>
          </w:p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- Arito sẽ check lại luồng xuất hóa đơn về tỉnh giữa các chi nhánh.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000000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4900"/>
        <w:gridCol w:w="2266"/>
        <w:gridCol w:w="2600"/>
        <w:tblGridChange w:id="0">
          <w:tblGrid>
            <w:gridCol w:w="700"/>
            <w:gridCol w:w="4900"/>
            <w:gridCol w:w="2266"/>
            <w:gridCol w:w="26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D.        NEXT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Responsible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000000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000000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000000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000000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000000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000000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