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22EC" w14:textId="6ADE3D9B" w:rsidR="00306502" w:rsidRPr="00660090" w:rsidRDefault="00660090" w:rsidP="00660090">
      <w:pPr>
        <w:spacing w:line="276" w:lineRule="auto"/>
        <w:rPr>
          <w:sz w:val="36"/>
          <w:szCs w:val="36"/>
        </w:rPr>
      </w:pPr>
      <w:r w:rsidRPr="00660090">
        <w:rPr>
          <w:sz w:val="36"/>
          <w:szCs w:val="36"/>
        </w:rPr>
        <w:t xml:space="preserve">Supplementary file </w:t>
      </w:r>
      <w:r w:rsidRPr="00660090">
        <w:rPr>
          <w:sz w:val="36"/>
          <w:szCs w:val="36"/>
        </w:rPr>
        <w:t>2</w:t>
      </w:r>
      <w:r w:rsidRPr="00660090">
        <w:rPr>
          <w:sz w:val="36"/>
          <w:szCs w:val="36"/>
        </w:rPr>
        <w:t xml:space="preserve">: </w:t>
      </w:r>
      <w:r w:rsidRPr="00660090">
        <w:rPr>
          <w:sz w:val="36"/>
          <w:szCs w:val="36"/>
        </w:rPr>
        <w:t>figures and tables of additional analyses</w:t>
      </w:r>
    </w:p>
    <w:p w14:paraId="6AEE599E" w14:textId="50335DFE" w:rsidR="00660090" w:rsidRDefault="00660090"/>
    <w:p w14:paraId="5DA9CA7D" w14:textId="5F4E0EEC" w:rsidR="00660090" w:rsidRPr="00660090" w:rsidRDefault="00660090">
      <w:r>
        <w:rPr>
          <w:noProof/>
        </w:rPr>
        <w:drawing>
          <wp:inline distT="0" distB="0" distL="0" distR="0" wp14:anchorId="7E31F295" wp14:editId="43F712A8">
            <wp:extent cx="5731510" cy="2129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14:paraId="3F23B469" w14:textId="48782245" w:rsidR="00660090" w:rsidRDefault="00660090" w:rsidP="00660090">
      <w:pPr>
        <w:spacing w:after="100" w:afterAutospacing="1" w:line="276" w:lineRule="auto"/>
        <w:jc w:val="both"/>
        <w:rPr>
          <w:color w:val="000000"/>
        </w:rPr>
      </w:pPr>
      <w:r w:rsidRPr="00660090">
        <w:rPr>
          <w:b/>
          <w:bCs/>
        </w:rPr>
        <w:t>Supplementary Figure 1. Wolbachia infection fitness cost sensitivity analysis.</w:t>
      </w:r>
      <w:r w:rsidRPr="00660090">
        <w:t xml:space="preserve"> </w:t>
      </w:r>
      <w:r w:rsidRPr="00660090">
        <w:rPr>
          <w:color w:val="000000"/>
        </w:rPr>
        <w:t xml:space="preserve">The total adult mosquito population size over time during </w:t>
      </w:r>
      <w:r w:rsidRPr="00660090">
        <w:rPr>
          <w:i/>
          <w:color w:val="000000"/>
        </w:rPr>
        <w:t>Wolbachia</w:t>
      </w:r>
      <w:r w:rsidRPr="00660090">
        <w:rPr>
          <w:color w:val="000000"/>
        </w:rPr>
        <w:t xml:space="preserve"> replacement after a (A) nine and (B) fourteen release (dotted vertical lines) round </w:t>
      </w:r>
      <w:proofErr w:type="spellStart"/>
      <w:r w:rsidRPr="00660090">
        <w:rPr>
          <w:color w:val="000000"/>
        </w:rPr>
        <w:t>programme</w:t>
      </w:r>
      <w:proofErr w:type="spellEnd"/>
      <w:r w:rsidRPr="00660090">
        <w:rPr>
          <w:color w:val="000000"/>
        </w:rPr>
        <w:t xml:space="preserve"> for a range of Wolbachia fitness costs (0% – 20%, in 5% increments). Red dots indicate the date at which target coverage (&gt;= 95% </w:t>
      </w:r>
      <w:r w:rsidRPr="00660090">
        <w:rPr>
          <w:i/>
          <w:color w:val="000000"/>
        </w:rPr>
        <w:t>Wolbachia</w:t>
      </w:r>
      <w:r w:rsidRPr="00660090">
        <w:rPr>
          <w:color w:val="000000"/>
        </w:rPr>
        <w:t xml:space="preserve"> coverage) is first achieved. The blue lines show the time points from first release at 0 days, 6 months, and 1 year from left to right.</w:t>
      </w:r>
    </w:p>
    <w:p w14:paraId="43C77FD1" w14:textId="77777777" w:rsidR="00660090" w:rsidRPr="00660090" w:rsidRDefault="00660090" w:rsidP="00660090">
      <w:pPr>
        <w:spacing w:after="100" w:afterAutospacing="1" w:line="276" w:lineRule="auto"/>
        <w:jc w:val="both"/>
        <w:rPr>
          <w:color w:val="000000"/>
        </w:rPr>
      </w:pPr>
    </w:p>
    <w:p w14:paraId="57CCF2A4" w14:textId="2F1C4D79" w:rsidR="00660090" w:rsidRPr="00660090" w:rsidRDefault="00660090" w:rsidP="00660090">
      <w:pPr>
        <w:spacing w:after="100" w:afterAutospacing="1" w:line="276" w:lineRule="auto"/>
        <w:jc w:val="both"/>
      </w:pPr>
      <w:r>
        <w:rPr>
          <w:noProof/>
        </w:rPr>
        <w:drawing>
          <wp:inline distT="0" distB="0" distL="0" distR="0" wp14:anchorId="6BD4DB3E" wp14:editId="0C7D92DF">
            <wp:extent cx="5731510" cy="20066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06600"/>
                    </a:xfrm>
                    <a:prstGeom prst="rect">
                      <a:avLst/>
                    </a:prstGeom>
                  </pic:spPr>
                </pic:pic>
              </a:graphicData>
            </a:graphic>
          </wp:inline>
        </w:drawing>
      </w:r>
    </w:p>
    <w:p w14:paraId="6C8556E4" w14:textId="77777777" w:rsidR="00660090" w:rsidRPr="00660090" w:rsidRDefault="00660090" w:rsidP="00660090">
      <w:pPr>
        <w:spacing w:line="276" w:lineRule="auto"/>
        <w:jc w:val="both"/>
        <w:rPr>
          <w:color w:val="000000"/>
        </w:rPr>
      </w:pPr>
      <w:r w:rsidRPr="00660090">
        <w:rPr>
          <w:b/>
          <w:bCs/>
          <w:color w:val="000000"/>
        </w:rPr>
        <w:t>Supplementary Figure 2.</w:t>
      </w:r>
      <w:r w:rsidRPr="00660090">
        <w:rPr>
          <w:color w:val="000000"/>
        </w:rPr>
        <w:t xml:space="preserve"> </w:t>
      </w:r>
      <w:r w:rsidRPr="00660090">
        <w:rPr>
          <w:b/>
          <w:bCs/>
          <w:color w:val="000000"/>
        </w:rPr>
        <w:t>Comparing efficacy calculations for 1gSLT</w:t>
      </w:r>
      <w:r w:rsidRPr="00660090" w:rsidDel="0068092A">
        <w:rPr>
          <w:b/>
          <w:bCs/>
          <w:color w:val="000000"/>
        </w:rPr>
        <w:t xml:space="preserve"> </w:t>
      </w:r>
      <w:r w:rsidRPr="00660090">
        <w:rPr>
          <w:b/>
          <w:bCs/>
          <w:color w:val="000000"/>
        </w:rPr>
        <w:t xml:space="preserve">and Male </w:t>
      </w:r>
      <w:r w:rsidRPr="00660090">
        <w:rPr>
          <w:b/>
          <w:bCs/>
          <w:i/>
          <w:color w:val="000000"/>
        </w:rPr>
        <w:t xml:space="preserve">Wolbachia </w:t>
      </w:r>
      <w:r w:rsidRPr="00660090">
        <w:rPr>
          <w:b/>
          <w:bCs/>
          <w:iCs/>
          <w:color w:val="000000"/>
        </w:rPr>
        <w:t>release</w:t>
      </w:r>
      <w:r w:rsidRPr="00660090">
        <w:rPr>
          <w:b/>
          <w:bCs/>
          <w:color w:val="000000"/>
        </w:rPr>
        <w:t xml:space="preserve">. </w:t>
      </w:r>
      <w:r w:rsidRPr="00660090">
        <w:rPr>
          <w:color w:val="000000"/>
        </w:rPr>
        <w:t>A) 1gSLT</w:t>
      </w:r>
      <w:r w:rsidRPr="00660090" w:rsidDel="0068092A">
        <w:rPr>
          <w:color w:val="000000"/>
        </w:rPr>
        <w:t xml:space="preserve"> </w:t>
      </w:r>
      <w:r w:rsidRPr="00660090">
        <w:rPr>
          <w:color w:val="000000"/>
        </w:rPr>
        <w:t xml:space="preserve">has a literature efficacy of 45% fitted at 5 weeks </w:t>
      </w:r>
      <w:sdt>
        <w:sdtPr>
          <w:rPr>
            <w:color w:val="000000"/>
          </w:rPr>
          <w:tag w:val="MENDELEY_CITATION_v3_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"/>
          <w:id w:val="1525203587"/>
          <w:placeholder>
            <w:docPart w:val="22CBB5D054A3864B946A6A64E318A19D"/>
          </w:placeholder>
        </w:sdtPr>
        <w:sdtContent>
          <w:r w:rsidRPr="00660090">
            <w:rPr>
              <w:color w:val="000000"/>
            </w:rPr>
            <w:t>(30)</w:t>
          </w:r>
        </w:sdtContent>
      </w:sdt>
      <w:r w:rsidRPr="00660090">
        <w:rPr>
          <w:color w:val="000000"/>
        </w:rPr>
        <w:t xml:space="preserve"> but delayed effects lead to the maximum efficacy reaching 51.67%. B) Male </w:t>
      </w:r>
      <w:r w:rsidRPr="00660090">
        <w:rPr>
          <w:i/>
          <w:color w:val="000000"/>
        </w:rPr>
        <w:t>Wolbachia</w:t>
      </w:r>
      <w:r w:rsidRPr="00660090">
        <w:rPr>
          <w:iCs/>
          <w:color w:val="000000"/>
        </w:rPr>
        <w:t xml:space="preserve"> release</w:t>
      </w:r>
      <w:r w:rsidRPr="00660090">
        <w:rPr>
          <w:color w:val="000000"/>
        </w:rPr>
        <w:t xml:space="preserve"> has a literature efficacy of 60% fitted at 5 weeks </w:t>
      </w:r>
      <w:sdt>
        <w:sdtPr>
          <w:rPr>
            <w:color w:val="000000"/>
          </w:rPr>
          <w:tag w:val="MENDELEY_CITATION_v3_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"/>
          <w:id w:val="1359166939"/>
          <w:placeholder>
            <w:docPart w:val="22CBB5D054A3864B946A6A64E318A19D"/>
          </w:placeholder>
        </w:sdtPr>
        <w:sdtContent>
          <w:r w:rsidRPr="00660090">
            <w:rPr>
              <w:color w:val="000000"/>
            </w:rPr>
            <w:t>(31)</w:t>
          </w:r>
        </w:sdtContent>
      </w:sdt>
      <w:r w:rsidRPr="00660090">
        <w:rPr>
          <w:color w:val="000000"/>
        </w:rPr>
        <w:t xml:space="preserve"> but delayed effects lead the maximum efficacy reaching 63.28%.</w:t>
      </w:r>
    </w:p>
    <w:p w14:paraId="52635673" w14:textId="77777777" w:rsidR="00660090" w:rsidRPr="00660090" w:rsidRDefault="00660090" w:rsidP="00660090">
      <w:pPr>
        <w:spacing w:line="276" w:lineRule="auto"/>
        <w:jc w:val="both"/>
        <w:rPr>
          <w:color w:val="000000"/>
        </w:rPr>
      </w:pPr>
    </w:p>
    <w:p w14:paraId="47F849BA" w14:textId="33E924BC" w:rsidR="00660090" w:rsidRDefault="00660090" w:rsidP="00660090">
      <w:pPr>
        <w:spacing w:after="100" w:afterAutospacing="1" w:line="276" w:lineRule="auto"/>
        <w:jc w:val="both"/>
      </w:pPr>
    </w:p>
    <w:p w14:paraId="12331B1D" w14:textId="775128EB" w:rsidR="00660090" w:rsidRPr="00660090" w:rsidRDefault="00660090" w:rsidP="00660090">
      <w:pPr>
        <w:spacing w:after="100" w:afterAutospacing="1" w:line="276" w:lineRule="auto"/>
        <w:jc w:val="both"/>
      </w:pPr>
      <w:r>
        <w:rPr>
          <w:noProof/>
        </w:rPr>
        <w:lastRenderedPageBreak/>
        <w:drawing>
          <wp:inline distT="0" distB="0" distL="0" distR="0" wp14:anchorId="7F9BAA11" wp14:editId="0EE4BD93">
            <wp:extent cx="5358809" cy="4287166"/>
            <wp:effectExtent l="0" t="0" r="635" b="5715"/>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1168" cy="4289053"/>
                    </a:xfrm>
                    <a:prstGeom prst="rect">
                      <a:avLst/>
                    </a:prstGeom>
                  </pic:spPr>
                </pic:pic>
              </a:graphicData>
            </a:graphic>
          </wp:inline>
        </w:drawing>
      </w:r>
    </w:p>
    <w:p w14:paraId="1B313725" w14:textId="10FABB8A" w:rsidR="00660090" w:rsidRDefault="00660090" w:rsidP="00660090">
      <w:pPr>
        <w:spacing w:after="100" w:afterAutospacing="1" w:line="276" w:lineRule="auto"/>
        <w:jc w:val="both"/>
        <w:rPr>
          <w:color w:val="000000"/>
        </w:rPr>
      </w:pPr>
      <w:r w:rsidRPr="00660090">
        <w:rPr>
          <w:b/>
          <w:bCs/>
        </w:rPr>
        <w:t>Supplementary Figure 3. Adulticide recovery sensitivity analysis.</w:t>
      </w:r>
      <w:r w:rsidRPr="00660090">
        <w:t xml:space="preserve"> Adulticide (thermal fog application of </w:t>
      </w:r>
      <w:proofErr w:type="spellStart"/>
      <w:r w:rsidRPr="00660090">
        <w:t>deltacide</w:t>
      </w:r>
      <w:proofErr w:type="spellEnd"/>
      <w:r w:rsidRPr="00660090">
        <w:t xml:space="preserve">) reportedly has an efficacy of 94% with full recovery within 7 days </w:t>
      </w:r>
      <w:sdt>
        <w:sdtPr>
          <w:rPr>
            <w:color w:val="000000"/>
          </w:rPr>
          <w:tag w:val="MENDELEY_CITATION_v3_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"/>
          <w:id w:val="-1309777576"/>
          <w:placeholder>
            <w:docPart w:val="70AC5C0CEFA19D458FDB1C0230CA4D75"/>
          </w:placeholder>
        </w:sdtPr>
        <w:sdtContent>
          <w:r w:rsidRPr="00660090">
            <w:rPr>
              <w:color w:val="000000"/>
            </w:rPr>
            <w:t>(34)</w:t>
          </w:r>
        </w:sdtContent>
      </w:sdt>
      <w:r w:rsidRPr="00660090">
        <w:rPr>
          <w:color w:val="000000"/>
        </w:rPr>
        <w:t>, however, this rapid and complete recovery could not be simulated in the model population. Therefore, a coverage value was applied which allows the adulticide to retain its high efficacy and the population to recover within reasonable time; this figure shows 80% population recovery within various timeframes (1 – 5 weeks) and 80% population recovery within 3 weeks was assumed in the model.</w:t>
      </w:r>
    </w:p>
    <w:p w14:paraId="7DF963DD" w14:textId="233912A1" w:rsidR="00660090" w:rsidRDefault="00660090" w:rsidP="00660090">
      <w:pPr>
        <w:spacing w:after="100" w:afterAutospacing="1" w:line="276" w:lineRule="auto"/>
        <w:jc w:val="both"/>
        <w:rPr>
          <w:color w:val="000000"/>
        </w:rPr>
      </w:pPr>
    </w:p>
    <w:p w14:paraId="4A1D405C" w14:textId="1D2ED19E" w:rsidR="00660090" w:rsidRPr="00660090" w:rsidRDefault="00660090" w:rsidP="00660090">
      <w:pPr>
        <w:spacing w:after="100" w:afterAutospacing="1" w:line="276" w:lineRule="auto"/>
        <w:jc w:val="both"/>
        <w:rPr>
          <w:color w:val="000000"/>
        </w:rPr>
      </w:pPr>
      <w:r>
        <w:rPr>
          <w:noProof/>
        </w:rPr>
        <w:lastRenderedPageBreak/>
        <w:drawing>
          <wp:inline distT="0" distB="0" distL="0" distR="0" wp14:anchorId="522C668B" wp14:editId="0C66CA5A">
            <wp:extent cx="5372100" cy="35433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2100" cy="3543300"/>
                    </a:xfrm>
                    <a:prstGeom prst="rect">
                      <a:avLst/>
                    </a:prstGeom>
                  </pic:spPr>
                </pic:pic>
              </a:graphicData>
            </a:graphic>
          </wp:inline>
        </w:drawing>
      </w:r>
    </w:p>
    <w:p w14:paraId="5F3AF2EB" w14:textId="77777777" w:rsidR="00660090" w:rsidRPr="00660090" w:rsidRDefault="00660090" w:rsidP="00660090">
      <w:pPr>
        <w:spacing w:after="240" w:line="276" w:lineRule="auto"/>
        <w:jc w:val="both"/>
      </w:pPr>
      <w:r w:rsidRPr="00660090">
        <w:rPr>
          <w:b/>
          <w:bCs/>
        </w:rPr>
        <w:t>Supplementary Figure 4.</w:t>
      </w:r>
      <w:r w:rsidRPr="00660090">
        <w:t xml:space="preserve"> </w:t>
      </w:r>
      <w:r w:rsidRPr="00660090">
        <w:rPr>
          <w:b/>
          <w:bCs/>
        </w:rPr>
        <w:t>Seasonal precipitation and population dynamics.</w:t>
      </w:r>
      <w:r w:rsidRPr="00660090">
        <w:t xml:space="preserve"> The adult </w:t>
      </w:r>
      <w:r w:rsidRPr="00660090">
        <w:rPr>
          <w:i/>
          <w:iCs/>
        </w:rPr>
        <w:t>Aedes aegypti</w:t>
      </w:r>
      <w:r w:rsidRPr="00660090">
        <w:t xml:space="preserve"> population mirrors the precipitation dynamics with a 41-day lag from peak precipitation to maximum adult population and a 2.74-fold increase from minimum to maximum population (with </w:t>
      </w:r>
      <m:oMath>
        <m:r>
          <w:rPr>
            <w:rFonts w:ascii="Cambria Math" w:hAnsi="Cambria Math"/>
          </w:rPr>
          <m:t>s</m:t>
        </m:r>
      </m:oMath>
      <w:r w:rsidRPr="00660090">
        <w:t xml:space="preserve"> constant of 2.09 the population average becomes 458 which be comparable to non-seasonal model equilibrium of 457.5 for further analyses).</w:t>
      </w:r>
    </w:p>
    <w:p w14:paraId="738617FB" w14:textId="605FE5D1" w:rsidR="00660090" w:rsidRDefault="00660090" w:rsidP="00660090">
      <w:pPr>
        <w:spacing w:after="100" w:afterAutospacing="1" w:line="276" w:lineRule="auto"/>
        <w:jc w:val="both"/>
      </w:pPr>
    </w:p>
    <w:p w14:paraId="5A00768A" w14:textId="74BFF12D" w:rsidR="00660090" w:rsidRPr="00660090" w:rsidRDefault="00660090" w:rsidP="00660090">
      <w:pPr>
        <w:spacing w:after="100" w:afterAutospacing="1" w:line="276" w:lineRule="auto"/>
        <w:jc w:val="both"/>
      </w:pPr>
      <w:r>
        <w:rPr>
          <w:noProof/>
        </w:rPr>
        <w:drawing>
          <wp:inline distT="0" distB="0" distL="0" distR="0" wp14:anchorId="02944DA7" wp14:editId="39216E7F">
            <wp:extent cx="5731510" cy="18840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84045"/>
                    </a:xfrm>
                    <a:prstGeom prst="rect">
                      <a:avLst/>
                    </a:prstGeom>
                  </pic:spPr>
                </pic:pic>
              </a:graphicData>
            </a:graphic>
          </wp:inline>
        </w:drawing>
      </w:r>
    </w:p>
    <w:p w14:paraId="7A52E6A0" w14:textId="5F418E5A" w:rsidR="00660090" w:rsidRDefault="00660090" w:rsidP="00660090">
      <w:pPr>
        <w:spacing w:after="100" w:afterAutospacing="1" w:line="276" w:lineRule="auto"/>
        <w:jc w:val="both"/>
      </w:pPr>
      <w:r w:rsidRPr="00660090">
        <w:rPr>
          <w:b/>
          <w:bCs/>
        </w:rPr>
        <w:t>Supplementary Figure 5. Temperature sensitivity analysis.</w:t>
      </w:r>
      <w:r w:rsidRPr="00660090">
        <w:t xml:space="preserve"> (A) With the addition of temperature in the density-dependent function which determines larval development rate, the adult </w:t>
      </w:r>
      <w:r w:rsidRPr="00660090">
        <w:rPr>
          <w:i/>
          <w:iCs/>
        </w:rPr>
        <w:t>Aedes aegypti</w:t>
      </w:r>
      <w:r w:rsidRPr="00660090">
        <w:t xml:space="preserve"> population mirrors (B) precipitation dynamics with a 43-day lag from peak precipitation to maximum adult population and a 1.41-fold increase from minimum to maximum population.</w:t>
      </w:r>
    </w:p>
    <w:p w14:paraId="70FF03FC" w14:textId="77777777" w:rsidR="00660090" w:rsidRPr="00660090" w:rsidRDefault="00660090" w:rsidP="00660090">
      <w:pPr>
        <w:spacing w:after="100" w:afterAutospacing="1" w:line="276" w:lineRule="auto"/>
        <w:jc w:val="both"/>
      </w:pPr>
    </w:p>
    <w:p w14:paraId="59667E70" w14:textId="509F4B40" w:rsidR="00660090" w:rsidRPr="00660090" w:rsidRDefault="00660090" w:rsidP="00660090">
      <w:pPr>
        <w:spacing w:after="100" w:afterAutospacing="1" w:line="276" w:lineRule="auto"/>
        <w:jc w:val="both"/>
      </w:pPr>
      <w:r>
        <w:rPr>
          <w:noProof/>
        </w:rPr>
        <w:lastRenderedPageBreak/>
        <w:drawing>
          <wp:inline distT="0" distB="0" distL="0" distR="0" wp14:anchorId="0A16B616" wp14:editId="5D8C0250">
            <wp:extent cx="5731510" cy="3844290"/>
            <wp:effectExtent l="0" t="0" r="0" b="381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44290"/>
                    </a:xfrm>
                    <a:prstGeom prst="rect">
                      <a:avLst/>
                    </a:prstGeom>
                  </pic:spPr>
                </pic:pic>
              </a:graphicData>
            </a:graphic>
          </wp:inline>
        </w:drawing>
      </w:r>
    </w:p>
    <w:p w14:paraId="4C0D6155" w14:textId="77777777" w:rsidR="00660090" w:rsidRPr="00660090" w:rsidRDefault="00660090" w:rsidP="00660090">
      <w:pPr>
        <w:spacing w:after="100" w:afterAutospacing="1" w:line="276" w:lineRule="auto"/>
        <w:jc w:val="both"/>
      </w:pPr>
      <w:r w:rsidRPr="00660090">
        <w:rPr>
          <w:b/>
          <w:bCs/>
        </w:rPr>
        <w:t>Supplementary Figure 6.</w:t>
      </w:r>
      <w:r w:rsidRPr="00660090">
        <w:t xml:space="preserve"> </w:t>
      </w:r>
      <w:r w:rsidRPr="00660090">
        <w:rPr>
          <w:b/>
          <w:bCs/>
        </w:rPr>
        <w:t>Model Wolbachia coverage dynamics compared to Yogyakarta RCT.</w:t>
      </w:r>
      <w:r w:rsidRPr="00660090">
        <w:t xml:space="preserve"> The </w:t>
      </w:r>
      <w:r w:rsidRPr="00660090">
        <w:rPr>
          <w:i/>
        </w:rPr>
        <w:t>Wolbachia</w:t>
      </w:r>
      <w:r w:rsidRPr="00660090">
        <w:t xml:space="preserve"> coverage dynamics of twelve treatment areas (grey) </w:t>
      </w:r>
      <w:r w:rsidRPr="00660090">
        <w:rPr>
          <w:color w:val="000000"/>
        </w:rPr>
        <w:t xml:space="preserve">(14) </w:t>
      </w:r>
      <w:r w:rsidRPr="00660090">
        <w:t xml:space="preserve">are compared to nine (blue) and fourteen (black) releases. The dashed and sold red lines indicate 90% and 95% coverage points, respectively, while the vertical dashed lines indicate </w:t>
      </w:r>
      <w:r w:rsidRPr="00660090">
        <w:rPr>
          <w:i/>
          <w:iCs/>
        </w:rPr>
        <w:t>Wolbachia</w:t>
      </w:r>
      <w:r w:rsidRPr="00660090">
        <w:t xml:space="preserve"> releases.</w:t>
      </w:r>
    </w:p>
    <w:p w14:paraId="385BE122" w14:textId="77777777" w:rsidR="00660090" w:rsidRPr="00660090" w:rsidRDefault="00660090" w:rsidP="00660090">
      <w:pPr>
        <w:spacing w:after="100" w:afterAutospacing="1" w:line="276" w:lineRule="auto"/>
        <w:jc w:val="both"/>
      </w:pPr>
    </w:p>
    <w:p w14:paraId="37D8945E" w14:textId="77777777" w:rsidR="00660090" w:rsidRPr="00660090" w:rsidRDefault="00660090" w:rsidP="00660090">
      <w:pPr>
        <w:rPr>
          <w:b/>
          <w:bCs/>
          <w:color w:val="000000" w:themeColor="text1"/>
        </w:rPr>
      </w:pPr>
      <w:r w:rsidRPr="00660090">
        <w:rPr>
          <w:b/>
          <w:bCs/>
          <w:color w:val="000000" w:themeColor="text1"/>
        </w:rPr>
        <w:br w:type="page"/>
      </w:r>
    </w:p>
    <w:p w14:paraId="1C64327E" w14:textId="378D9A5D" w:rsidR="00660090" w:rsidRDefault="00660090" w:rsidP="00660090">
      <w:pPr>
        <w:spacing w:line="276" w:lineRule="auto"/>
        <w:jc w:val="both"/>
        <w:rPr>
          <w:color w:val="000000" w:themeColor="text1"/>
        </w:rPr>
      </w:pPr>
      <w:r w:rsidRPr="00660090">
        <w:rPr>
          <w:b/>
          <w:bCs/>
          <w:color w:val="000000" w:themeColor="text1"/>
        </w:rPr>
        <w:lastRenderedPageBreak/>
        <w:t xml:space="preserve">Supplementary Table 1. Suppression efficacy. </w:t>
      </w:r>
      <w:r w:rsidRPr="00660090">
        <w:rPr>
          <w:color w:val="000000" w:themeColor="text1"/>
        </w:rPr>
        <w:t>Description of suppression technique efficacy values and their literature sources.</w:t>
      </w:r>
    </w:p>
    <w:p w14:paraId="4E67AF09" w14:textId="77777777" w:rsidR="00660090" w:rsidRPr="00660090" w:rsidRDefault="00660090" w:rsidP="00660090">
      <w:pPr>
        <w:spacing w:line="276" w:lineRule="auto"/>
        <w:jc w:val="both"/>
        <w:rPr>
          <w:color w:val="000000" w:themeColor="text1"/>
        </w:rPr>
      </w:pPr>
    </w:p>
    <w:tbl>
      <w:tblPr>
        <w:tblStyle w:val="TableGrid"/>
        <w:tblW w:w="9351" w:type="dxa"/>
        <w:tblLook w:val="04A0" w:firstRow="1" w:lastRow="0" w:firstColumn="1" w:lastColumn="0" w:noHBand="0" w:noVBand="1"/>
      </w:tblPr>
      <w:tblGrid>
        <w:gridCol w:w="1643"/>
        <w:gridCol w:w="1272"/>
        <w:gridCol w:w="1401"/>
        <w:gridCol w:w="1827"/>
        <w:gridCol w:w="3208"/>
      </w:tblGrid>
      <w:tr w:rsidR="00660090" w:rsidRPr="00660090" w14:paraId="465AD907" w14:textId="77777777" w:rsidTr="006C7A4C">
        <w:tc>
          <w:tcPr>
            <w:tcW w:w="1544" w:type="dxa"/>
            <w:vMerge w:val="restart"/>
            <w:vAlign w:val="center"/>
          </w:tcPr>
          <w:p w14:paraId="4AF1C6F7" w14:textId="77777777" w:rsidR="00660090" w:rsidRPr="00660090" w:rsidRDefault="00660090" w:rsidP="006C7A4C">
            <w:pPr>
              <w:spacing w:line="276" w:lineRule="auto"/>
              <w:jc w:val="center"/>
              <w:rPr>
                <w:b/>
                <w:bCs/>
              </w:rPr>
            </w:pPr>
            <w:r w:rsidRPr="00660090">
              <w:rPr>
                <w:b/>
                <w:bCs/>
              </w:rPr>
              <w:t>Suppression Technique</w:t>
            </w:r>
          </w:p>
        </w:tc>
        <w:tc>
          <w:tcPr>
            <w:tcW w:w="2704" w:type="dxa"/>
            <w:gridSpan w:val="2"/>
          </w:tcPr>
          <w:p w14:paraId="386ADE9A" w14:textId="77777777" w:rsidR="00660090" w:rsidRPr="00660090" w:rsidRDefault="00660090" w:rsidP="006C7A4C">
            <w:pPr>
              <w:spacing w:line="276" w:lineRule="auto"/>
              <w:jc w:val="center"/>
              <w:rPr>
                <w:b/>
                <w:bCs/>
              </w:rPr>
            </w:pPr>
            <w:r w:rsidRPr="00660090">
              <w:rPr>
                <w:b/>
                <w:bCs/>
              </w:rPr>
              <w:t>Efficacy</w:t>
            </w:r>
          </w:p>
        </w:tc>
        <w:tc>
          <w:tcPr>
            <w:tcW w:w="1843" w:type="dxa"/>
            <w:vMerge w:val="restart"/>
            <w:vAlign w:val="center"/>
          </w:tcPr>
          <w:p w14:paraId="76EA90DC" w14:textId="77777777" w:rsidR="00660090" w:rsidRPr="00660090" w:rsidRDefault="00660090" w:rsidP="006C7A4C">
            <w:pPr>
              <w:spacing w:line="276" w:lineRule="auto"/>
              <w:jc w:val="center"/>
              <w:rPr>
                <w:b/>
                <w:bCs/>
              </w:rPr>
            </w:pPr>
            <w:r w:rsidRPr="00660090">
              <w:rPr>
                <w:b/>
                <w:bCs/>
              </w:rPr>
              <w:t>Literature Source</w:t>
            </w:r>
          </w:p>
        </w:tc>
        <w:tc>
          <w:tcPr>
            <w:tcW w:w="3260" w:type="dxa"/>
            <w:vMerge w:val="restart"/>
            <w:vAlign w:val="center"/>
          </w:tcPr>
          <w:p w14:paraId="1FC43CBD" w14:textId="77777777" w:rsidR="00660090" w:rsidRPr="00660090" w:rsidRDefault="00660090" w:rsidP="006C7A4C">
            <w:pPr>
              <w:spacing w:line="276" w:lineRule="auto"/>
              <w:jc w:val="center"/>
              <w:rPr>
                <w:b/>
                <w:bCs/>
              </w:rPr>
            </w:pPr>
            <w:r w:rsidRPr="00660090">
              <w:rPr>
                <w:b/>
                <w:bCs/>
              </w:rPr>
              <w:t>Notes</w:t>
            </w:r>
          </w:p>
        </w:tc>
      </w:tr>
      <w:tr w:rsidR="00660090" w:rsidRPr="00660090" w14:paraId="21120BE0" w14:textId="77777777" w:rsidTr="006C7A4C">
        <w:tc>
          <w:tcPr>
            <w:tcW w:w="1544" w:type="dxa"/>
            <w:vMerge/>
          </w:tcPr>
          <w:p w14:paraId="2644CE7E" w14:textId="77777777" w:rsidR="00660090" w:rsidRPr="00660090" w:rsidRDefault="00660090" w:rsidP="006C7A4C">
            <w:pPr>
              <w:spacing w:line="276" w:lineRule="auto"/>
              <w:jc w:val="center"/>
            </w:pPr>
          </w:p>
        </w:tc>
        <w:tc>
          <w:tcPr>
            <w:tcW w:w="1286" w:type="dxa"/>
          </w:tcPr>
          <w:p w14:paraId="38B26F4C" w14:textId="77777777" w:rsidR="00660090" w:rsidRPr="00660090" w:rsidRDefault="00660090" w:rsidP="006C7A4C">
            <w:pPr>
              <w:spacing w:line="276" w:lineRule="auto"/>
              <w:jc w:val="center"/>
            </w:pPr>
            <w:r w:rsidRPr="00660090">
              <w:t>At 5 weeks</w:t>
            </w:r>
          </w:p>
        </w:tc>
        <w:tc>
          <w:tcPr>
            <w:tcW w:w="1418" w:type="dxa"/>
          </w:tcPr>
          <w:p w14:paraId="306480F1" w14:textId="77777777" w:rsidR="00660090" w:rsidRPr="00660090" w:rsidRDefault="00660090" w:rsidP="006C7A4C">
            <w:pPr>
              <w:spacing w:line="276" w:lineRule="auto"/>
              <w:jc w:val="center"/>
            </w:pPr>
            <w:r w:rsidRPr="00660090">
              <w:t>At 10 weeks</w:t>
            </w:r>
          </w:p>
        </w:tc>
        <w:tc>
          <w:tcPr>
            <w:tcW w:w="1843" w:type="dxa"/>
            <w:vMerge/>
          </w:tcPr>
          <w:p w14:paraId="1AB35839" w14:textId="77777777" w:rsidR="00660090" w:rsidRPr="00660090" w:rsidRDefault="00660090" w:rsidP="006C7A4C">
            <w:pPr>
              <w:spacing w:line="276" w:lineRule="auto"/>
              <w:jc w:val="both"/>
            </w:pPr>
          </w:p>
        </w:tc>
        <w:tc>
          <w:tcPr>
            <w:tcW w:w="3260" w:type="dxa"/>
            <w:vMerge/>
          </w:tcPr>
          <w:p w14:paraId="6D4C3ECC" w14:textId="77777777" w:rsidR="00660090" w:rsidRPr="00660090" w:rsidRDefault="00660090" w:rsidP="006C7A4C">
            <w:pPr>
              <w:spacing w:line="276" w:lineRule="auto"/>
              <w:jc w:val="both"/>
            </w:pPr>
          </w:p>
        </w:tc>
      </w:tr>
      <w:tr w:rsidR="00660090" w:rsidRPr="00660090" w14:paraId="74DA1152" w14:textId="77777777" w:rsidTr="006C7A4C">
        <w:tc>
          <w:tcPr>
            <w:tcW w:w="1544" w:type="dxa"/>
            <w:vAlign w:val="center"/>
          </w:tcPr>
          <w:p w14:paraId="4C5E5C47" w14:textId="77777777" w:rsidR="00660090" w:rsidRPr="00660090" w:rsidRDefault="00660090" w:rsidP="006C7A4C">
            <w:pPr>
              <w:spacing w:line="276" w:lineRule="auto"/>
              <w:jc w:val="center"/>
            </w:pPr>
            <w:r w:rsidRPr="00660090">
              <w:rPr>
                <w:color w:val="000000"/>
              </w:rPr>
              <w:t>1gSLT</w:t>
            </w:r>
          </w:p>
        </w:tc>
        <w:tc>
          <w:tcPr>
            <w:tcW w:w="1286" w:type="dxa"/>
            <w:vAlign w:val="center"/>
          </w:tcPr>
          <w:p w14:paraId="5B06E9B5" w14:textId="77777777" w:rsidR="00660090" w:rsidRPr="00660090" w:rsidRDefault="00660090" w:rsidP="006C7A4C">
            <w:pPr>
              <w:spacing w:line="276" w:lineRule="auto"/>
              <w:jc w:val="center"/>
            </w:pPr>
            <w:r w:rsidRPr="00660090">
              <w:t>45%</w:t>
            </w:r>
          </w:p>
        </w:tc>
        <w:tc>
          <w:tcPr>
            <w:tcW w:w="1418" w:type="dxa"/>
            <w:vAlign w:val="center"/>
          </w:tcPr>
          <w:p w14:paraId="33409D65" w14:textId="77777777" w:rsidR="00660090" w:rsidRPr="00660090" w:rsidRDefault="00660090" w:rsidP="006C7A4C">
            <w:pPr>
              <w:spacing w:line="276" w:lineRule="auto"/>
              <w:jc w:val="center"/>
            </w:pPr>
            <w:r w:rsidRPr="00660090">
              <w:t>70%</w:t>
            </w:r>
          </w:p>
        </w:tc>
        <w:tc>
          <w:tcPr>
            <w:tcW w:w="1843" w:type="dxa"/>
            <w:vAlign w:val="center"/>
          </w:tcPr>
          <w:p w14:paraId="50E300F6" w14:textId="77777777" w:rsidR="00660090" w:rsidRPr="00660090" w:rsidRDefault="00660090" w:rsidP="006C7A4C">
            <w:pPr>
              <w:spacing w:line="276" w:lineRule="auto"/>
              <w:jc w:val="center"/>
            </w:pPr>
            <w:r w:rsidRPr="00660090">
              <w:rPr>
                <w:color w:val="000000"/>
              </w:rPr>
              <w:t xml:space="preserve">Carvalho </w:t>
            </w:r>
            <w:r w:rsidRPr="00660090">
              <w:rPr>
                <w:i/>
                <w:color w:val="000000"/>
              </w:rPr>
              <w:t>et al.</w:t>
            </w:r>
            <w:r w:rsidRPr="00660090">
              <w:rPr>
                <w:color w:val="000000"/>
              </w:rPr>
              <w:t xml:space="preserve"> (2015) </w:t>
            </w:r>
            <w:sdt>
              <w:sdtPr>
                <w:rPr>
                  <w:color w:val="000000"/>
                </w:rPr>
                <w:tag w:val="MENDELEY_CITATION_v3_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"/>
                <w:id w:val="1636215572"/>
                <w:placeholder>
                  <w:docPart w:val="48623967D352654FA1967583B8B746EB"/>
                </w:placeholder>
              </w:sdtPr>
              <w:sdtContent>
                <w:r w:rsidRPr="00660090">
                  <w:rPr>
                    <w:color w:val="000000"/>
                  </w:rPr>
                  <w:t>(30)</w:t>
                </w:r>
              </w:sdtContent>
            </w:sdt>
          </w:p>
        </w:tc>
        <w:tc>
          <w:tcPr>
            <w:tcW w:w="3260" w:type="dxa"/>
            <w:vAlign w:val="center"/>
          </w:tcPr>
          <w:p w14:paraId="2FA8ABF8" w14:textId="77777777" w:rsidR="00660090" w:rsidRPr="00660090" w:rsidRDefault="00660090" w:rsidP="006C7A4C">
            <w:pPr>
              <w:spacing w:line="276" w:lineRule="auto"/>
              <w:jc w:val="center"/>
            </w:pPr>
            <w:r w:rsidRPr="00660090">
              <w:rPr>
                <w:color w:val="000000"/>
              </w:rPr>
              <w:t>1gSLT</w:t>
            </w:r>
            <w:r w:rsidRPr="00660090">
              <w:t xml:space="preserve"> males released from slowly moving vehicle, total 5 months intervention, population measured in release area before and after. Extracted from Figure 2, panel D, from the 5- and 10-week timepoints of release in area A only.</w:t>
            </w:r>
          </w:p>
        </w:tc>
      </w:tr>
      <w:tr w:rsidR="00660090" w:rsidRPr="00660090" w14:paraId="798E7BDC" w14:textId="77777777" w:rsidTr="006C7A4C">
        <w:tc>
          <w:tcPr>
            <w:tcW w:w="1544" w:type="dxa"/>
            <w:vAlign w:val="center"/>
          </w:tcPr>
          <w:p w14:paraId="6CD77AE3" w14:textId="77777777" w:rsidR="00660090" w:rsidRPr="00660090" w:rsidRDefault="00660090" w:rsidP="006C7A4C">
            <w:pPr>
              <w:spacing w:line="276" w:lineRule="auto"/>
              <w:jc w:val="center"/>
            </w:pPr>
            <w:r w:rsidRPr="00660090">
              <w:t>SIT*</w:t>
            </w:r>
          </w:p>
        </w:tc>
        <w:tc>
          <w:tcPr>
            <w:tcW w:w="1286" w:type="dxa"/>
            <w:vAlign w:val="center"/>
          </w:tcPr>
          <w:p w14:paraId="2192394C" w14:textId="77777777" w:rsidR="00660090" w:rsidRPr="00660090" w:rsidRDefault="00660090" w:rsidP="006C7A4C">
            <w:pPr>
              <w:spacing w:line="276" w:lineRule="auto"/>
              <w:jc w:val="center"/>
            </w:pPr>
            <w:r w:rsidRPr="00660090">
              <w:t>–</w:t>
            </w:r>
          </w:p>
        </w:tc>
        <w:tc>
          <w:tcPr>
            <w:tcW w:w="1418" w:type="dxa"/>
            <w:vAlign w:val="center"/>
          </w:tcPr>
          <w:p w14:paraId="01ACE291" w14:textId="77777777" w:rsidR="00660090" w:rsidRPr="00660090" w:rsidRDefault="00660090" w:rsidP="006C7A4C">
            <w:pPr>
              <w:spacing w:line="276" w:lineRule="auto"/>
              <w:jc w:val="center"/>
            </w:pPr>
            <w:r w:rsidRPr="00660090">
              <w:t>–</w:t>
            </w:r>
          </w:p>
        </w:tc>
        <w:tc>
          <w:tcPr>
            <w:tcW w:w="1843" w:type="dxa"/>
            <w:vAlign w:val="center"/>
          </w:tcPr>
          <w:p w14:paraId="607C92DD" w14:textId="77777777" w:rsidR="00660090" w:rsidRPr="00660090" w:rsidRDefault="00660090" w:rsidP="006C7A4C">
            <w:pPr>
              <w:spacing w:line="276" w:lineRule="auto"/>
              <w:jc w:val="center"/>
            </w:pPr>
            <w:r w:rsidRPr="00660090">
              <w:t>–</w:t>
            </w:r>
          </w:p>
        </w:tc>
        <w:tc>
          <w:tcPr>
            <w:tcW w:w="3260" w:type="dxa"/>
            <w:vAlign w:val="center"/>
          </w:tcPr>
          <w:p w14:paraId="261B1F5A" w14:textId="77777777" w:rsidR="00660090" w:rsidRPr="00660090" w:rsidRDefault="00660090" w:rsidP="006C7A4C">
            <w:pPr>
              <w:spacing w:line="276" w:lineRule="auto"/>
              <w:jc w:val="center"/>
            </w:pPr>
            <w:r w:rsidRPr="00660090">
              <w:t>–</w:t>
            </w:r>
          </w:p>
        </w:tc>
      </w:tr>
      <w:tr w:rsidR="00660090" w:rsidRPr="00660090" w14:paraId="00D7A813" w14:textId="77777777" w:rsidTr="006C7A4C">
        <w:tc>
          <w:tcPr>
            <w:tcW w:w="1544" w:type="dxa"/>
            <w:vAlign w:val="center"/>
          </w:tcPr>
          <w:p w14:paraId="6A32A1A7" w14:textId="77777777" w:rsidR="00660090" w:rsidRPr="00660090" w:rsidRDefault="00660090" w:rsidP="006C7A4C">
            <w:pPr>
              <w:spacing w:line="276" w:lineRule="auto"/>
              <w:jc w:val="center"/>
              <w:rPr>
                <w:iCs/>
              </w:rPr>
            </w:pPr>
            <w:r w:rsidRPr="00660090">
              <w:t xml:space="preserve">Male </w:t>
            </w:r>
            <w:r w:rsidRPr="00660090">
              <w:rPr>
                <w:i/>
                <w:color w:val="000000"/>
              </w:rPr>
              <w:t xml:space="preserve">Wolbachia </w:t>
            </w:r>
            <w:r w:rsidRPr="00660090">
              <w:rPr>
                <w:iCs/>
                <w:color w:val="000000"/>
              </w:rPr>
              <w:t>release</w:t>
            </w:r>
          </w:p>
        </w:tc>
        <w:tc>
          <w:tcPr>
            <w:tcW w:w="1286" w:type="dxa"/>
            <w:vAlign w:val="center"/>
          </w:tcPr>
          <w:p w14:paraId="337071E3" w14:textId="77777777" w:rsidR="00660090" w:rsidRPr="00660090" w:rsidRDefault="00660090" w:rsidP="006C7A4C">
            <w:pPr>
              <w:spacing w:line="276" w:lineRule="auto"/>
              <w:jc w:val="center"/>
            </w:pPr>
            <w:r w:rsidRPr="00660090">
              <w:t>60%</w:t>
            </w:r>
          </w:p>
        </w:tc>
        <w:tc>
          <w:tcPr>
            <w:tcW w:w="1418" w:type="dxa"/>
            <w:vAlign w:val="center"/>
          </w:tcPr>
          <w:p w14:paraId="7BCDF2B8" w14:textId="77777777" w:rsidR="00660090" w:rsidRPr="00660090" w:rsidRDefault="00660090" w:rsidP="006C7A4C">
            <w:pPr>
              <w:spacing w:line="276" w:lineRule="auto"/>
              <w:jc w:val="center"/>
            </w:pPr>
            <w:r w:rsidRPr="00660090">
              <w:t>95%</w:t>
            </w:r>
          </w:p>
        </w:tc>
        <w:tc>
          <w:tcPr>
            <w:tcW w:w="1843" w:type="dxa"/>
            <w:vAlign w:val="center"/>
          </w:tcPr>
          <w:p w14:paraId="26E57435" w14:textId="77777777" w:rsidR="00660090" w:rsidRPr="00660090" w:rsidRDefault="00660090" w:rsidP="006C7A4C">
            <w:pPr>
              <w:spacing w:line="276" w:lineRule="auto"/>
              <w:jc w:val="center"/>
            </w:pPr>
            <w:r w:rsidRPr="00660090">
              <w:rPr>
                <w:color w:val="000000"/>
              </w:rPr>
              <w:t xml:space="preserve">Ching (2021) </w:t>
            </w:r>
            <w:sdt>
              <w:sdtPr>
                <w:rPr>
                  <w:color w:val="000000"/>
                </w:rPr>
                <w:tag w:val="MENDELEY_CITATION_v3_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"/>
                <w:id w:val="1369720542"/>
                <w:placeholder>
                  <w:docPart w:val="48623967D352654FA1967583B8B746EB"/>
                </w:placeholder>
              </w:sdtPr>
              <w:sdtContent>
                <w:r w:rsidRPr="00660090">
                  <w:rPr>
                    <w:color w:val="000000"/>
                  </w:rPr>
                  <w:t>(31)</w:t>
                </w:r>
              </w:sdtContent>
            </w:sdt>
          </w:p>
        </w:tc>
        <w:tc>
          <w:tcPr>
            <w:tcW w:w="3260" w:type="dxa"/>
            <w:vAlign w:val="center"/>
          </w:tcPr>
          <w:p w14:paraId="4BA7D65E" w14:textId="77777777" w:rsidR="00660090" w:rsidRPr="00660090" w:rsidRDefault="00660090" w:rsidP="006C7A4C">
            <w:pPr>
              <w:spacing w:line="276" w:lineRule="auto"/>
              <w:jc w:val="center"/>
            </w:pPr>
            <w:r w:rsidRPr="00660090">
              <w:t xml:space="preserve">Male </w:t>
            </w:r>
            <w:r w:rsidRPr="00660090">
              <w:rPr>
                <w:i/>
                <w:iCs/>
              </w:rPr>
              <w:t>Wolbachia</w:t>
            </w:r>
            <w:r w:rsidRPr="00660090">
              <w:t xml:space="preserve"> released weekly on ground floor of hi-rise blocks, total 17½ months intervention, population measured in release area before and after. Extracted from Figure 2, panel G, for 5-week timepoint and long-term efficacy.</w:t>
            </w:r>
          </w:p>
        </w:tc>
      </w:tr>
      <w:tr w:rsidR="00660090" w:rsidRPr="00660090" w14:paraId="0693C1A8" w14:textId="77777777" w:rsidTr="006C7A4C">
        <w:tc>
          <w:tcPr>
            <w:tcW w:w="1544" w:type="dxa"/>
            <w:vAlign w:val="center"/>
          </w:tcPr>
          <w:p w14:paraId="6C577ECC" w14:textId="77777777" w:rsidR="00660090" w:rsidRPr="00660090" w:rsidRDefault="00660090" w:rsidP="006C7A4C">
            <w:pPr>
              <w:spacing w:line="276" w:lineRule="auto"/>
              <w:jc w:val="center"/>
            </w:pPr>
            <w:r w:rsidRPr="00660090">
              <w:t>Environmental Management</w:t>
            </w:r>
          </w:p>
        </w:tc>
        <w:tc>
          <w:tcPr>
            <w:tcW w:w="2704" w:type="dxa"/>
            <w:gridSpan w:val="2"/>
            <w:vAlign w:val="center"/>
          </w:tcPr>
          <w:p w14:paraId="73A84428" w14:textId="77777777" w:rsidR="00660090" w:rsidRPr="00660090" w:rsidRDefault="00660090" w:rsidP="006C7A4C">
            <w:pPr>
              <w:spacing w:line="276" w:lineRule="auto"/>
              <w:jc w:val="center"/>
            </w:pPr>
            <w:r w:rsidRPr="00660090">
              <w:t>47.4% flat rate</w:t>
            </w:r>
          </w:p>
        </w:tc>
        <w:tc>
          <w:tcPr>
            <w:tcW w:w="1843" w:type="dxa"/>
            <w:vAlign w:val="center"/>
          </w:tcPr>
          <w:p w14:paraId="194B9511" w14:textId="77777777" w:rsidR="00660090" w:rsidRPr="00660090" w:rsidRDefault="00660090" w:rsidP="006C7A4C">
            <w:pPr>
              <w:spacing w:line="276" w:lineRule="auto"/>
              <w:jc w:val="center"/>
            </w:pPr>
            <w:r w:rsidRPr="00660090">
              <w:rPr>
                <w:color w:val="000000"/>
              </w:rPr>
              <w:t xml:space="preserve">Andersson </w:t>
            </w:r>
            <w:r w:rsidRPr="00660090">
              <w:rPr>
                <w:i/>
                <w:color w:val="000000"/>
              </w:rPr>
              <w:t>et al.</w:t>
            </w:r>
            <w:r w:rsidRPr="00660090">
              <w:rPr>
                <w:color w:val="000000"/>
              </w:rPr>
              <w:t xml:space="preserve"> (2015) </w:t>
            </w:r>
            <w:sdt>
              <w:sdtPr>
                <w:rPr>
                  <w:color w:val="000000"/>
                </w:rPr>
                <w:tag w:val="MENDELEY_CITATION_v3_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"/>
                <w:id w:val="1570615774"/>
                <w:placeholder>
                  <w:docPart w:val="48623967D352654FA1967583B8B746EB"/>
                </w:placeholder>
              </w:sdtPr>
              <w:sdtContent>
                <w:r w:rsidRPr="00660090">
                  <w:rPr>
                    <w:color w:val="000000"/>
                  </w:rPr>
                  <w:t>(32)</w:t>
                </w:r>
              </w:sdtContent>
            </w:sdt>
          </w:p>
        </w:tc>
        <w:tc>
          <w:tcPr>
            <w:tcW w:w="3260" w:type="dxa"/>
            <w:vAlign w:val="center"/>
          </w:tcPr>
          <w:p w14:paraId="03A25B43" w14:textId="77777777" w:rsidR="00660090" w:rsidRPr="00660090" w:rsidRDefault="00660090" w:rsidP="006C7A4C">
            <w:pPr>
              <w:spacing w:line="276" w:lineRule="auto"/>
              <w:jc w:val="center"/>
            </w:pPr>
            <w:r w:rsidRPr="00660090">
              <w:t>Community education on dengue transmission cycle promoted reducing larval habitat, total 16 months intervention, pupae population measured in control vs. intervention villages. Extracted from Table 3, the effect of intervention on the pupae per person index relative to control.</w:t>
            </w:r>
          </w:p>
        </w:tc>
      </w:tr>
      <w:tr w:rsidR="00660090" w:rsidRPr="00660090" w14:paraId="22231D6F" w14:textId="77777777" w:rsidTr="006C7A4C">
        <w:tc>
          <w:tcPr>
            <w:tcW w:w="1544" w:type="dxa"/>
            <w:vAlign w:val="center"/>
          </w:tcPr>
          <w:p w14:paraId="6D78F2DD" w14:textId="77777777" w:rsidR="00660090" w:rsidRPr="00660090" w:rsidRDefault="00660090" w:rsidP="006C7A4C">
            <w:pPr>
              <w:spacing w:line="276" w:lineRule="auto"/>
              <w:jc w:val="center"/>
            </w:pPr>
            <w:r w:rsidRPr="00660090">
              <w:t>Larvicides</w:t>
            </w:r>
          </w:p>
        </w:tc>
        <w:tc>
          <w:tcPr>
            <w:tcW w:w="2704" w:type="dxa"/>
            <w:gridSpan w:val="2"/>
            <w:vAlign w:val="center"/>
          </w:tcPr>
          <w:p w14:paraId="540A0843" w14:textId="77777777" w:rsidR="00660090" w:rsidRPr="00660090" w:rsidRDefault="00660090" w:rsidP="006C7A4C">
            <w:pPr>
              <w:spacing w:line="276" w:lineRule="auto"/>
              <w:jc w:val="center"/>
            </w:pPr>
            <w:r w:rsidRPr="00660090">
              <w:t>44% flat rate</w:t>
            </w:r>
          </w:p>
        </w:tc>
        <w:tc>
          <w:tcPr>
            <w:tcW w:w="1843" w:type="dxa"/>
            <w:vAlign w:val="center"/>
          </w:tcPr>
          <w:p w14:paraId="1FEBD579" w14:textId="77777777" w:rsidR="00660090" w:rsidRPr="00660090" w:rsidRDefault="00660090" w:rsidP="006C7A4C">
            <w:pPr>
              <w:spacing w:line="276" w:lineRule="auto"/>
              <w:jc w:val="center"/>
            </w:pPr>
            <w:proofErr w:type="spellStart"/>
            <w:r w:rsidRPr="00660090">
              <w:rPr>
                <w:color w:val="000000"/>
              </w:rPr>
              <w:t>Hustedt</w:t>
            </w:r>
            <w:proofErr w:type="spellEnd"/>
            <w:r w:rsidRPr="00660090">
              <w:rPr>
                <w:color w:val="000000"/>
              </w:rPr>
              <w:t xml:space="preserve"> </w:t>
            </w:r>
            <w:r w:rsidRPr="00660090">
              <w:rPr>
                <w:i/>
                <w:color w:val="000000"/>
              </w:rPr>
              <w:t>et al.</w:t>
            </w:r>
            <w:r w:rsidRPr="00660090">
              <w:rPr>
                <w:color w:val="000000"/>
              </w:rPr>
              <w:t xml:space="preserve"> (2021) </w:t>
            </w:r>
            <w:sdt>
              <w:sdtPr>
                <w:rPr>
                  <w:color w:val="000000"/>
                </w:rPr>
                <w:tag w:val="MENDELEY_CITATION_v3_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"/>
                <w:id w:val="635846689"/>
                <w:placeholder>
                  <w:docPart w:val="48623967D352654FA1967583B8B746EB"/>
                </w:placeholder>
              </w:sdtPr>
              <w:sdtContent>
                <w:r w:rsidRPr="00660090">
                  <w:rPr>
                    <w:color w:val="000000"/>
                  </w:rPr>
                  <w:t>(33)</w:t>
                </w:r>
              </w:sdtContent>
            </w:sdt>
          </w:p>
        </w:tc>
        <w:tc>
          <w:tcPr>
            <w:tcW w:w="3260" w:type="dxa"/>
            <w:vAlign w:val="center"/>
          </w:tcPr>
          <w:p w14:paraId="35694259" w14:textId="77777777" w:rsidR="00660090" w:rsidRPr="00660090" w:rsidRDefault="00660090" w:rsidP="006C7A4C">
            <w:pPr>
              <w:spacing w:line="276" w:lineRule="auto"/>
              <w:jc w:val="center"/>
            </w:pPr>
            <w:r w:rsidRPr="00660090">
              <w:t xml:space="preserve">Use of guppies in household water containers, total 12 months intervention, pupae population measured in control vs. intervention household clusters. Extracted from Table 4, abundance ratio </w:t>
            </w:r>
            <w:r w:rsidRPr="00660090">
              <w:lastRenderedPageBreak/>
              <w:t xml:space="preserve">of immature </w:t>
            </w:r>
            <w:r w:rsidRPr="00660090">
              <w:rPr>
                <w:i/>
                <w:iCs/>
              </w:rPr>
              <w:t>Aedes</w:t>
            </w:r>
            <w:r w:rsidRPr="00660090">
              <w:t xml:space="preserve"> index after treatment with guppies.</w:t>
            </w:r>
          </w:p>
        </w:tc>
      </w:tr>
      <w:tr w:rsidR="00660090" w:rsidRPr="00660090" w14:paraId="0CE1E1A6" w14:textId="77777777" w:rsidTr="006C7A4C">
        <w:tc>
          <w:tcPr>
            <w:tcW w:w="1544" w:type="dxa"/>
            <w:vAlign w:val="center"/>
          </w:tcPr>
          <w:p w14:paraId="382D01A4" w14:textId="77777777" w:rsidR="00660090" w:rsidRPr="00660090" w:rsidRDefault="00660090" w:rsidP="006C7A4C">
            <w:pPr>
              <w:spacing w:line="276" w:lineRule="auto"/>
              <w:jc w:val="center"/>
            </w:pPr>
            <w:r w:rsidRPr="00660090">
              <w:lastRenderedPageBreak/>
              <w:t>Adulticides</w:t>
            </w:r>
          </w:p>
        </w:tc>
        <w:tc>
          <w:tcPr>
            <w:tcW w:w="2704" w:type="dxa"/>
            <w:gridSpan w:val="2"/>
            <w:vAlign w:val="center"/>
          </w:tcPr>
          <w:p w14:paraId="31A4D402" w14:textId="77777777" w:rsidR="00660090" w:rsidRPr="00660090" w:rsidRDefault="00660090" w:rsidP="006C7A4C">
            <w:pPr>
              <w:spacing w:line="276" w:lineRule="auto"/>
              <w:jc w:val="center"/>
            </w:pPr>
            <w:r w:rsidRPr="00660090">
              <w:t>94% weekly</w:t>
            </w:r>
          </w:p>
        </w:tc>
        <w:tc>
          <w:tcPr>
            <w:tcW w:w="1843" w:type="dxa"/>
            <w:vAlign w:val="center"/>
          </w:tcPr>
          <w:p w14:paraId="1B662BFE" w14:textId="77777777" w:rsidR="00660090" w:rsidRPr="00660090" w:rsidRDefault="00660090" w:rsidP="006C7A4C">
            <w:pPr>
              <w:spacing w:line="276" w:lineRule="auto"/>
              <w:jc w:val="center"/>
            </w:pPr>
            <w:r w:rsidRPr="00660090">
              <w:rPr>
                <w:color w:val="000000"/>
              </w:rPr>
              <w:t xml:space="preserve">Mani </w:t>
            </w:r>
            <w:r w:rsidRPr="00660090">
              <w:rPr>
                <w:i/>
                <w:color w:val="000000"/>
              </w:rPr>
              <w:t>et al.</w:t>
            </w:r>
            <w:r w:rsidRPr="00660090">
              <w:rPr>
                <w:color w:val="000000"/>
              </w:rPr>
              <w:t xml:space="preserve"> (2005) </w:t>
            </w:r>
            <w:sdt>
              <w:sdtPr>
                <w:rPr>
                  <w:color w:val="000000"/>
                </w:rPr>
                <w:tag w:val="MENDELEY_CITATION_v3_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"/>
                <w:id w:val="1411349568"/>
                <w:placeholder>
                  <w:docPart w:val="48623967D352654FA1967583B8B746EB"/>
                </w:placeholder>
              </w:sdtPr>
              <w:sdtContent>
                <w:r w:rsidRPr="00660090">
                  <w:rPr>
                    <w:color w:val="000000"/>
                  </w:rPr>
                  <w:t>(34)</w:t>
                </w:r>
              </w:sdtContent>
            </w:sdt>
          </w:p>
        </w:tc>
        <w:tc>
          <w:tcPr>
            <w:tcW w:w="3260" w:type="dxa"/>
            <w:vAlign w:val="center"/>
          </w:tcPr>
          <w:p w14:paraId="39B26BE4" w14:textId="77777777" w:rsidR="00660090" w:rsidRPr="00660090" w:rsidRDefault="00660090" w:rsidP="006C7A4C">
            <w:pPr>
              <w:spacing w:line="276" w:lineRule="auto"/>
              <w:jc w:val="center"/>
            </w:pPr>
            <w:proofErr w:type="spellStart"/>
            <w:r w:rsidRPr="00660090">
              <w:t>Peridomestic</w:t>
            </w:r>
            <w:proofErr w:type="spellEnd"/>
            <w:r w:rsidRPr="00660090">
              <w:t xml:space="preserve"> fogging, applied once, mosquito resting density measured for the following 14 days. Extracted from Table 3, reduction in </w:t>
            </w:r>
            <w:r w:rsidRPr="00660090">
              <w:rPr>
                <w:i/>
                <w:iCs/>
              </w:rPr>
              <w:t>Aedes aegypti</w:t>
            </w:r>
            <w:r w:rsidRPr="00660090">
              <w:t xml:space="preserve"> resting density after treatment with </w:t>
            </w:r>
            <w:proofErr w:type="spellStart"/>
            <w:r w:rsidRPr="00660090">
              <w:t>peridomestic</w:t>
            </w:r>
            <w:proofErr w:type="spellEnd"/>
            <w:r w:rsidRPr="00660090">
              <w:t xml:space="preserve"> fogging.</w:t>
            </w:r>
          </w:p>
        </w:tc>
      </w:tr>
    </w:tbl>
    <w:p w14:paraId="509A4C49" w14:textId="77777777" w:rsidR="00660090" w:rsidRPr="00660090" w:rsidRDefault="00660090" w:rsidP="00660090">
      <w:pPr>
        <w:spacing w:line="276" w:lineRule="auto"/>
      </w:pPr>
      <w:r w:rsidRPr="00660090">
        <w:t>* There are currently no published trials for suppression using SIT</w:t>
      </w:r>
    </w:p>
    <w:p w14:paraId="4A6D6216" w14:textId="77777777" w:rsidR="00660090" w:rsidRPr="00660090" w:rsidRDefault="00660090" w:rsidP="00660090">
      <w:pPr>
        <w:spacing w:after="100" w:afterAutospacing="1" w:line="276" w:lineRule="auto"/>
        <w:jc w:val="both"/>
      </w:pPr>
    </w:p>
    <w:p w14:paraId="6158D077" w14:textId="77777777" w:rsidR="00660090" w:rsidRPr="00660090" w:rsidRDefault="00660090" w:rsidP="00660090">
      <w:pPr>
        <w:spacing w:after="100" w:afterAutospacing="1" w:line="276" w:lineRule="auto"/>
        <w:jc w:val="both"/>
      </w:pPr>
    </w:p>
    <w:p w14:paraId="27424358" w14:textId="77777777" w:rsidR="00660090" w:rsidRPr="00660090" w:rsidRDefault="00660090" w:rsidP="00660090">
      <w:pPr>
        <w:spacing w:after="100" w:afterAutospacing="1" w:line="276" w:lineRule="auto"/>
        <w:jc w:val="both"/>
        <w:sectPr w:rsidR="00660090" w:rsidRPr="00660090">
          <w:pgSz w:w="11906" w:h="16838"/>
          <w:pgMar w:top="1440" w:right="1440" w:bottom="1440" w:left="1440" w:header="708" w:footer="708" w:gutter="0"/>
          <w:cols w:space="708"/>
          <w:docGrid w:linePitch="360"/>
        </w:sectPr>
      </w:pPr>
    </w:p>
    <w:tbl>
      <w:tblPr>
        <w:tblStyle w:val="TableGrid"/>
        <w:tblpPr w:leftFromText="180" w:rightFromText="180" w:vertAnchor="text" w:horzAnchor="margin" w:tblpY="1134"/>
        <w:tblOverlap w:val="never"/>
        <w:tblW w:w="14601" w:type="dxa"/>
        <w:tblLayout w:type="fixed"/>
        <w:tblLook w:val="04A0" w:firstRow="1" w:lastRow="0" w:firstColumn="1" w:lastColumn="0" w:noHBand="0" w:noVBand="1"/>
      </w:tblPr>
      <w:tblGrid>
        <w:gridCol w:w="567"/>
        <w:gridCol w:w="284"/>
        <w:gridCol w:w="2977"/>
        <w:gridCol w:w="1275"/>
        <w:gridCol w:w="1418"/>
        <w:gridCol w:w="1276"/>
        <w:gridCol w:w="1275"/>
        <w:gridCol w:w="2127"/>
        <w:gridCol w:w="1984"/>
        <w:gridCol w:w="1418"/>
      </w:tblGrid>
      <w:tr w:rsidR="00660090" w:rsidRPr="00660090" w14:paraId="588299CE" w14:textId="77777777" w:rsidTr="006C7A4C">
        <w:trPr>
          <w:trHeight w:val="416"/>
        </w:trPr>
        <w:tc>
          <w:tcPr>
            <w:tcW w:w="567" w:type="dxa"/>
            <w:tcBorders>
              <w:top w:val="nil"/>
              <w:left w:val="nil"/>
              <w:bottom w:val="nil"/>
              <w:right w:val="nil"/>
            </w:tcBorders>
          </w:tcPr>
          <w:p w14:paraId="341E3FD7" w14:textId="77777777" w:rsidR="00660090" w:rsidRPr="00660090" w:rsidRDefault="00660090" w:rsidP="006C7A4C">
            <w:pPr>
              <w:spacing w:after="100" w:afterAutospacing="1" w:line="276" w:lineRule="auto"/>
              <w:jc w:val="both"/>
            </w:pPr>
          </w:p>
        </w:tc>
        <w:tc>
          <w:tcPr>
            <w:tcW w:w="284" w:type="dxa"/>
            <w:tcBorders>
              <w:top w:val="nil"/>
              <w:left w:val="nil"/>
              <w:bottom w:val="nil"/>
              <w:right w:val="nil"/>
            </w:tcBorders>
          </w:tcPr>
          <w:p w14:paraId="0783EFC7" w14:textId="77777777" w:rsidR="00660090" w:rsidRPr="00660090" w:rsidRDefault="00660090" w:rsidP="006C7A4C">
            <w:pPr>
              <w:spacing w:after="100" w:afterAutospacing="1" w:line="276" w:lineRule="auto"/>
              <w:jc w:val="both"/>
            </w:pPr>
          </w:p>
        </w:tc>
        <w:tc>
          <w:tcPr>
            <w:tcW w:w="2977" w:type="dxa"/>
            <w:tcBorders>
              <w:top w:val="nil"/>
              <w:left w:val="nil"/>
              <w:bottom w:val="nil"/>
              <w:right w:val="nil"/>
            </w:tcBorders>
          </w:tcPr>
          <w:p w14:paraId="6B926282" w14:textId="77777777" w:rsidR="00660090" w:rsidRPr="00660090" w:rsidRDefault="00660090" w:rsidP="006C7A4C">
            <w:pPr>
              <w:spacing w:after="100" w:afterAutospacing="1" w:line="276" w:lineRule="auto"/>
              <w:jc w:val="both"/>
            </w:pPr>
          </w:p>
        </w:tc>
        <w:tc>
          <w:tcPr>
            <w:tcW w:w="1275" w:type="dxa"/>
            <w:tcBorders>
              <w:top w:val="nil"/>
              <w:left w:val="nil"/>
              <w:bottom w:val="nil"/>
              <w:right w:val="single" w:sz="4" w:space="0" w:color="auto"/>
            </w:tcBorders>
          </w:tcPr>
          <w:p w14:paraId="69D9FE6C" w14:textId="77777777" w:rsidR="00660090" w:rsidRPr="00660090" w:rsidRDefault="00660090" w:rsidP="006C7A4C">
            <w:pPr>
              <w:spacing w:after="100" w:afterAutospacing="1" w:line="276" w:lineRule="auto"/>
              <w:jc w:val="both"/>
            </w:pPr>
          </w:p>
        </w:tc>
        <w:tc>
          <w:tcPr>
            <w:tcW w:w="9498" w:type="dxa"/>
            <w:gridSpan w:val="6"/>
            <w:tcBorders>
              <w:left w:val="single" w:sz="4" w:space="0" w:color="auto"/>
            </w:tcBorders>
            <w:shd w:val="clear" w:color="auto" w:fill="auto"/>
            <w:vAlign w:val="center"/>
          </w:tcPr>
          <w:p w14:paraId="6B027655" w14:textId="77777777" w:rsidR="00660090" w:rsidRPr="00660090" w:rsidRDefault="00660090" w:rsidP="006C7A4C">
            <w:pPr>
              <w:spacing w:after="100" w:afterAutospacing="1" w:line="276" w:lineRule="auto"/>
              <w:jc w:val="center"/>
            </w:pPr>
            <w:r w:rsidRPr="00660090">
              <w:t>Placement 2</w:t>
            </w:r>
          </w:p>
        </w:tc>
      </w:tr>
      <w:tr w:rsidR="00660090" w:rsidRPr="00660090" w14:paraId="28768802" w14:textId="77777777" w:rsidTr="006C7A4C">
        <w:tc>
          <w:tcPr>
            <w:tcW w:w="567" w:type="dxa"/>
            <w:tcBorders>
              <w:top w:val="nil"/>
              <w:left w:val="nil"/>
              <w:bottom w:val="nil"/>
              <w:right w:val="nil"/>
            </w:tcBorders>
          </w:tcPr>
          <w:p w14:paraId="255368A7" w14:textId="77777777" w:rsidR="00660090" w:rsidRPr="00660090" w:rsidRDefault="00660090" w:rsidP="006C7A4C">
            <w:pPr>
              <w:spacing w:after="100" w:afterAutospacing="1" w:line="276" w:lineRule="auto"/>
              <w:jc w:val="both"/>
            </w:pPr>
          </w:p>
        </w:tc>
        <w:tc>
          <w:tcPr>
            <w:tcW w:w="284" w:type="dxa"/>
            <w:tcBorders>
              <w:top w:val="nil"/>
              <w:left w:val="nil"/>
              <w:bottom w:val="nil"/>
              <w:right w:val="nil"/>
            </w:tcBorders>
          </w:tcPr>
          <w:p w14:paraId="0BE288F7" w14:textId="77777777" w:rsidR="00660090" w:rsidRPr="00660090" w:rsidRDefault="00660090" w:rsidP="006C7A4C">
            <w:pPr>
              <w:spacing w:after="100" w:afterAutospacing="1" w:line="276" w:lineRule="auto"/>
              <w:jc w:val="both"/>
            </w:pPr>
          </w:p>
        </w:tc>
        <w:tc>
          <w:tcPr>
            <w:tcW w:w="2977" w:type="dxa"/>
            <w:tcBorders>
              <w:top w:val="nil"/>
              <w:left w:val="nil"/>
              <w:bottom w:val="nil"/>
              <w:right w:val="nil"/>
            </w:tcBorders>
          </w:tcPr>
          <w:p w14:paraId="0CAD2B59" w14:textId="77777777" w:rsidR="00660090" w:rsidRPr="00660090" w:rsidRDefault="00660090" w:rsidP="006C7A4C">
            <w:pPr>
              <w:spacing w:after="100" w:afterAutospacing="1" w:line="276" w:lineRule="auto"/>
              <w:jc w:val="both"/>
            </w:pPr>
          </w:p>
        </w:tc>
        <w:tc>
          <w:tcPr>
            <w:tcW w:w="1275" w:type="dxa"/>
            <w:tcBorders>
              <w:top w:val="nil"/>
              <w:left w:val="nil"/>
              <w:bottom w:val="single" w:sz="4" w:space="0" w:color="auto"/>
              <w:right w:val="single" w:sz="4" w:space="0" w:color="auto"/>
            </w:tcBorders>
          </w:tcPr>
          <w:p w14:paraId="6A64B0F9" w14:textId="77777777" w:rsidR="00660090" w:rsidRPr="00660090" w:rsidRDefault="00660090" w:rsidP="006C7A4C">
            <w:pPr>
              <w:spacing w:after="100" w:afterAutospacing="1" w:line="276" w:lineRule="auto"/>
              <w:jc w:val="both"/>
            </w:pPr>
          </w:p>
        </w:tc>
        <w:tc>
          <w:tcPr>
            <w:tcW w:w="1418" w:type="dxa"/>
            <w:tcBorders>
              <w:left w:val="single" w:sz="4" w:space="0" w:color="auto"/>
            </w:tcBorders>
            <w:shd w:val="clear" w:color="auto" w:fill="FFE599" w:themeFill="accent4" w:themeFillTint="66"/>
          </w:tcPr>
          <w:p w14:paraId="33E630C7" w14:textId="77777777" w:rsidR="00660090" w:rsidRPr="00660090" w:rsidRDefault="00660090" w:rsidP="006C7A4C">
            <w:pPr>
              <w:spacing w:after="100" w:afterAutospacing="1" w:line="276" w:lineRule="auto"/>
              <w:jc w:val="both"/>
            </w:pPr>
          </w:p>
        </w:tc>
        <w:tc>
          <w:tcPr>
            <w:tcW w:w="1276" w:type="dxa"/>
            <w:shd w:val="clear" w:color="auto" w:fill="F4B083" w:themeFill="accent2" w:themeFillTint="99"/>
          </w:tcPr>
          <w:p w14:paraId="20EA007C" w14:textId="77777777" w:rsidR="00660090" w:rsidRPr="00660090" w:rsidRDefault="00660090" w:rsidP="006C7A4C">
            <w:pPr>
              <w:spacing w:after="100" w:afterAutospacing="1" w:line="276" w:lineRule="auto"/>
              <w:jc w:val="both"/>
            </w:pPr>
          </w:p>
        </w:tc>
        <w:tc>
          <w:tcPr>
            <w:tcW w:w="1275" w:type="dxa"/>
            <w:shd w:val="clear" w:color="auto" w:fill="C45911" w:themeFill="accent2" w:themeFillShade="BF"/>
          </w:tcPr>
          <w:p w14:paraId="4C2165BF" w14:textId="77777777" w:rsidR="00660090" w:rsidRPr="00660090" w:rsidRDefault="00660090" w:rsidP="006C7A4C">
            <w:pPr>
              <w:spacing w:after="100" w:afterAutospacing="1" w:line="276" w:lineRule="auto"/>
              <w:jc w:val="both"/>
            </w:pPr>
          </w:p>
        </w:tc>
        <w:tc>
          <w:tcPr>
            <w:tcW w:w="2127" w:type="dxa"/>
            <w:shd w:val="clear" w:color="auto" w:fill="E2EFD9" w:themeFill="accent6" w:themeFillTint="33"/>
          </w:tcPr>
          <w:p w14:paraId="38491BEA" w14:textId="77777777" w:rsidR="00660090" w:rsidRPr="00660090" w:rsidRDefault="00660090" w:rsidP="006C7A4C">
            <w:pPr>
              <w:spacing w:after="100" w:afterAutospacing="1" w:line="276" w:lineRule="auto"/>
              <w:jc w:val="both"/>
            </w:pPr>
          </w:p>
        </w:tc>
        <w:tc>
          <w:tcPr>
            <w:tcW w:w="1984" w:type="dxa"/>
            <w:shd w:val="clear" w:color="auto" w:fill="A8D08D" w:themeFill="accent6" w:themeFillTint="99"/>
          </w:tcPr>
          <w:p w14:paraId="67C0BD71" w14:textId="77777777" w:rsidR="00660090" w:rsidRPr="00660090" w:rsidRDefault="00660090" w:rsidP="006C7A4C">
            <w:pPr>
              <w:spacing w:after="100" w:afterAutospacing="1" w:line="276" w:lineRule="auto"/>
              <w:jc w:val="both"/>
            </w:pPr>
          </w:p>
        </w:tc>
        <w:tc>
          <w:tcPr>
            <w:tcW w:w="1418" w:type="dxa"/>
            <w:shd w:val="clear" w:color="auto" w:fill="538135" w:themeFill="accent6" w:themeFillShade="BF"/>
          </w:tcPr>
          <w:p w14:paraId="6830854B" w14:textId="77777777" w:rsidR="00660090" w:rsidRPr="00660090" w:rsidRDefault="00660090" w:rsidP="006C7A4C">
            <w:pPr>
              <w:spacing w:after="100" w:afterAutospacing="1" w:line="276" w:lineRule="auto"/>
              <w:jc w:val="both"/>
            </w:pPr>
          </w:p>
        </w:tc>
      </w:tr>
      <w:tr w:rsidR="00660090" w:rsidRPr="00660090" w14:paraId="741BEE10" w14:textId="77777777" w:rsidTr="006C7A4C">
        <w:trPr>
          <w:trHeight w:val="1373"/>
        </w:trPr>
        <w:tc>
          <w:tcPr>
            <w:tcW w:w="567" w:type="dxa"/>
            <w:tcBorders>
              <w:top w:val="nil"/>
              <w:left w:val="nil"/>
              <w:bottom w:val="single" w:sz="4" w:space="0" w:color="auto"/>
              <w:right w:val="nil"/>
            </w:tcBorders>
          </w:tcPr>
          <w:p w14:paraId="664C6E92" w14:textId="77777777" w:rsidR="00660090" w:rsidRPr="00660090" w:rsidRDefault="00660090" w:rsidP="006C7A4C">
            <w:pPr>
              <w:spacing w:after="100" w:afterAutospacing="1" w:line="276" w:lineRule="auto"/>
              <w:jc w:val="both"/>
            </w:pPr>
          </w:p>
        </w:tc>
        <w:tc>
          <w:tcPr>
            <w:tcW w:w="284" w:type="dxa"/>
            <w:tcBorders>
              <w:top w:val="nil"/>
              <w:left w:val="nil"/>
              <w:bottom w:val="single" w:sz="4" w:space="0" w:color="auto"/>
              <w:right w:val="nil"/>
            </w:tcBorders>
          </w:tcPr>
          <w:p w14:paraId="1D3AB992" w14:textId="77777777" w:rsidR="00660090" w:rsidRPr="00660090" w:rsidRDefault="00660090" w:rsidP="006C7A4C">
            <w:pPr>
              <w:spacing w:after="100" w:afterAutospacing="1" w:line="276" w:lineRule="auto"/>
              <w:jc w:val="both"/>
            </w:pPr>
          </w:p>
        </w:tc>
        <w:tc>
          <w:tcPr>
            <w:tcW w:w="2977" w:type="dxa"/>
            <w:tcBorders>
              <w:top w:val="nil"/>
              <w:left w:val="nil"/>
              <w:bottom w:val="single" w:sz="4" w:space="0" w:color="auto"/>
              <w:right w:val="single" w:sz="4" w:space="0" w:color="auto"/>
            </w:tcBorders>
          </w:tcPr>
          <w:p w14:paraId="70EDEA68" w14:textId="77777777" w:rsidR="00660090" w:rsidRPr="00660090" w:rsidRDefault="00660090" w:rsidP="006C7A4C">
            <w:pPr>
              <w:spacing w:after="100" w:afterAutospacing="1" w:line="276" w:lineRule="auto"/>
              <w:jc w:val="both"/>
            </w:pPr>
          </w:p>
        </w:tc>
        <w:tc>
          <w:tcPr>
            <w:tcW w:w="1275" w:type="dxa"/>
            <w:tcBorders>
              <w:top w:val="single" w:sz="4" w:space="0" w:color="auto"/>
              <w:left w:val="single" w:sz="4" w:space="0" w:color="auto"/>
            </w:tcBorders>
            <w:vAlign w:val="center"/>
          </w:tcPr>
          <w:p w14:paraId="724685D9" w14:textId="77777777" w:rsidR="00660090" w:rsidRPr="00660090" w:rsidRDefault="00660090" w:rsidP="006C7A4C">
            <w:pPr>
              <w:jc w:val="center"/>
            </w:pPr>
            <w:r w:rsidRPr="00660090">
              <w:t>Singly applied</w:t>
            </w:r>
          </w:p>
        </w:tc>
        <w:tc>
          <w:tcPr>
            <w:tcW w:w="1418" w:type="dxa"/>
            <w:vAlign w:val="center"/>
          </w:tcPr>
          <w:p w14:paraId="1689CF98" w14:textId="77777777" w:rsidR="00660090" w:rsidRPr="00660090" w:rsidRDefault="00660090" w:rsidP="006C7A4C">
            <w:pPr>
              <w:spacing w:line="276" w:lineRule="auto"/>
              <w:jc w:val="center"/>
            </w:pPr>
            <m:oMathPara>
              <m:oMath>
                <m:f>
                  <m:fPr>
                    <m:ctrlPr>
                      <w:rPr>
                        <w:rFonts w:ascii="Cambria Math" w:hAnsi="Cambria Math"/>
                        <w:i/>
                      </w:rPr>
                    </m:ctrlPr>
                  </m:fPr>
                  <m:num>
                    <m:r>
                      <w:rPr>
                        <w:rFonts w:ascii="Cambria Math" w:hAnsi="Cambria Math"/>
                      </w:rPr>
                      <m:t>dO</m:t>
                    </m:r>
                  </m:num>
                  <m:den>
                    <m:r>
                      <w:rPr>
                        <w:rFonts w:ascii="Cambria Math" w:hAnsi="Cambria Math"/>
                      </w:rPr>
                      <m:t>dt</m:t>
                    </m:r>
                  </m:den>
                </m:f>
                <m:r>
                  <w:rPr>
                    <w:rFonts w:ascii="Cambria Math" w:hAnsi="Cambria Math"/>
                  </w:rPr>
                  <m:t>=…</m:t>
                </m:r>
              </m:oMath>
            </m:oMathPara>
          </w:p>
          <w:p w14:paraId="3FEDB423" w14:textId="77777777" w:rsidR="00660090" w:rsidRPr="00660090" w:rsidRDefault="00660090" w:rsidP="006C7A4C">
            <w:pPr>
              <w:spacing w:line="276" w:lineRule="auto"/>
              <w:jc w:val="center"/>
            </w:pPr>
            <m:oMathPara>
              <m:oMath>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O</m:t>
                    </m:r>
                  </m:sub>
                </m:sSub>
                <m:r>
                  <w:rPr>
                    <w:rFonts w:ascii="Cambria Math" w:hAnsi="Cambria Math"/>
                  </w:rPr>
                  <m:t>O</m:t>
                </m:r>
              </m:oMath>
            </m:oMathPara>
          </w:p>
        </w:tc>
        <w:tc>
          <w:tcPr>
            <w:tcW w:w="1276" w:type="dxa"/>
            <w:vAlign w:val="center"/>
          </w:tcPr>
          <w:p w14:paraId="1D248C37" w14:textId="77777777" w:rsidR="00660090" w:rsidRPr="00660090" w:rsidRDefault="00660090" w:rsidP="006C7A4C">
            <w:pPr>
              <w:spacing w:line="276" w:lineRule="auto"/>
              <w:jc w:val="cente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m:t>
                </m:r>
              </m:oMath>
            </m:oMathPara>
          </w:p>
          <w:p w14:paraId="1E23EA3B" w14:textId="77777777" w:rsidR="00660090" w:rsidRPr="00660090" w:rsidRDefault="00660090" w:rsidP="006C7A4C">
            <w:pPr>
              <w:spacing w:line="276" w:lineRule="auto"/>
              <w:jc w:val="center"/>
            </w:pPr>
            <m:oMathPara>
              <m:oMath>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O</m:t>
                    </m:r>
                  </m:sub>
                </m:sSub>
                <m:r>
                  <w:rPr>
                    <w:rFonts w:ascii="Cambria Math" w:hAnsi="Cambria Math"/>
                  </w:rPr>
                  <m:t>O</m:t>
                </m:r>
              </m:oMath>
            </m:oMathPara>
          </w:p>
        </w:tc>
        <w:tc>
          <w:tcPr>
            <w:tcW w:w="1275" w:type="dxa"/>
            <w:vAlign w:val="center"/>
          </w:tcPr>
          <w:p w14:paraId="62DDA183" w14:textId="77777777" w:rsidR="00660090" w:rsidRPr="00660090" w:rsidRDefault="00660090" w:rsidP="006C7A4C">
            <w:pPr>
              <w:spacing w:line="276" w:lineRule="auto"/>
              <w:jc w:val="cente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m:t>
                </m:r>
              </m:oMath>
            </m:oMathPara>
          </w:p>
          <w:p w14:paraId="6B8A14C0" w14:textId="77777777" w:rsidR="00660090" w:rsidRPr="00660090" w:rsidRDefault="00660090" w:rsidP="006C7A4C">
            <w:pPr>
              <w:spacing w:line="276" w:lineRule="auto"/>
              <w:jc w:val="center"/>
            </w:pPr>
            <m:oMathPara>
              <m:oMath>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O</m:t>
                    </m:r>
                  </m:sub>
                </m:sSub>
                <m:r>
                  <w:rPr>
                    <w:rFonts w:ascii="Cambria Math" w:hAnsi="Cambria Math"/>
                  </w:rPr>
                  <m:t>O</m:t>
                </m:r>
              </m:oMath>
            </m:oMathPara>
          </w:p>
        </w:tc>
        <w:tc>
          <w:tcPr>
            <w:tcW w:w="2127" w:type="dxa"/>
            <w:vAlign w:val="center"/>
          </w:tcPr>
          <w:p w14:paraId="2B4AF4C0" w14:textId="77777777" w:rsidR="00660090" w:rsidRPr="00660090" w:rsidRDefault="00660090" w:rsidP="006C7A4C">
            <w:pPr>
              <w:spacing w:line="276" w:lineRule="auto"/>
              <w:jc w:val="cente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oMath>
            </m:oMathPara>
          </w:p>
          <w:p w14:paraId="759C2BE9" w14:textId="77777777" w:rsidR="00660090" w:rsidRPr="00660090" w:rsidRDefault="00660090" w:rsidP="006C7A4C">
            <w:pPr>
              <w:spacing w:line="276" w:lineRule="auto"/>
              <w:jc w:val="center"/>
            </w:pPr>
            <m:oMathPara>
              <m:oMath>
                <m:r>
                  <w:rPr>
                    <w:rFonts w:ascii="Cambria Math" w:hAnsi="Cambria Math"/>
                  </w:rPr>
                  <m:t>+</m:t>
                </m:r>
                <m:sSub>
                  <m:sSubPr>
                    <m:ctrlPr>
                      <w:rPr>
                        <w:rFonts w:ascii="Cambria Math" w:hAnsi="Cambria Math"/>
                        <w:i/>
                      </w:rPr>
                    </m:ctrlPr>
                  </m:sSubPr>
                  <m:e>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r>
                      <w:rPr>
                        <w:rFonts w:ascii="Cambria Math" w:hAnsi="Cambria Math"/>
                      </w:rPr>
                      <m:t>α</m:t>
                    </m:r>
                  </m:e>
                  <m:sub>
                    <m:r>
                      <w:rPr>
                        <w:rFonts w:ascii="Cambria Math" w:hAnsi="Cambria Math"/>
                      </w:rPr>
                      <m:t>L</m:t>
                    </m:r>
                  </m:sub>
                </m:sSub>
                <m:f>
                  <m:fPr>
                    <m:ctrlPr>
                      <w:rPr>
                        <w:rFonts w:ascii="Cambria Math" w:hAnsi="Cambria Math"/>
                        <w:i/>
                        <w:color w:val="000000"/>
                      </w:rPr>
                    </m:ctrlPr>
                  </m:fPr>
                  <m:num>
                    <m:r>
                      <w:rPr>
                        <w:rFonts w:ascii="Cambria Math" w:hAnsi="Cambria Math"/>
                        <w:color w:val="000000"/>
                      </w:rPr>
                      <m:t>L</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γL)</m:t>
                        </m:r>
                      </m:e>
                      <m:sup>
                        <m:r>
                          <w:rPr>
                            <w:rFonts w:ascii="Cambria Math" w:hAnsi="Cambria Math"/>
                            <w:color w:val="000000"/>
                          </w:rPr>
                          <m:t>β</m:t>
                        </m:r>
                      </m:sup>
                    </m:sSup>
                  </m:den>
                </m:f>
              </m:oMath>
            </m:oMathPara>
          </w:p>
        </w:tc>
        <w:tc>
          <w:tcPr>
            <w:tcW w:w="1984" w:type="dxa"/>
            <w:vAlign w:val="center"/>
          </w:tcPr>
          <w:p w14:paraId="034D7266" w14:textId="77777777" w:rsidR="00660090" w:rsidRPr="00660090" w:rsidRDefault="00660090" w:rsidP="006C7A4C">
            <w:pPr>
              <w:spacing w:line="276" w:lineRule="auto"/>
              <w:jc w:val="cente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oMath>
            </m:oMathPara>
          </w:p>
          <w:p w14:paraId="4D2A6422" w14:textId="77777777" w:rsidR="00660090" w:rsidRPr="00660090" w:rsidRDefault="00660090" w:rsidP="006C7A4C">
            <w:pPr>
              <w:spacing w:line="276" w:lineRule="auto"/>
              <w:jc w:val="center"/>
            </w:pPr>
            <m:oMathPara>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f>
                  <m:fPr>
                    <m:ctrlPr>
                      <w:rPr>
                        <w:rFonts w:ascii="Cambria Math" w:hAnsi="Cambria Math"/>
                        <w:i/>
                        <w:color w:val="000000"/>
                      </w:rPr>
                    </m:ctrlPr>
                  </m:fPr>
                  <m:num>
                    <m:r>
                      <w:rPr>
                        <w:rFonts w:ascii="Cambria Math" w:hAnsi="Cambria Math"/>
                        <w:color w:val="000000"/>
                      </w:rPr>
                      <m:t>L</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γ</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r>
                          <w:rPr>
                            <w:rFonts w:ascii="Cambria Math" w:hAnsi="Cambria Math"/>
                            <w:color w:val="000000"/>
                          </w:rPr>
                          <m:t>L)</m:t>
                        </m:r>
                      </m:e>
                      <m:sup>
                        <m:r>
                          <w:rPr>
                            <w:rFonts w:ascii="Cambria Math" w:hAnsi="Cambria Math"/>
                            <w:color w:val="000000"/>
                          </w:rPr>
                          <m:t>β</m:t>
                        </m:r>
                      </m:sup>
                    </m:sSup>
                  </m:den>
                </m:f>
              </m:oMath>
            </m:oMathPara>
          </w:p>
        </w:tc>
        <w:tc>
          <w:tcPr>
            <w:tcW w:w="1418" w:type="dxa"/>
            <w:vAlign w:val="center"/>
          </w:tcPr>
          <w:p w14:paraId="6E504537" w14:textId="77777777" w:rsidR="00660090" w:rsidRPr="00660090" w:rsidRDefault="00660090" w:rsidP="006C7A4C">
            <w:pPr>
              <w:spacing w:line="276" w:lineRule="auto"/>
              <w:jc w:val="cente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oMath>
            </m:oMathPara>
          </w:p>
          <w:p w14:paraId="187C5029" w14:textId="77777777" w:rsidR="00660090" w:rsidRPr="00660090" w:rsidRDefault="00660090" w:rsidP="006C7A4C">
            <w:pPr>
              <w:spacing w:line="276" w:lineRule="auto"/>
              <w:jc w:val="center"/>
            </w:pPr>
            <m:oMathPara>
              <m:oMath>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P</m:t>
                </m:r>
              </m:oMath>
            </m:oMathPara>
          </w:p>
        </w:tc>
      </w:tr>
      <w:tr w:rsidR="00660090" w:rsidRPr="00660090" w14:paraId="47FD872F" w14:textId="77777777" w:rsidTr="006C7A4C">
        <w:trPr>
          <w:trHeight w:val="693"/>
        </w:trPr>
        <w:tc>
          <w:tcPr>
            <w:tcW w:w="567" w:type="dxa"/>
            <w:vMerge w:val="restart"/>
            <w:tcBorders>
              <w:top w:val="single" w:sz="4" w:space="0" w:color="auto"/>
            </w:tcBorders>
            <w:textDirection w:val="btLr"/>
            <w:vAlign w:val="center"/>
          </w:tcPr>
          <w:p w14:paraId="6E88CC5A" w14:textId="77777777" w:rsidR="00660090" w:rsidRPr="00660090" w:rsidRDefault="00660090" w:rsidP="006C7A4C">
            <w:pPr>
              <w:spacing w:after="100" w:afterAutospacing="1" w:line="276" w:lineRule="auto"/>
              <w:ind w:left="113" w:right="113"/>
              <w:jc w:val="center"/>
            </w:pPr>
            <w:r w:rsidRPr="00660090">
              <w:t>Placement 1</w:t>
            </w:r>
          </w:p>
        </w:tc>
        <w:tc>
          <w:tcPr>
            <w:tcW w:w="284" w:type="dxa"/>
            <w:tcBorders>
              <w:top w:val="single" w:sz="4" w:space="0" w:color="auto"/>
            </w:tcBorders>
            <w:shd w:val="clear" w:color="auto" w:fill="FFE599" w:themeFill="accent4" w:themeFillTint="66"/>
          </w:tcPr>
          <w:p w14:paraId="1114924F" w14:textId="77777777" w:rsidR="00660090" w:rsidRPr="00660090" w:rsidRDefault="00660090" w:rsidP="006C7A4C">
            <w:pPr>
              <w:spacing w:after="100" w:afterAutospacing="1" w:line="276" w:lineRule="auto"/>
              <w:jc w:val="both"/>
            </w:pPr>
          </w:p>
        </w:tc>
        <w:tc>
          <w:tcPr>
            <w:tcW w:w="2977" w:type="dxa"/>
            <w:tcBorders>
              <w:top w:val="single" w:sz="4" w:space="0" w:color="auto"/>
            </w:tcBorders>
            <w:vAlign w:val="center"/>
          </w:tcPr>
          <w:p w14:paraId="5D3D8CAE" w14:textId="77777777" w:rsidR="00660090" w:rsidRPr="00660090" w:rsidRDefault="00660090" w:rsidP="006C7A4C">
            <w:pPr>
              <w:spacing w:after="100" w:afterAutospacing="1" w:line="276" w:lineRule="auto"/>
              <w:jc w:val="center"/>
            </w:pPr>
            <m:oMathPara>
              <m:oMath>
                <m:f>
                  <m:fPr>
                    <m:ctrlPr>
                      <w:rPr>
                        <w:rFonts w:ascii="Cambria Math" w:hAnsi="Cambria Math"/>
                        <w:i/>
                      </w:rPr>
                    </m:ctrlPr>
                  </m:fPr>
                  <m:num>
                    <m:r>
                      <w:rPr>
                        <w:rFonts w:ascii="Cambria Math" w:hAnsi="Cambria Math"/>
                      </w:rPr>
                      <m:t>dO</m:t>
                    </m:r>
                  </m:num>
                  <m:den>
                    <m:r>
                      <w:rPr>
                        <w:rFonts w:ascii="Cambria Math" w:hAnsi="Cambria Math"/>
                      </w:rPr>
                      <m:t>dt</m:t>
                    </m:r>
                  </m:den>
                </m:f>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O</m:t>
                    </m:r>
                  </m:sub>
                </m:sSub>
                <m:r>
                  <w:rPr>
                    <w:rFonts w:ascii="Cambria Math" w:hAnsi="Cambria Math"/>
                  </w:rPr>
                  <m:t>O</m:t>
                </m:r>
              </m:oMath>
            </m:oMathPara>
          </w:p>
        </w:tc>
        <w:tc>
          <w:tcPr>
            <w:tcW w:w="1275" w:type="dxa"/>
            <w:vAlign w:val="center"/>
          </w:tcPr>
          <w:p w14:paraId="1D4AE0F4" w14:textId="77777777" w:rsidR="00660090" w:rsidRPr="00660090" w:rsidRDefault="00660090" w:rsidP="006C7A4C">
            <w:pPr>
              <w:ind w:left="113" w:right="113"/>
              <w:jc w:val="center"/>
            </w:pPr>
            <w:r w:rsidRPr="00660090">
              <w:t>52</w:t>
            </w:r>
          </w:p>
          <w:p w14:paraId="5CA4C023" w14:textId="77777777" w:rsidR="00660090" w:rsidRPr="00660090" w:rsidRDefault="00660090" w:rsidP="006C7A4C">
            <w:pPr>
              <w:spacing w:after="100" w:afterAutospacing="1" w:line="276" w:lineRule="auto"/>
              <w:jc w:val="center"/>
            </w:pPr>
            <w:r w:rsidRPr="00660090">
              <w:rPr>
                <w:i/>
                <w:iCs/>
              </w:rPr>
              <w:t>(2.54)</w:t>
            </w:r>
          </w:p>
        </w:tc>
        <w:tc>
          <w:tcPr>
            <w:tcW w:w="1418" w:type="dxa"/>
            <w:vAlign w:val="center"/>
          </w:tcPr>
          <w:p w14:paraId="376BF434" w14:textId="77777777" w:rsidR="00660090" w:rsidRPr="00660090" w:rsidRDefault="00660090" w:rsidP="006C7A4C">
            <w:pPr>
              <w:spacing w:after="100" w:afterAutospacing="1" w:line="276" w:lineRule="auto"/>
              <w:jc w:val="center"/>
            </w:pPr>
            <w:r w:rsidRPr="00660090">
              <w:t>–</w:t>
            </w:r>
          </w:p>
        </w:tc>
        <w:tc>
          <w:tcPr>
            <w:tcW w:w="1276" w:type="dxa"/>
            <w:vAlign w:val="center"/>
          </w:tcPr>
          <w:p w14:paraId="43844189" w14:textId="77777777" w:rsidR="00660090" w:rsidRPr="00660090" w:rsidRDefault="00660090" w:rsidP="006C7A4C">
            <w:pPr>
              <w:spacing w:after="100" w:afterAutospacing="1" w:line="276" w:lineRule="auto"/>
              <w:jc w:val="center"/>
            </w:pPr>
            <w:r w:rsidRPr="00660090">
              <w:t>–</w:t>
            </w:r>
          </w:p>
        </w:tc>
        <w:tc>
          <w:tcPr>
            <w:tcW w:w="1275" w:type="dxa"/>
            <w:vAlign w:val="center"/>
          </w:tcPr>
          <w:p w14:paraId="43D30C05" w14:textId="77777777" w:rsidR="00660090" w:rsidRPr="00660090" w:rsidRDefault="00660090" w:rsidP="006C7A4C">
            <w:pPr>
              <w:spacing w:after="100" w:afterAutospacing="1" w:line="276" w:lineRule="auto"/>
              <w:jc w:val="center"/>
            </w:pPr>
            <w:r w:rsidRPr="00660090">
              <w:t>–</w:t>
            </w:r>
          </w:p>
        </w:tc>
        <w:tc>
          <w:tcPr>
            <w:tcW w:w="2127" w:type="dxa"/>
            <w:vAlign w:val="center"/>
          </w:tcPr>
          <w:p w14:paraId="12810133" w14:textId="77777777" w:rsidR="00660090" w:rsidRPr="00660090" w:rsidRDefault="00660090" w:rsidP="006C7A4C">
            <w:pPr>
              <w:spacing w:after="100" w:afterAutospacing="1" w:line="276" w:lineRule="auto"/>
              <w:jc w:val="center"/>
            </w:pPr>
            <w:r w:rsidRPr="00660090">
              <w:t>–</w:t>
            </w:r>
          </w:p>
        </w:tc>
        <w:tc>
          <w:tcPr>
            <w:tcW w:w="1984" w:type="dxa"/>
            <w:vAlign w:val="center"/>
          </w:tcPr>
          <w:p w14:paraId="7A17ABC9" w14:textId="77777777" w:rsidR="00660090" w:rsidRPr="00660090" w:rsidRDefault="00660090" w:rsidP="006C7A4C">
            <w:pPr>
              <w:spacing w:after="100" w:afterAutospacing="1" w:line="276" w:lineRule="auto"/>
              <w:jc w:val="center"/>
            </w:pPr>
            <w:r w:rsidRPr="00660090">
              <w:t>–</w:t>
            </w:r>
          </w:p>
        </w:tc>
        <w:tc>
          <w:tcPr>
            <w:tcW w:w="1418" w:type="dxa"/>
            <w:vAlign w:val="center"/>
          </w:tcPr>
          <w:p w14:paraId="792628F0" w14:textId="77777777" w:rsidR="00660090" w:rsidRPr="00660090" w:rsidRDefault="00660090" w:rsidP="006C7A4C">
            <w:pPr>
              <w:spacing w:after="100" w:afterAutospacing="1" w:line="276" w:lineRule="auto"/>
              <w:jc w:val="center"/>
            </w:pPr>
            <w:r w:rsidRPr="00660090">
              <w:t>–</w:t>
            </w:r>
          </w:p>
        </w:tc>
      </w:tr>
      <w:tr w:rsidR="00660090" w:rsidRPr="00660090" w14:paraId="097AFCBC" w14:textId="77777777" w:rsidTr="006C7A4C">
        <w:trPr>
          <w:trHeight w:val="560"/>
        </w:trPr>
        <w:tc>
          <w:tcPr>
            <w:tcW w:w="567" w:type="dxa"/>
            <w:vMerge/>
          </w:tcPr>
          <w:p w14:paraId="6437E3A0" w14:textId="77777777" w:rsidR="00660090" w:rsidRPr="00660090" w:rsidRDefault="00660090" w:rsidP="006C7A4C">
            <w:pPr>
              <w:spacing w:after="100" w:afterAutospacing="1" w:line="276" w:lineRule="auto"/>
              <w:jc w:val="both"/>
            </w:pPr>
          </w:p>
        </w:tc>
        <w:tc>
          <w:tcPr>
            <w:tcW w:w="284" w:type="dxa"/>
            <w:shd w:val="clear" w:color="auto" w:fill="F4B083" w:themeFill="accent2" w:themeFillTint="99"/>
          </w:tcPr>
          <w:p w14:paraId="4F244AE3" w14:textId="77777777" w:rsidR="00660090" w:rsidRPr="00660090" w:rsidRDefault="00660090" w:rsidP="006C7A4C">
            <w:pPr>
              <w:spacing w:after="100" w:afterAutospacing="1" w:line="276" w:lineRule="auto"/>
              <w:jc w:val="both"/>
            </w:pPr>
          </w:p>
        </w:tc>
        <w:tc>
          <w:tcPr>
            <w:tcW w:w="2977" w:type="dxa"/>
            <w:vAlign w:val="center"/>
          </w:tcPr>
          <w:p w14:paraId="3E59D788" w14:textId="77777777" w:rsidR="00660090" w:rsidRPr="00660090" w:rsidRDefault="00660090" w:rsidP="006C7A4C">
            <w:pPr>
              <w:spacing w:after="100" w:afterAutospacing="1" w:line="276" w:lineRule="auto"/>
              <w:jc w:val="cente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O</m:t>
                    </m:r>
                  </m:sub>
                </m:sSub>
                <m:r>
                  <w:rPr>
                    <w:rFonts w:ascii="Cambria Math" w:hAnsi="Cambria Math"/>
                  </w:rPr>
                  <m:t>O</m:t>
                </m:r>
              </m:oMath>
            </m:oMathPara>
          </w:p>
        </w:tc>
        <w:tc>
          <w:tcPr>
            <w:tcW w:w="1275" w:type="dxa"/>
            <w:vAlign w:val="center"/>
          </w:tcPr>
          <w:p w14:paraId="17AE59EB" w14:textId="77777777" w:rsidR="00660090" w:rsidRPr="00660090" w:rsidRDefault="00660090" w:rsidP="006C7A4C">
            <w:pPr>
              <w:ind w:left="113" w:right="113"/>
              <w:jc w:val="center"/>
            </w:pPr>
            <w:r w:rsidRPr="00660090">
              <w:t>146</w:t>
            </w:r>
          </w:p>
          <w:p w14:paraId="16BC5A39" w14:textId="77777777" w:rsidR="00660090" w:rsidRPr="00660090" w:rsidRDefault="00660090" w:rsidP="006C7A4C">
            <w:pPr>
              <w:spacing w:after="100" w:afterAutospacing="1" w:line="276" w:lineRule="auto"/>
              <w:jc w:val="center"/>
            </w:pPr>
            <w:r w:rsidRPr="00660090">
              <w:rPr>
                <w:i/>
                <w:iCs/>
              </w:rPr>
              <w:t>(2.73)</w:t>
            </w:r>
          </w:p>
        </w:tc>
        <w:tc>
          <w:tcPr>
            <w:tcW w:w="1418" w:type="dxa"/>
            <w:vAlign w:val="center"/>
          </w:tcPr>
          <w:p w14:paraId="52DE0BFB" w14:textId="77777777" w:rsidR="00660090" w:rsidRPr="00660090" w:rsidRDefault="00660090" w:rsidP="006C7A4C">
            <w:pPr>
              <w:ind w:left="113" w:right="113"/>
              <w:jc w:val="center"/>
            </w:pPr>
            <w:r w:rsidRPr="00660090">
              <w:t>139</w:t>
            </w:r>
          </w:p>
          <w:p w14:paraId="2B7E7CC5" w14:textId="77777777" w:rsidR="00660090" w:rsidRPr="00660090" w:rsidRDefault="00660090" w:rsidP="006C7A4C">
            <w:pPr>
              <w:spacing w:after="100" w:afterAutospacing="1" w:line="276" w:lineRule="auto"/>
              <w:jc w:val="center"/>
            </w:pPr>
            <w:r w:rsidRPr="00660090">
              <w:rPr>
                <w:i/>
                <w:iCs/>
              </w:rPr>
              <w:t>(1.1)</w:t>
            </w:r>
          </w:p>
        </w:tc>
        <w:tc>
          <w:tcPr>
            <w:tcW w:w="1276" w:type="dxa"/>
            <w:vAlign w:val="center"/>
          </w:tcPr>
          <w:p w14:paraId="2E854A37" w14:textId="77777777" w:rsidR="00660090" w:rsidRPr="00660090" w:rsidRDefault="00660090" w:rsidP="006C7A4C">
            <w:pPr>
              <w:spacing w:after="100" w:afterAutospacing="1" w:line="276" w:lineRule="auto"/>
              <w:jc w:val="center"/>
            </w:pPr>
            <w:r w:rsidRPr="00660090">
              <w:t>–</w:t>
            </w:r>
          </w:p>
        </w:tc>
        <w:tc>
          <w:tcPr>
            <w:tcW w:w="1275" w:type="dxa"/>
            <w:vAlign w:val="center"/>
          </w:tcPr>
          <w:p w14:paraId="4A7CDFBE" w14:textId="77777777" w:rsidR="00660090" w:rsidRPr="00660090" w:rsidRDefault="00660090" w:rsidP="006C7A4C">
            <w:pPr>
              <w:spacing w:after="100" w:afterAutospacing="1" w:line="276" w:lineRule="auto"/>
              <w:jc w:val="center"/>
            </w:pPr>
            <w:r w:rsidRPr="00660090">
              <w:t>–</w:t>
            </w:r>
          </w:p>
        </w:tc>
        <w:tc>
          <w:tcPr>
            <w:tcW w:w="2127" w:type="dxa"/>
            <w:vAlign w:val="center"/>
          </w:tcPr>
          <w:p w14:paraId="33A06BF8" w14:textId="77777777" w:rsidR="00660090" w:rsidRPr="00660090" w:rsidRDefault="00660090" w:rsidP="006C7A4C">
            <w:pPr>
              <w:spacing w:after="100" w:afterAutospacing="1" w:line="276" w:lineRule="auto"/>
              <w:jc w:val="center"/>
            </w:pPr>
            <w:r w:rsidRPr="00660090">
              <w:t>–</w:t>
            </w:r>
          </w:p>
        </w:tc>
        <w:tc>
          <w:tcPr>
            <w:tcW w:w="1984" w:type="dxa"/>
            <w:vAlign w:val="center"/>
          </w:tcPr>
          <w:p w14:paraId="2C5ACACF" w14:textId="77777777" w:rsidR="00660090" w:rsidRPr="00660090" w:rsidRDefault="00660090" w:rsidP="006C7A4C">
            <w:pPr>
              <w:spacing w:after="100" w:afterAutospacing="1" w:line="276" w:lineRule="auto"/>
              <w:jc w:val="center"/>
            </w:pPr>
            <w:r w:rsidRPr="00660090">
              <w:t>–</w:t>
            </w:r>
          </w:p>
        </w:tc>
        <w:tc>
          <w:tcPr>
            <w:tcW w:w="1418" w:type="dxa"/>
            <w:vAlign w:val="center"/>
          </w:tcPr>
          <w:p w14:paraId="32232624" w14:textId="77777777" w:rsidR="00660090" w:rsidRPr="00660090" w:rsidRDefault="00660090" w:rsidP="006C7A4C">
            <w:pPr>
              <w:spacing w:after="100" w:afterAutospacing="1" w:line="276" w:lineRule="auto"/>
              <w:jc w:val="center"/>
            </w:pPr>
            <w:r w:rsidRPr="00660090">
              <w:t>–</w:t>
            </w:r>
          </w:p>
        </w:tc>
      </w:tr>
      <w:tr w:rsidR="00660090" w:rsidRPr="00660090" w14:paraId="797B08EB" w14:textId="77777777" w:rsidTr="006C7A4C">
        <w:trPr>
          <w:trHeight w:val="711"/>
        </w:trPr>
        <w:tc>
          <w:tcPr>
            <w:tcW w:w="567" w:type="dxa"/>
            <w:vMerge/>
          </w:tcPr>
          <w:p w14:paraId="4E3E80FA" w14:textId="77777777" w:rsidR="00660090" w:rsidRPr="00660090" w:rsidRDefault="00660090" w:rsidP="006C7A4C">
            <w:pPr>
              <w:spacing w:after="100" w:afterAutospacing="1" w:line="276" w:lineRule="auto"/>
              <w:jc w:val="both"/>
            </w:pPr>
          </w:p>
        </w:tc>
        <w:tc>
          <w:tcPr>
            <w:tcW w:w="284" w:type="dxa"/>
            <w:shd w:val="clear" w:color="auto" w:fill="C45911" w:themeFill="accent2" w:themeFillShade="BF"/>
          </w:tcPr>
          <w:p w14:paraId="4EE6D800" w14:textId="77777777" w:rsidR="00660090" w:rsidRPr="00660090" w:rsidRDefault="00660090" w:rsidP="006C7A4C">
            <w:pPr>
              <w:spacing w:after="100" w:afterAutospacing="1" w:line="276" w:lineRule="auto"/>
              <w:jc w:val="both"/>
            </w:pPr>
          </w:p>
        </w:tc>
        <w:tc>
          <w:tcPr>
            <w:tcW w:w="2977" w:type="dxa"/>
            <w:vAlign w:val="center"/>
          </w:tcPr>
          <w:p w14:paraId="08F96865" w14:textId="77777777" w:rsidR="00660090" w:rsidRPr="00660090" w:rsidRDefault="00660090" w:rsidP="006C7A4C">
            <w:pPr>
              <w:spacing w:after="100" w:afterAutospacing="1" w:line="276" w:lineRule="auto"/>
              <w:jc w:val="cente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L</m:t>
                </m:r>
              </m:oMath>
            </m:oMathPara>
          </w:p>
        </w:tc>
        <w:tc>
          <w:tcPr>
            <w:tcW w:w="1275" w:type="dxa"/>
            <w:vAlign w:val="center"/>
          </w:tcPr>
          <w:p w14:paraId="6326AFD9" w14:textId="77777777" w:rsidR="00660090" w:rsidRPr="00660090" w:rsidRDefault="00660090" w:rsidP="006C7A4C">
            <w:pPr>
              <w:ind w:left="113" w:right="113"/>
              <w:jc w:val="center"/>
            </w:pPr>
            <w:r w:rsidRPr="00660090">
              <w:t>55</w:t>
            </w:r>
          </w:p>
          <w:p w14:paraId="5E350AC5" w14:textId="77777777" w:rsidR="00660090" w:rsidRPr="00660090" w:rsidRDefault="00660090" w:rsidP="006C7A4C">
            <w:pPr>
              <w:spacing w:after="100" w:afterAutospacing="1" w:line="276" w:lineRule="auto"/>
              <w:jc w:val="center"/>
            </w:pPr>
            <w:r w:rsidRPr="00660090">
              <w:rPr>
                <w:i/>
                <w:iCs/>
              </w:rPr>
              <w:t>(2.15)</w:t>
            </w:r>
          </w:p>
        </w:tc>
        <w:tc>
          <w:tcPr>
            <w:tcW w:w="1418" w:type="dxa"/>
            <w:vAlign w:val="center"/>
          </w:tcPr>
          <w:p w14:paraId="33EB19D5" w14:textId="77777777" w:rsidR="00660090" w:rsidRPr="00660090" w:rsidRDefault="00660090" w:rsidP="006C7A4C">
            <w:pPr>
              <w:ind w:left="113" w:right="113"/>
              <w:jc w:val="center"/>
            </w:pPr>
            <w:r w:rsidRPr="00660090">
              <w:t>58</w:t>
            </w:r>
          </w:p>
          <w:p w14:paraId="5D4ADA4B" w14:textId="77777777" w:rsidR="00660090" w:rsidRPr="00660090" w:rsidRDefault="00660090" w:rsidP="006C7A4C">
            <w:pPr>
              <w:spacing w:after="100" w:afterAutospacing="1" w:line="276" w:lineRule="auto"/>
              <w:jc w:val="center"/>
            </w:pPr>
            <w:r w:rsidRPr="00660090">
              <w:rPr>
                <w:i/>
                <w:iCs/>
              </w:rPr>
              <w:t>(5.05)</w:t>
            </w:r>
          </w:p>
        </w:tc>
        <w:tc>
          <w:tcPr>
            <w:tcW w:w="1276" w:type="dxa"/>
            <w:vAlign w:val="center"/>
          </w:tcPr>
          <w:p w14:paraId="1BA547E4" w14:textId="77777777" w:rsidR="00660090" w:rsidRPr="00660090" w:rsidRDefault="00660090" w:rsidP="006C7A4C">
            <w:pPr>
              <w:ind w:left="113" w:right="113"/>
              <w:jc w:val="center"/>
            </w:pPr>
            <w:r w:rsidRPr="00660090">
              <w:t>139</w:t>
            </w:r>
          </w:p>
          <w:p w14:paraId="2EC3A4BC" w14:textId="77777777" w:rsidR="00660090" w:rsidRPr="00660090" w:rsidRDefault="00660090" w:rsidP="006C7A4C">
            <w:pPr>
              <w:spacing w:after="100" w:afterAutospacing="1" w:line="276" w:lineRule="auto"/>
              <w:jc w:val="center"/>
            </w:pPr>
            <w:r w:rsidRPr="00660090">
              <w:rPr>
                <w:i/>
                <w:iCs/>
              </w:rPr>
              <w:t>(1.18)</w:t>
            </w:r>
          </w:p>
        </w:tc>
        <w:tc>
          <w:tcPr>
            <w:tcW w:w="1275" w:type="dxa"/>
            <w:vAlign w:val="center"/>
          </w:tcPr>
          <w:p w14:paraId="22938EE6" w14:textId="77777777" w:rsidR="00660090" w:rsidRPr="00660090" w:rsidRDefault="00660090" w:rsidP="006C7A4C">
            <w:pPr>
              <w:spacing w:after="100" w:afterAutospacing="1" w:line="276" w:lineRule="auto"/>
              <w:jc w:val="center"/>
            </w:pPr>
            <w:r w:rsidRPr="00660090">
              <w:t>–</w:t>
            </w:r>
          </w:p>
        </w:tc>
        <w:tc>
          <w:tcPr>
            <w:tcW w:w="2127" w:type="dxa"/>
            <w:vAlign w:val="center"/>
          </w:tcPr>
          <w:p w14:paraId="11DDD5CA" w14:textId="77777777" w:rsidR="00660090" w:rsidRPr="00660090" w:rsidRDefault="00660090" w:rsidP="006C7A4C">
            <w:pPr>
              <w:spacing w:after="100" w:afterAutospacing="1" w:line="276" w:lineRule="auto"/>
              <w:jc w:val="center"/>
            </w:pPr>
            <w:r w:rsidRPr="00660090">
              <w:t>–</w:t>
            </w:r>
          </w:p>
        </w:tc>
        <w:tc>
          <w:tcPr>
            <w:tcW w:w="1984" w:type="dxa"/>
            <w:vAlign w:val="center"/>
          </w:tcPr>
          <w:p w14:paraId="065F5DC2" w14:textId="77777777" w:rsidR="00660090" w:rsidRPr="00660090" w:rsidRDefault="00660090" w:rsidP="006C7A4C">
            <w:pPr>
              <w:spacing w:after="100" w:afterAutospacing="1" w:line="276" w:lineRule="auto"/>
              <w:jc w:val="center"/>
            </w:pPr>
            <w:r w:rsidRPr="00660090">
              <w:t>–</w:t>
            </w:r>
          </w:p>
        </w:tc>
        <w:tc>
          <w:tcPr>
            <w:tcW w:w="1418" w:type="dxa"/>
            <w:vAlign w:val="center"/>
          </w:tcPr>
          <w:p w14:paraId="139C97DF" w14:textId="77777777" w:rsidR="00660090" w:rsidRPr="00660090" w:rsidRDefault="00660090" w:rsidP="006C7A4C">
            <w:pPr>
              <w:spacing w:after="100" w:afterAutospacing="1" w:line="276" w:lineRule="auto"/>
              <w:jc w:val="center"/>
            </w:pPr>
            <w:r w:rsidRPr="00660090">
              <w:t>–</w:t>
            </w:r>
          </w:p>
        </w:tc>
      </w:tr>
      <w:tr w:rsidR="00660090" w:rsidRPr="00660090" w14:paraId="2E3149E2" w14:textId="77777777" w:rsidTr="006C7A4C">
        <w:trPr>
          <w:trHeight w:val="784"/>
        </w:trPr>
        <w:tc>
          <w:tcPr>
            <w:tcW w:w="567" w:type="dxa"/>
            <w:vMerge/>
          </w:tcPr>
          <w:p w14:paraId="00122772" w14:textId="77777777" w:rsidR="00660090" w:rsidRPr="00660090" w:rsidRDefault="00660090" w:rsidP="006C7A4C">
            <w:pPr>
              <w:spacing w:after="100" w:afterAutospacing="1" w:line="276" w:lineRule="auto"/>
              <w:jc w:val="both"/>
            </w:pPr>
          </w:p>
        </w:tc>
        <w:tc>
          <w:tcPr>
            <w:tcW w:w="284" w:type="dxa"/>
            <w:shd w:val="clear" w:color="auto" w:fill="E2EFD9" w:themeFill="accent6" w:themeFillTint="33"/>
          </w:tcPr>
          <w:p w14:paraId="537FEE7E" w14:textId="77777777" w:rsidR="00660090" w:rsidRPr="00660090" w:rsidRDefault="00660090" w:rsidP="006C7A4C">
            <w:pPr>
              <w:spacing w:after="100" w:afterAutospacing="1" w:line="276" w:lineRule="auto"/>
              <w:jc w:val="both"/>
            </w:pPr>
          </w:p>
        </w:tc>
        <w:tc>
          <w:tcPr>
            <w:tcW w:w="2977" w:type="dxa"/>
            <w:vAlign w:val="center"/>
          </w:tcPr>
          <w:p w14:paraId="6DED4CCF" w14:textId="77777777" w:rsidR="00660090" w:rsidRPr="00660090" w:rsidRDefault="00660090" w:rsidP="006C7A4C">
            <w:pPr>
              <w:spacing w:after="100" w:afterAutospacing="1" w:line="276" w:lineRule="auto"/>
              <w:jc w:val="cente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r>
                      <w:rPr>
                        <w:rFonts w:ascii="Cambria Math" w:hAnsi="Cambria Math"/>
                      </w:rPr>
                      <m:t>α</m:t>
                    </m:r>
                  </m:e>
                  <m:sub>
                    <m:r>
                      <w:rPr>
                        <w:rFonts w:ascii="Cambria Math" w:hAnsi="Cambria Math"/>
                      </w:rPr>
                      <m:t>L</m:t>
                    </m:r>
                  </m:sub>
                </m:sSub>
                <m:f>
                  <m:fPr>
                    <m:ctrlPr>
                      <w:rPr>
                        <w:rFonts w:ascii="Cambria Math" w:hAnsi="Cambria Math"/>
                        <w:i/>
                        <w:color w:val="000000"/>
                      </w:rPr>
                    </m:ctrlPr>
                  </m:fPr>
                  <m:num>
                    <m:r>
                      <w:rPr>
                        <w:rFonts w:ascii="Cambria Math" w:hAnsi="Cambria Math"/>
                        <w:color w:val="000000"/>
                      </w:rPr>
                      <m:t>L</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γL)</m:t>
                        </m:r>
                      </m:e>
                      <m:sup>
                        <m:r>
                          <w:rPr>
                            <w:rFonts w:ascii="Cambria Math" w:hAnsi="Cambria Math"/>
                            <w:color w:val="000000"/>
                          </w:rPr>
                          <m:t>β</m:t>
                        </m:r>
                      </m:sup>
                    </m:sSup>
                  </m:den>
                </m:f>
              </m:oMath>
            </m:oMathPara>
          </w:p>
        </w:tc>
        <w:tc>
          <w:tcPr>
            <w:tcW w:w="1275" w:type="dxa"/>
            <w:vAlign w:val="center"/>
          </w:tcPr>
          <w:p w14:paraId="43A8A466" w14:textId="77777777" w:rsidR="00660090" w:rsidRPr="00660090" w:rsidRDefault="00660090" w:rsidP="006C7A4C">
            <w:pPr>
              <w:ind w:left="113" w:right="113"/>
              <w:jc w:val="center"/>
            </w:pPr>
            <w:r w:rsidRPr="00660090">
              <w:t>152</w:t>
            </w:r>
          </w:p>
          <w:p w14:paraId="37B7B8FE" w14:textId="77777777" w:rsidR="00660090" w:rsidRPr="00660090" w:rsidRDefault="00660090" w:rsidP="006C7A4C">
            <w:pPr>
              <w:spacing w:after="100" w:afterAutospacing="1" w:line="276" w:lineRule="auto"/>
              <w:jc w:val="center"/>
            </w:pPr>
            <w:r w:rsidRPr="00660090">
              <w:rPr>
                <w:i/>
                <w:iCs/>
              </w:rPr>
              <w:t>(7.55)</w:t>
            </w:r>
          </w:p>
        </w:tc>
        <w:tc>
          <w:tcPr>
            <w:tcW w:w="1418" w:type="dxa"/>
            <w:vAlign w:val="center"/>
          </w:tcPr>
          <w:p w14:paraId="1E40BD3F" w14:textId="77777777" w:rsidR="00660090" w:rsidRPr="00660090" w:rsidRDefault="00660090" w:rsidP="006C7A4C">
            <w:pPr>
              <w:ind w:left="113" w:right="113"/>
              <w:jc w:val="center"/>
            </w:pPr>
            <w:r w:rsidRPr="00660090">
              <w:t>158</w:t>
            </w:r>
          </w:p>
          <w:p w14:paraId="34A8CC9D" w14:textId="77777777" w:rsidR="00660090" w:rsidRPr="00660090" w:rsidRDefault="00660090" w:rsidP="006C7A4C">
            <w:pPr>
              <w:spacing w:after="100" w:afterAutospacing="1" w:line="276" w:lineRule="auto"/>
              <w:jc w:val="center"/>
            </w:pPr>
            <w:r w:rsidRPr="00660090">
              <w:rPr>
                <w:i/>
                <w:iCs/>
              </w:rPr>
              <w:t>(2.87)</w:t>
            </w:r>
          </w:p>
        </w:tc>
        <w:tc>
          <w:tcPr>
            <w:tcW w:w="1276" w:type="dxa"/>
            <w:vAlign w:val="center"/>
          </w:tcPr>
          <w:p w14:paraId="4ABE7BC0" w14:textId="77777777" w:rsidR="00660090" w:rsidRPr="00660090" w:rsidRDefault="00660090" w:rsidP="006C7A4C">
            <w:pPr>
              <w:ind w:left="113" w:right="113"/>
              <w:jc w:val="center"/>
            </w:pPr>
            <w:r w:rsidRPr="00660090">
              <w:t>151</w:t>
            </w:r>
          </w:p>
          <w:p w14:paraId="089E50FE" w14:textId="77777777" w:rsidR="00660090" w:rsidRPr="00660090" w:rsidRDefault="00660090" w:rsidP="006C7A4C">
            <w:pPr>
              <w:spacing w:after="100" w:afterAutospacing="1" w:line="276" w:lineRule="auto"/>
              <w:jc w:val="center"/>
            </w:pPr>
            <w:r w:rsidRPr="00660090">
              <w:rPr>
                <w:i/>
                <w:iCs/>
              </w:rPr>
              <w:t>(21.16)</w:t>
            </w:r>
          </w:p>
        </w:tc>
        <w:tc>
          <w:tcPr>
            <w:tcW w:w="1275" w:type="dxa"/>
            <w:vAlign w:val="center"/>
          </w:tcPr>
          <w:p w14:paraId="3C95C464" w14:textId="77777777" w:rsidR="00660090" w:rsidRPr="00660090" w:rsidRDefault="00660090" w:rsidP="006C7A4C">
            <w:pPr>
              <w:ind w:left="113" w:right="113"/>
              <w:jc w:val="center"/>
            </w:pPr>
            <w:r w:rsidRPr="00660090">
              <w:t>156</w:t>
            </w:r>
          </w:p>
          <w:p w14:paraId="589BF8EF" w14:textId="77777777" w:rsidR="00660090" w:rsidRPr="00660090" w:rsidRDefault="00660090" w:rsidP="006C7A4C">
            <w:pPr>
              <w:spacing w:after="100" w:afterAutospacing="1" w:line="276" w:lineRule="auto"/>
              <w:jc w:val="center"/>
            </w:pPr>
            <w:r w:rsidRPr="00660090">
              <w:rPr>
                <w:i/>
                <w:iCs/>
              </w:rPr>
              <w:t>(3.17)</w:t>
            </w:r>
          </w:p>
        </w:tc>
        <w:tc>
          <w:tcPr>
            <w:tcW w:w="2127" w:type="dxa"/>
            <w:vAlign w:val="center"/>
          </w:tcPr>
          <w:p w14:paraId="72A9C309" w14:textId="77777777" w:rsidR="00660090" w:rsidRPr="00660090" w:rsidRDefault="00660090" w:rsidP="006C7A4C">
            <w:pPr>
              <w:spacing w:after="100" w:afterAutospacing="1" w:line="276" w:lineRule="auto"/>
              <w:jc w:val="center"/>
            </w:pPr>
            <w:r w:rsidRPr="00660090">
              <w:t>–</w:t>
            </w:r>
          </w:p>
        </w:tc>
        <w:tc>
          <w:tcPr>
            <w:tcW w:w="1984" w:type="dxa"/>
            <w:vAlign w:val="center"/>
          </w:tcPr>
          <w:p w14:paraId="75AC24C8" w14:textId="77777777" w:rsidR="00660090" w:rsidRPr="00660090" w:rsidRDefault="00660090" w:rsidP="006C7A4C">
            <w:pPr>
              <w:spacing w:after="100" w:afterAutospacing="1" w:line="276" w:lineRule="auto"/>
              <w:jc w:val="center"/>
            </w:pPr>
            <w:r w:rsidRPr="00660090">
              <w:t>–</w:t>
            </w:r>
          </w:p>
        </w:tc>
        <w:tc>
          <w:tcPr>
            <w:tcW w:w="1418" w:type="dxa"/>
            <w:vAlign w:val="center"/>
          </w:tcPr>
          <w:p w14:paraId="680BF7E0" w14:textId="77777777" w:rsidR="00660090" w:rsidRPr="00660090" w:rsidRDefault="00660090" w:rsidP="006C7A4C">
            <w:pPr>
              <w:spacing w:after="100" w:afterAutospacing="1" w:line="276" w:lineRule="auto"/>
              <w:jc w:val="center"/>
            </w:pPr>
            <w:r w:rsidRPr="00660090">
              <w:t>–</w:t>
            </w:r>
          </w:p>
        </w:tc>
      </w:tr>
      <w:tr w:rsidR="00660090" w:rsidRPr="00660090" w14:paraId="27E8ECC6" w14:textId="77777777" w:rsidTr="006C7A4C">
        <w:trPr>
          <w:trHeight w:val="696"/>
        </w:trPr>
        <w:tc>
          <w:tcPr>
            <w:tcW w:w="567" w:type="dxa"/>
            <w:vMerge/>
          </w:tcPr>
          <w:p w14:paraId="33EC2018" w14:textId="77777777" w:rsidR="00660090" w:rsidRPr="00660090" w:rsidRDefault="00660090" w:rsidP="006C7A4C">
            <w:pPr>
              <w:spacing w:after="100" w:afterAutospacing="1" w:line="276" w:lineRule="auto"/>
              <w:jc w:val="both"/>
            </w:pPr>
          </w:p>
        </w:tc>
        <w:tc>
          <w:tcPr>
            <w:tcW w:w="284" w:type="dxa"/>
            <w:shd w:val="clear" w:color="auto" w:fill="A8D08D" w:themeFill="accent6" w:themeFillTint="99"/>
          </w:tcPr>
          <w:p w14:paraId="04980D04" w14:textId="77777777" w:rsidR="00660090" w:rsidRPr="00660090" w:rsidRDefault="00660090" w:rsidP="006C7A4C">
            <w:pPr>
              <w:spacing w:after="100" w:afterAutospacing="1" w:line="276" w:lineRule="auto"/>
              <w:jc w:val="both"/>
            </w:pPr>
          </w:p>
        </w:tc>
        <w:tc>
          <w:tcPr>
            <w:tcW w:w="2977" w:type="dxa"/>
            <w:vAlign w:val="center"/>
          </w:tcPr>
          <w:p w14:paraId="58381331" w14:textId="77777777" w:rsidR="00660090" w:rsidRPr="00660090" w:rsidRDefault="00660090" w:rsidP="006C7A4C">
            <w:pPr>
              <w:spacing w:after="100" w:afterAutospacing="1" w:line="276" w:lineRule="auto"/>
              <w:jc w:val="cente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f>
                  <m:fPr>
                    <m:ctrlPr>
                      <w:rPr>
                        <w:rFonts w:ascii="Cambria Math" w:hAnsi="Cambria Math"/>
                        <w:i/>
                        <w:color w:val="000000"/>
                      </w:rPr>
                    </m:ctrlPr>
                  </m:fPr>
                  <m:num>
                    <m:r>
                      <w:rPr>
                        <w:rFonts w:ascii="Cambria Math" w:hAnsi="Cambria Math"/>
                        <w:color w:val="000000"/>
                      </w:rPr>
                      <m:t>L</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γ</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r>
                          <w:rPr>
                            <w:rFonts w:ascii="Cambria Math" w:hAnsi="Cambria Math"/>
                            <w:color w:val="000000"/>
                          </w:rPr>
                          <m:t>L)</m:t>
                        </m:r>
                      </m:e>
                      <m:sup>
                        <m:r>
                          <w:rPr>
                            <w:rFonts w:ascii="Cambria Math" w:hAnsi="Cambria Math"/>
                            <w:color w:val="000000"/>
                          </w:rPr>
                          <m:t>β</m:t>
                        </m:r>
                      </m:sup>
                    </m:sSup>
                  </m:den>
                </m:f>
              </m:oMath>
            </m:oMathPara>
          </w:p>
        </w:tc>
        <w:tc>
          <w:tcPr>
            <w:tcW w:w="1275" w:type="dxa"/>
            <w:shd w:val="clear" w:color="auto" w:fill="FFD966" w:themeFill="accent4" w:themeFillTint="99"/>
            <w:vAlign w:val="center"/>
          </w:tcPr>
          <w:p w14:paraId="7A45163D" w14:textId="77777777" w:rsidR="00660090" w:rsidRPr="00660090" w:rsidRDefault="00660090" w:rsidP="006C7A4C">
            <w:pPr>
              <w:ind w:left="113" w:right="113"/>
              <w:jc w:val="center"/>
            </w:pPr>
            <w:r w:rsidRPr="00660090">
              <w:t>41</w:t>
            </w:r>
          </w:p>
          <w:p w14:paraId="47732163" w14:textId="77777777" w:rsidR="00660090" w:rsidRPr="00660090" w:rsidRDefault="00660090" w:rsidP="006C7A4C">
            <w:pPr>
              <w:spacing w:after="100" w:afterAutospacing="1" w:line="276" w:lineRule="auto"/>
              <w:jc w:val="center"/>
            </w:pPr>
            <w:r w:rsidRPr="00660090">
              <w:rPr>
                <w:i/>
                <w:iCs/>
              </w:rPr>
              <w:t>(2.74)</w:t>
            </w:r>
          </w:p>
        </w:tc>
        <w:tc>
          <w:tcPr>
            <w:tcW w:w="1418" w:type="dxa"/>
            <w:vAlign w:val="center"/>
          </w:tcPr>
          <w:p w14:paraId="26D4BD4A" w14:textId="77777777" w:rsidR="00660090" w:rsidRPr="00660090" w:rsidRDefault="00660090" w:rsidP="006C7A4C">
            <w:pPr>
              <w:jc w:val="center"/>
            </w:pPr>
            <w:r w:rsidRPr="00660090">
              <w:t>46</w:t>
            </w:r>
          </w:p>
          <w:p w14:paraId="4A6E900E" w14:textId="77777777" w:rsidR="00660090" w:rsidRPr="00660090" w:rsidRDefault="00660090" w:rsidP="006C7A4C">
            <w:pPr>
              <w:jc w:val="center"/>
              <w:rPr>
                <w:i/>
                <w:iCs/>
              </w:rPr>
            </w:pPr>
            <w:r w:rsidRPr="00660090">
              <w:rPr>
                <w:i/>
                <w:iCs/>
              </w:rPr>
              <w:t>(6.74)</w:t>
            </w:r>
          </w:p>
        </w:tc>
        <w:tc>
          <w:tcPr>
            <w:tcW w:w="1276" w:type="dxa"/>
            <w:vAlign w:val="center"/>
          </w:tcPr>
          <w:p w14:paraId="0E995091" w14:textId="77777777" w:rsidR="00660090" w:rsidRPr="00660090" w:rsidRDefault="00660090" w:rsidP="006C7A4C">
            <w:pPr>
              <w:jc w:val="center"/>
            </w:pPr>
            <w:r w:rsidRPr="00660090">
              <w:t>5</w:t>
            </w:r>
          </w:p>
          <w:p w14:paraId="2AB4783C" w14:textId="77777777" w:rsidR="00660090" w:rsidRPr="00660090" w:rsidRDefault="00660090" w:rsidP="006C7A4C">
            <w:pPr>
              <w:jc w:val="center"/>
              <w:rPr>
                <w:i/>
                <w:iCs/>
              </w:rPr>
            </w:pPr>
            <w:r w:rsidRPr="00660090">
              <w:rPr>
                <w:i/>
                <w:iCs/>
              </w:rPr>
              <w:t>(1.1)</w:t>
            </w:r>
          </w:p>
        </w:tc>
        <w:tc>
          <w:tcPr>
            <w:tcW w:w="1275" w:type="dxa"/>
            <w:vAlign w:val="center"/>
          </w:tcPr>
          <w:p w14:paraId="68755A0E" w14:textId="77777777" w:rsidR="00660090" w:rsidRPr="00660090" w:rsidRDefault="00660090" w:rsidP="006C7A4C">
            <w:pPr>
              <w:jc w:val="center"/>
            </w:pPr>
            <w:r w:rsidRPr="00660090">
              <w:t>46</w:t>
            </w:r>
          </w:p>
          <w:p w14:paraId="790CB721" w14:textId="77777777" w:rsidR="00660090" w:rsidRPr="00660090" w:rsidRDefault="00660090" w:rsidP="006C7A4C">
            <w:pPr>
              <w:jc w:val="center"/>
              <w:rPr>
                <w:i/>
                <w:iCs/>
              </w:rPr>
            </w:pPr>
            <w:r w:rsidRPr="00660090">
              <w:rPr>
                <w:i/>
                <w:iCs/>
              </w:rPr>
              <w:t>(5.56)</w:t>
            </w:r>
          </w:p>
        </w:tc>
        <w:tc>
          <w:tcPr>
            <w:tcW w:w="2127" w:type="dxa"/>
            <w:vAlign w:val="center"/>
          </w:tcPr>
          <w:p w14:paraId="77DA6A57" w14:textId="77777777" w:rsidR="00660090" w:rsidRPr="00660090" w:rsidRDefault="00660090" w:rsidP="006C7A4C">
            <w:pPr>
              <w:jc w:val="center"/>
            </w:pPr>
            <w:r w:rsidRPr="00660090">
              <w:t>151</w:t>
            </w:r>
          </w:p>
          <w:p w14:paraId="112E8777" w14:textId="77777777" w:rsidR="00660090" w:rsidRPr="00660090" w:rsidRDefault="00660090" w:rsidP="006C7A4C">
            <w:pPr>
              <w:jc w:val="center"/>
              <w:rPr>
                <w:i/>
                <w:iCs/>
              </w:rPr>
            </w:pPr>
            <w:r w:rsidRPr="00660090">
              <w:rPr>
                <w:i/>
                <w:iCs/>
              </w:rPr>
              <w:t>(2.74)</w:t>
            </w:r>
          </w:p>
        </w:tc>
        <w:tc>
          <w:tcPr>
            <w:tcW w:w="1984" w:type="dxa"/>
            <w:vAlign w:val="center"/>
          </w:tcPr>
          <w:p w14:paraId="410F9D72" w14:textId="77777777" w:rsidR="00660090" w:rsidRPr="00660090" w:rsidRDefault="00660090" w:rsidP="006C7A4C">
            <w:pPr>
              <w:jc w:val="center"/>
            </w:pPr>
            <w:r w:rsidRPr="00660090">
              <w:t>–</w:t>
            </w:r>
          </w:p>
        </w:tc>
        <w:tc>
          <w:tcPr>
            <w:tcW w:w="1418" w:type="dxa"/>
            <w:vAlign w:val="center"/>
          </w:tcPr>
          <w:p w14:paraId="0F18079E" w14:textId="77777777" w:rsidR="00660090" w:rsidRPr="00660090" w:rsidRDefault="00660090" w:rsidP="006C7A4C">
            <w:pPr>
              <w:spacing w:after="100" w:afterAutospacing="1" w:line="276" w:lineRule="auto"/>
              <w:jc w:val="center"/>
            </w:pPr>
            <w:r w:rsidRPr="00660090">
              <w:t>–</w:t>
            </w:r>
          </w:p>
        </w:tc>
      </w:tr>
      <w:tr w:rsidR="00660090" w:rsidRPr="00660090" w14:paraId="7CC745CB" w14:textId="77777777" w:rsidTr="006C7A4C">
        <w:trPr>
          <w:trHeight w:val="548"/>
        </w:trPr>
        <w:tc>
          <w:tcPr>
            <w:tcW w:w="567" w:type="dxa"/>
            <w:vMerge/>
          </w:tcPr>
          <w:p w14:paraId="2DD0407F" w14:textId="77777777" w:rsidR="00660090" w:rsidRPr="00660090" w:rsidRDefault="00660090" w:rsidP="006C7A4C">
            <w:pPr>
              <w:spacing w:after="100" w:afterAutospacing="1" w:line="276" w:lineRule="auto"/>
              <w:jc w:val="both"/>
            </w:pPr>
          </w:p>
        </w:tc>
        <w:tc>
          <w:tcPr>
            <w:tcW w:w="284" w:type="dxa"/>
            <w:shd w:val="clear" w:color="auto" w:fill="538135" w:themeFill="accent6" w:themeFillShade="BF"/>
          </w:tcPr>
          <w:p w14:paraId="29471670" w14:textId="77777777" w:rsidR="00660090" w:rsidRPr="00660090" w:rsidRDefault="00660090" w:rsidP="006C7A4C">
            <w:pPr>
              <w:spacing w:after="100" w:afterAutospacing="1" w:line="276" w:lineRule="auto"/>
              <w:jc w:val="both"/>
            </w:pPr>
          </w:p>
        </w:tc>
        <w:tc>
          <w:tcPr>
            <w:tcW w:w="2977" w:type="dxa"/>
            <w:vAlign w:val="center"/>
          </w:tcPr>
          <w:p w14:paraId="27349969" w14:textId="77777777" w:rsidR="00660090" w:rsidRPr="00660090" w:rsidRDefault="00660090" w:rsidP="006C7A4C">
            <w:pPr>
              <w:spacing w:after="100" w:afterAutospacing="1" w:line="276" w:lineRule="auto"/>
              <w:jc w:val="cente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P</m:t>
                </m:r>
              </m:oMath>
            </m:oMathPara>
          </w:p>
        </w:tc>
        <w:tc>
          <w:tcPr>
            <w:tcW w:w="1275" w:type="dxa"/>
            <w:vAlign w:val="center"/>
          </w:tcPr>
          <w:p w14:paraId="27EE1901" w14:textId="77777777" w:rsidR="00660090" w:rsidRPr="00660090" w:rsidRDefault="00660090" w:rsidP="006C7A4C">
            <w:pPr>
              <w:ind w:left="113" w:right="113"/>
              <w:jc w:val="center"/>
            </w:pPr>
            <w:r w:rsidRPr="00660090">
              <w:t>43</w:t>
            </w:r>
          </w:p>
          <w:p w14:paraId="7441F641" w14:textId="77777777" w:rsidR="00660090" w:rsidRPr="00660090" w:rsidRDefault="00660090" w:rsidP="006C7A4C">
            <w:pPr>
              <w:spacing w:after="100" w:afterAutospacing="1" w:line="276" w:lineRule="auto"/>
              <w:jc w:val="center"/>
            </w:pPr>
            <w:r w:rsidRPr="00660090">
              <w:rPr>
                <w:i/>
                <w:iCs/>
              </w:rPr>
              <w:t>(5.14)</w:t>
            </w:r>
          </w:p>
        </w:tc>
        <w:tc>
          <w:tcPr>
            <w:tcW w:w="1418" w:type="dxa"/>
            <w:vAlign w:val="center"/>
          </w:tcPr>
          <w:p w14:paraId="219112FA" w14:textId="77777777" w:rsidR="00660090" w:rsidRPr="00660090" w:rsidRDefault="00660090" w:rsidP="006C7A4C">
            <w:pPr>
              <w:ind w:left="113" w:right="113"/>
              <w:jc w:val="center"/>
            </w:pPr>
            <w:r w:rsidRPr="00660090">
              <w:t>47</w:t>
            </w:r>
          </w:p>
          <w:p w14:paraId="5591C1EF" w14:textId="77777777" w:rsidR="00660090" w:rsidRPr="00660090" w:rsidRDefault="00660090" w:rsidP="006C7A4C">
            <w:pPr>
              <w:jc w:val="center"/>
            </w:pPr>
            <w:r w:rsidRPr="00660090">
              <w:rPr>
                <w:i/>
                <w:iCs/>
              </w:rPr>
              <w:t>(12.25)</w:t>
            </w:r>
          </w:p>
        </w:tc>
        <w:tc>
          <w:tcPr>
            <w:tcW w:w="1276" w:type="dxa"/>
            <w:vAlign w:val="center"/>
          </w:tcPr>
          <w:p w14:paraId="53C9C1BE" w14:textId="77777777" w:rsidR="00660090" w:rsidRPr="00660090" w:rsidRDefault="00660090" w:rsidP="006C7A4C">
            <w:pPr>
              <w:ind w:left="113" w:right="113"/>
              <w:jc w:val="center"/>
            </w:pPr>
            <w:r w:rsidRPr="00660090">
              <w:t>33</w:t>
            </w:r>
          </w:p>
          <w:p w14:paraId="7E1A80A5" w14:textId="77777777" w:rsidR="00660090" w:rsidRPr="00660090" w:rsidRDefault="00660090" w:rsidP="006C7A4C">
            <w:pPr>
              <w:jc w:val="center"/>
            </w:pPr>
            <w:r w:rsidRPr="00660090">
              <w:rPr>
                <w:i/>
                <w:iCs/>
              </w:rPr>
              <w:t>(1.92)</w:t>
            </w:r>
          </w:p>
        </w:tc>
        <w:tc>
          <w:tcPr>
            <w:tcW w:w="1275" w:type="dxa"/>
            <w:vAlign w:val="center"/>
          </w:tcPr>
          <w:p w14:paraId="59C625FD" w14:textId="77777777" w:rsidR="00660090" w:rsidRPr="00660090" w:rsidRDefault="00660090" w:rsidP="006C7A4C">
            <w:pPr>
              <w:ind w:left="113" w:right="113"/>
              <w:jc w:val="center"/>
            </w:pPr>
            <w:r w:rsidRPr="00660090">
              <w:t>47</w:t>
            </w:r>
          </w:p>
          <w:p w14:paraId="21AC320E" w14:textId="77777777" w:rsidR="00660090" w:rsidRPr="00660090" w:rsidRDefault="00660090" w:rsidP="006C7A4C">
            <w:pPr>
              <w:jc w:val="center"/>
            </w:pPr>
            <w:r w:rsidRPr="00660090">
              <w:rPr>
                <w:i/>
                <w:iCs/>
              </w:rPr>
              <w:t>(10)</w:t>
            </w:r>
          </w:p>
        </w:tc>
        <w:tc>
          <w:tcPr>
            <w:tcW w:w="2127" w:type="dxa"/>
            <w:vAlign w:val="center"/>
          </w:tcPr>
          <w:p w14:paraId="66090013" w14:textId="77777777" w:rsidR="00660090" w:rsidRPr="00660090" w:rsidRDefault="00660090" w:rsidP="006C7A4C">
            <w:pPr>
              <w:ind w:left="113" w:right="113"/>
              <w:jc w:val="center"/>
            </w:pPr>
            <w:r w:rsidRPr="00660090">
              <w:t>146</w:t>
            </w:r>
          </w:p>
          <w:p w14:paraId="0254D390" w14:textId="77777777" w:rsidR="00660090" w:rsidRPr="00660090" w:rsidRDefault="00660090" w:rsidP="006C7A4C">
            <w:pPr>
              <w:jc w:val="center"/>
            </w:pPr>
            <w:r w:rsidRPr="00660090">
              <w:rPr>
                <w:i/>
                <w:iCs/>
              </w:rPr>
              <w:t>(1.44)</w:t>
            </w:r>
          </w:p>
        </w:tc>
        <w:tc>
          <w:tcPr>
            <w:tcW w:w="1984" w:type="dxa"/>
            <w:vAlign w:val="center"/>
          </w:tcPr>
          <w:p w14:paraId="0B44FC0E" w14:textId="77777777" w:rsidR="00660090" w:rsidRPr="00660090" w:rsidRDefault="00660090" w:rsidP="006C7A4C">
            <w:pPr>
              <w:jc w:val="center"/>
            </w:pPr>
            <w:r w:rsidRPr="00660090">
              <w:t>42</w:t>
            </w:r>
          </w:p>
          <w:p w14:paraId="7086562A" w14:textId="77777777" w:rsidR="00660090" w:rsidRPr="00660090" w:rsidRDefault="00660090" w:rsidP="006C7A4C">
            <w:pPr>
              <w:jc w:val="center"/>
              <w:rPr>
                <w:i/>
                <w:iCs/>
              </w:rPr>
            </w:pPr>
            <w:r w:rsidRPr="00660090">
              <w:rPr>
                <w:i/>
                <w:iCs/>
              </w:rPr>
              <w:t>(13.95)</w:t>
            </w:r>
          </w:p>
        </w:tc>
        <w:tc>
          <w:tcPr>
            <w:tcW w:w="1418" w:type="dxa"/>
            <w:vAlign w:val="center"/>
          </w:tcPr>
          <w:p w14:paraId="6CA4791D" w14:textId="77777777" w:rsidR="00660090" w:rsidRPr="00660090" w:rsidRDefault="00660090" w:rsidP="006C7A4C">
            <w:pPr>
              <w:spacing w:after="100" w:afterAutospacing="1" w:line="276" w:lineRule="auto"/>
              <w:jc w:val="center"/>
            </w:pPr>
            <w:r w:rsidRPr="00660090">
              <w:t>–</w:t>
            </w:r>
          </w:p>
        </w:tc>
      </w:tr>
      <w:tr w:rsidR="00660090" w:rsidRPr="00660090" w14:paraId="0C174A35" w14:textId="77777777" w:rsidTr="006C7A4C">
        <w:trPr>
          <w:trHeight w:val="1523"/>
        </w:trPr>
        <w:tc>
          <w:tcPr>
            <w:tcW w:w="567" w:type="dxa"/>
            <w:vMerge/>
          </w:tcPr>
          <w:p w14:paraId="03CD6B1F" w14:textId="77777777" w:rsidR="00660090" w:rsidRPr="00660090" w:rsidRDefault="00660090" w:rsidP="006C7A4C">
            <w:pPr>
              <w:spacing w:after="100" w:afterAutospacing="1" w:line="276" w:lineRule="auto"/>
              <w:jc w:val="both"/>
            </w:pPr>
          </w:p>
        </w:tc>
        <w:tc>
          <w:tcPr>
            <w:tcW w:w="284" w:type="dxa"/>
            <w:shd w:val="clear" w:color="auto" w:fill="9CC2E5" w:themeFill="accent5" w:themeFillTint="99"/>
          </w:tcPr>
          <w:p w14:paraId="7A9326CD" w14:textId="77777777" w:rsidR="00660090" w:rsidRPr="00660090" w:rsidRDefault="00660090" w:rsidP="006C7A4C">
            <w:pPr>
              <w:spacing w:after="100" w:afterAutospacing="1" w:line="276" w:lineRule="auto"/>
              <w:jc w:val="both"/>
            </w:pPr>
          </w:p>
        </w:tc>
        <w:tc>
          <w:tcPr>
            <w:tcW w:w="2977" w:type="dxa"/>
            <w:vAlign w:val="center"/>
          </w:tcPr>
          <w:p w14:paraId="7A447C8E" w14:textId="77777777" w:rsidR="00660090" w:rsidRPr="00660090" w:rsidRDefault="00660090" w:rsidP="006C7A4C">
            <w:pPr>
              <w:jc w:val="center"/>
            </w:pPr>
            <m:oMathPara>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P</m:t>
                </m:r>
              </m:oMath>
            </m:oMathPara>
          </w:p>
          <w:p w14:paraId="306B5DFB" w14:textId="77777777" w:rsidR="00660090" w:rsidRPr="00660090" w:rsidRDefault="00660090" w:rsidP="006C7A4C">
            <w:pPr>
              <w:jc w:val="center"/>
            </w:pPr>
            <w:r w:rsidRPr="00660090">
              <w:t>&amp;</w:t>
            </w:r>
          </w:p>
          <w:p w14:paraId="22012C8B" w14:textId="77777777" w:rsidR="00660090" w:rsidRPr="00660090" w:rsidRDefault="00660090" w:rsidP="006C7A4C">
            <w:pPr>
              <w:jc w:val="center"/>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b/>
                        <w:bCs/>
                        <w:i/>
                        <w:color w:val="000000"/>
                      </w:rPr>
                    </m:ctrlPr>
                  </m:sSubPr>
                  <m:e>
                    <m:r>
                      <m:rPr>
                        <m:sty m:val="bi"/>
                      </m:rPr>
                      <w:rPr>
                        <w:rFonts w:ascii="Cambria Math" w:hAnsi="Cambria Math"/>
                        <w:color w:val="000000"/>
                      </w:rPr>
                      <m:t>f</m:t>
                    </m:r>
                  </m:e>
                  <m:sub>
                    <m:r>
                      <m:rPr>
                        <m:sty m:val="bi"/>
                      </m:rPr>
                      <w:rPr>
                        <w:rFonts w:ascii="Cambria Math" w:hAnsi="Cambria Math"/>
                        <w:color w:val="000000"/>
                      </w:rPr>
                      <m:t>K</m:t>
                    </m:r>
                  </m:sub>
                </m:sSub>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P</m:t>
                </m:r>
              </m:oMath>
            </m:oMathPara>
          </w:p>
        </w:tc>
        <w:tc>
          <w:tcPr>
            <w:tcW w:w="1275" w:type="dxa"/>
            <w:vAlign w:val="center"/>
          </w:tcPr>
          <w:p w14:paraId="2216997A" w14:textId="77777777" w:rsidR="00660090" w:rsidRPr="00660090" w:rsidRDefault="00660090" w:rsidP="006C7A4C">
            <w:pPr>
              <w:ind w:left="113" w:right="113"/>
              <w:jc w:val="center"/>
            </w:pPr>
            <w:r w:rsidRPr="00660090">
              <w:t>153</w:t>
            </w:r>
          </w:p>
          <w:p w14:paraId="580AB403" w14:textId="77777777" w:rsidR="00660090" w:rsidRPr="00660090" w:rsidRDefault="00660090" w:rsidP="006C7A4C">
            <w:pPr>
              <w:spacing w:after="100" w:afterAutospacing="1" w:line="276" w:lineRule="auto"/>
              <w:jc w:val="center"/>
            </w:pPr>
            <w:r w:rsidRPr="00660090">
              <w:rPr>
                <w:i/>
                <w:iCs/>
              </w:rPr>
              <w:t>(7.55)</w:t>
            </w:r>
          </w:p>
        </w:tc>
        <w:tc>
          <w:tcPr>
            <w:tcW w:w="1418" w:type="dxa"/>
            <w:vAlign w:val="center"/>
          </w:tcPr>
          <w:p w14:paraId="2DA8B700" w14:textId="77777777" w:rsidR="00660090" w:rsidRPr="00660090" w:rsidRDefault="00660090" w:rsidP="006C7A4C">
            <w:pPr>
              <w:jc w:val="center"/>
            </w:pPr>
            <w:r w:rsidRPr="00660090">
              <w:t>160</w:t>
            </w:r>
          </w:p>
          <w:p w14:paraId="3C8141A8" w14:textId="77777777" w:rsidR="00660090" w:rsidRPr="00660090" w:rsidRDefault="00660090" w:rsidP="006C7A4C">
            <w:pPr>
              <w:jc w:val="center"/>
              <w:rPr>
                <w:i/>
                <w:iCs/>
              </w:rPr>
            </w:pPr>
            <w:r w:rsidRPr="00660090">
              <w:rPr>
                <w:i/>
                <w:iCs/>
              </w:rPr>
              <w:t>(2.89)</w:t>
            </w:r>
          </w:p>
        </w:tc>
        <w:tc>
          <w:tcPr>
            <w:tcW w:w="1276" w:type="dxa"/>
            <w:vAlign w:val="center"/>
          </w:tcPr>
          <w:p w14:paraId="45C0AEE2" w14:textId="77777777" w:rsidR="00660090" w:rsidRPr="00660090" w:rsidRDefault="00660090" w:rsidP="006C7A4C">
            <w:pPr>
              <w:jc w:val="center"/>
            </w:pPr>
            <w:r w:rsidRPr="00660090">
              <w:t>151</w:t>
            </w:r>
          </w:p>
          <w:p w14:paraId="0C0200AD" w14:textId="77777777" w:rsidR="00660090" w:rsidRPr="00660090" w:rsidRDefault="00660090" w:rsidP="006C7A4C">
            <w:pPr>
              <w:jc w:val="center"/>
              <w:rPr>
                <w:i/>
                <w:iCs/>
              </w:rPr>
            </w:pPr>
            <w:r w:rsidRPr="00660090">
              <w:rPr>
                <w:i/>
                <w:iCs/>
              </w:rPr>
              <w:t>(21.12)</w:t>
            </w:r>
          </w:p>
        </w:tc>
        <w:tc>
          <w:tcPr>
            <w:tcW w:w="1275" w:type="dxa"/>
            <w:vAlign w:val="center"/>
          </w:tcPr>
          <w:p w14:paraId="43E0A7E4" w14:textId="77777777" w:rsidR="00660090" w:rsidRPr="00660090" w:rsidRDefault="00660090" w:rsidP="006C7A4C">
            <w:pPr>
              <w:jc w:val="center"/>
            </w:pPr>
            <w:r w:rsidRPr="00660090">
              <w:t>158</w:t>
            </w:r>
          </w:p>
          <w:p w14:paraId="1C95B4C4" w14:textId="77777777" w:rsidR="00660090" w:rsidRPr="00660090" w:rsidRDefault="00660090" w:rsidP="006C7A4C">
            <w:pPr>
              <w:jc w:val="center"/>
              <w:rPr>
                <w:i/>
                <w:iCs/>
              </w:rPr>
            </w:pPr>
            <w:r w:rsidRPr="00660090">
              <w:rPr>
                <w:i/>
                <w:iCs/>
              </w:rPr>
              <w:t>(3.18)</w:t>
            </w:r>
          </w:p>
        </w:tc>
        <w:tc>
          <w:tcPr>
            <w:tcW w:w="2127" w:type="dxa"/>
            <w:vAlign w:val="center"/>
          </w:tcPr>
          <w:p w14:paraId="36447C00" w14:textId="77777777" w:rsidR="00660090" w:rsidRPr="00660090" w:rsidRDefault="00660090" w:rsidP="006C7A4C">
            <w:pPr>
              <w:jc w:val="center"/>
            </w:pPr>
            <w:r w:rsidRPr="00660090">
              <w:t>153</w:t>
            </w:r>
          </w:p>
          <w:p w14:paraId="7C55D9B3" w14:textId="77777777" w:rsidR="00660090" w:rsidRPr="00660090" w:rsidRDefault="00660090" w:rsidP="006C7A4C">
            <w:pPr>
              <w:jc w:val="center"/>
              <w:rPr>
                <w:i/>
                <w:iCs/>
              </w:rPr>
            </w:pPr>
            <w:r w:rsidRPr="00660090">
              <w:rPr>
                <w:i/>
                <w:iCs/>
              </w:rPr>
              <w:t>(65.78)</w:t>
            </w:r>
          </w:p>
        </w:tc>
        <w:tc>
          <w:tcPr>
            <w:tcW w:w="1984" w:type="dxa"/>
            <w:vAlign w:val="center"/>
          </w:tcPr>
          <w:p w14:paraId="048D8FBB" w14:textId="77777777" w:rsidR="00660090" w:rsidRPr="00660090" w:rsidRDefault="00660090" w:rsidP="006C7A4C">
            <w:pPr>
              <w:jc w:val="center"/>
            </w:pPr>
            <w:r w:rsidRPr="00660090">
              <w:t>153</w:t>
            </w:r>
          </w:p>
          <w:p w14:paraId="45CFBB65" w14:textId="77777777" w:rsidR="00660090" w:rsidRPr="00660090" w:rsidRDefault="00660090" w:rsidP="006C7A4C">
            <w:pPr>
              <w:jc w:val="center"/>
              <w:rPr>
                <w:i/>
                <w:iCs/>
              </w:rPr>
            </w:pPr>
            <w:r w:rsidRPr="00660090">
              <w:rPr>
                <w:i/>
                <w:iCs/>
              </w:rPr>
              <w:t>(2.74)</w:t>
            </w:r>
          </w:p>
        </w:tc>
        <w:tc>
          <w:tcPr>
            <w:tcW w:w="1418" w:type="dxa"/>
            <w:vAlign w:val="center"/>
          </w:tcPr>
          <w:p w14:paraId="4D54EFF3" w14:textId="77777777" w:rsidR="00660090" w:rsidRPr="00660090" w:rsidRDefault="00660090" w:rsidP="006C7A4C">
            <w:pPr>
              <w:ind w:left="113" w:right="113"/>
              <w:jc w:val="center"/>
            </w:pPr>
            <w:r w:rsidRPr="00660090">
              <w:t>158</w:t>
            </w:r>
          </w:p>
          <w:p w14:paraId="4E862A73" w14:textId="77777777" w:rsidR="00660090" w:rsidRPr="00660090" w:rsidRDefault="00660090" w:rsidP="006C7A4C">
            <w:pPr>
              <w:spacing w:after="100" w:afterAutospacing="1" w:line="276" w:lineRule="auto"/>
              <w:jc w:val="center"/>
            </w:pPr>
            <w:r w:rsidRPr="00660090">
              <w:rPr>
                <w:i/>
                <w:iCs/>
              </w:rPr>
              <w:t>(1.44)</w:t>
            </w:r>
          </w:p>
        </w:tc>
      </w:tr>
    </w:tbl>
    <w:p w14:paraId="74869137" w14:textId="38F67FDE" w:rsidR="00660090" w:rsidRPr="00660090" w:rsidRDefault="00660090" w:rsidP="00660090">
      <w:pPr>
        <w:spacing w:after="100" w:afterAutospacing="1" w:line="276" w:lineRule="auto"/>
        <w:jc w:val="both"/>
        <w:sectPr w:rsidR="00660090" w:rsidRPr="00660090" w:rsidSect="00E766AB">
          <w:pgSz w:w="16838" w:h="11906" w:orient="landscape"/>
          <w:pgMar w:top="1440" w:right="1440" w:bottom="1440" w:left="1440" w:header="709" w:footer="709" w:gutter="0"/>
          <w:cols w:space="708"/>
          <w:docGrid w:linePitch="360"/>
        </w:sectPr>
      </w:pPr>
      <w:r w:rsidRPr="00660090">
        <w:rPr>
          <w:b/>
          <w:bCs/>
        </w:rPr>
        <w:t>Supplementary Table 2. Seasonality sensitivity analysis.</w:t>
      </w:r>
      <w:r w:rsidRPr="00660090">
        <w:t xml:space="preserve"> Exploring placement of the seasonality function, comparing the number of days delay between peak mosquito population and peak precipitation and the proportion population increase from minimum to maximum (in brackets). The selected placement is highlighted yellow</w:t>
      </w:r>
    </w:p>
    <w:p w14:paraId="3BE9AC1C" w14:textId="77777777" w:rsidR="00660090" w:rsidRPr="00660090" w:rsidRDefault="00660090"/>
    <w:sectPr w:rsidR="00660090" w:rsidRPr="00660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3C4A" w14:textId="77777777" w:rsidR="00AF29A5" w:rsidRDefault="00AF29A5" w:rsidP="00660090">
      <w:r>
        <w:separator/>
      </w:r>
    </w:p>
  </w:endnote>
  <w:endnote w:type="continuationSeparator" w:id="0">
    <w:p w14:paraId="2F6261CD" w14:textId="77777777" w:rsidR="00AF29A5" w:rsidRDefault="00AF29A5" w:rsidP="00660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28216" w14:textId="77777777" w:rsidR="00AF29A5" w:rsidRDefault="00AF29A5" w:rsidP="00660090">
      <w:r>
        <w:separator/>
      </w:r>
    </w:p>
  </w:footnote>
  <w:footnote w:type="continuationSeparator" w:id="0">
    <w:p w14:paraId="67E159F8" w14:textId="77777777" w:rsidR="00AF29A5" w:rsidRDefault="00AF29A5" w:rsidP="00660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59"/>
    <w:rsid w:val="000618BB"/>
    <w:rsid w:val="00070515"/>
    <w:rsid w:val="00306502"/>
    <w:rsid w:val="00501859"/>
    <w:rsid w:val="00660090"/>
    <w:rsid w:val="008A4016"/>
    <w:rsid w:val="00AF2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B46804"/>
  <w15:chartTrackingRefBased/>
  <w15:docId w15:val="{D0C5125D-30F7-8241-BB00-4662798E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090"/>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090"/>
    <w:pPr>
      <w:tabs>
        <w:tab w:val="center" w:pos="4513"/>
        <w:tab w:val="right" w:pos="9026"/>
      </w:tabs>
    </w:pPr>
    <w:rPr>
      <w:lang w:val="en-GB"/>
    </w:rPr>
  </w:style>
  <w:style w:type="character" w:customStyle="1" w:styleId="HeaderChar">
    <w:name w:val="Header Char"/>
    <w:basedOn w:val="DefaultParagraphFont"/>
    <w:link w:val="Header"/>
    <w:uiPriority w:val="99"/>
    <w:rsid w:val="00660090"/>
    <w:rPr>
      <w:rFonts w:ascii="Times New Roman" w:eastAsia="Times New Roman" w:hAnsi="Times New Roman" w:cs="Times New Roman"/>
    </w:rPr>
  </w:style>
  <w:style w:type="paragraph" w:styleId="Footer">
    <w:name w:val="footer"/>
    <w:basedOn w:val="Normal"/>
    <w:link w:val="FooterChar"/>
    <w:uiPriority w:val="99"/>
    <w:unhideWhenUsed/>
    <w:rsid w:val="00660090"/>
    <w:pPr>
      <w:tabs>
        <w:tab w:val="center" w:pos="4513"/>
        <w:tab w:val="right" w:pos="9026"/>
      </w:tabs>
    </w:pPr>
    <w:rPr>
      <w:lang w:val="en-GB"/>
    </w:rPr>
  </w:style>
  <w:style w:type="character" w:customStyle="1" w:styleId="FooterChar">
    <w:name w:val="Footer Char"/>
    <w:basedOn w:val="DefaultParagraphFont"/>
    <w:link w:val="Footer"/>
    <w:uiPriority w:val="99"/>
    <w:rsid w:val="0066009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CBB5D054A3864B946A6A64E318A19D"/>
        <w:category>
          <w:name w:val="General"/>
          <w:gallery w:val="placeholder"/>
        </w:category>
        <w:types>
          <w:type w:val="bbPlcHdr"/>
        </w:types>
        <w:behaviors>
          <w:behavior w:val="content"/>
        </w:behaviors>
        <w:guid w:val="{5727B7AB-9193-FC41-9B2F-5E8428DDBA1E}"/>
      </w:docPartPr>
      <w:docPartBody>
        <w:p w:rsidR="00000000" w:rsidRDefault="00551072" w:rsidP="00551072">
          <w:pPr>
            <w:pStyle w:val="22CBB5D054A3864B946A6A64E318A19D"/>
          </w:pPr>
          <w:r w:rsidRPr="00196966">
            <w:rPr>
              <w:rStyle w:val="PlaceholderText"/>
            </w:rPr>
            <w:t>Click or tap here to enter text.</w:t>
          </w:r>
        </w:p>
      </w:docPartBody>
    </w:docPart>
    <w:docPart>
      <w:docPartPr>
        <w:name w:val="70AC5C0CEFA19D458FDB1C0230CA4D75"/>
        <w:category>
          <w:name w:val="General"/>
          <w:gallery w:val="placeholder"/>
        </w:category>
        <w:types>
          <w:type w:val="bbPlcHdr"/>
        </w:types>
        <w:behaviors>
          <w:behavior w:val="content"/>
        </w:behaviors>
        <w:guid w:val="{4B7BF28F-154D-F146-A880-7142D03C5C29}"/>
      </w:docPartPr>
      <w:docPartBody>
        <w:p w:rsidR="00000000" w:rsidRDefault="00551072" w:rsidP="00551072">
          <w:pPr>
            <w:pStyle w:val="70AC5C0CEFA19D458FDB1C0230CA4D75"/>
          </w:pPr>
          <w:r w:rsidRPr="00196966">
            <w:rPr>
              <w:rStyle w:val="PlaceholderText"/>
            </w:rPr>
            <w:t>Click or tap here to enter text.</w:t>
          </w:r>
        </w:p>
      </w:docPartBody>
    </w:docPart>
    <w:docPart>
      <w:docPartPr>
        <w:name w:val="48623967D352654FA1967583B8B746EB"/>
        <w:category>
          <w:name w:val="General"/>
          <w:gallery w:val="placeholder"/>
        </w:category>
        <w:types>
          <w:type w:val="bbPlcHdr"/>
        </w:types>
        <w:behaviors>
          <w:behavior w:val="content"/>
        </w:behaviors>
        <w:guid w:val="{BB7E7930-D096-7842-B96E-0460749F8FF9}"/>
      </w:docPartPr>
      <w:docPartBody>
        <w:p w:rsidR="00000000" w:rsidRDefault="00551072" w:rsidP="00551072">
          <w:pPr>
            <w:pStyle w:val="48623967D352654FA1967583B8B746EB"/>
          </w:pPr>
          <w:r w:rsidRPr="001969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72"/>
    <w:rsid w:val="004D2374"/>
    <w:rsid w:val="00551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1072"/>
    <w:rPr>
      <w:color w:val="808080"/>
    </w:rPr>
  </w:style>
  <w:style w:type="paragraph" w:customStyle="1" w:styleId="22CBB5D054A3864B946A6A64E318A19D">
    <w:name w:val="22CBB5D054A3864B946A6A64E318A19D"/>
    <w:rsid w:val="00551072"/>
  </w:style>
  <w:style w:type="paragraph" w:customStyle="1" w:styleId="70AC5C0CEFA19D458FDB1C0230CA4D75">
    <w:name w:val="70AC5C0CEFA19D458FDB1C0230CA4D75"/>
    <w:rsid w:val="00551072"/>
  </w:style>
  <w:style w:type="paragraph" w:customStyle="1" w:styleId="48623967D352654FA1967583B8B746EB">
    <w:name w:val="48623967D352654FA1967583B8B746EB"/>
    <w:rsid w:val="00551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Tiley, Katie</dc:creator>
  <cp:keywords/>
  <dc:description/>
  <cp:lastModifiedBy>Tiley, Katie</cp:lastModifiedBy>
  <cp:revision>3</cp:revision>
  <dcterms:created xsi:type="dcterms:W3CDTF">2023-01-11T12:05:00Z</dcterms:created>
  <dcterms:modified xsi:type="dcterms:W3CDTF">2023-01-11T12:13:00Z</dcterms:modified>
</cp:coreProperties>
</file>