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B6F6" w14:textId="77777777" w:rsidR="003275CE" w:rsidRDefault="003275CE"/>
    <w:p w14:paraId="1E7CB6F7" w14:textId="77777777" w:rsidR="003275CE" w:rsidRDefault="00806286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Ecological and Sociodemographic Characteristics of Individuals Stratified by Kinship Degree</w:t>
      </w:r>
      <w:r>
        <w:t>ᵃ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104"/>
        <w:gridCol w:w="2196"/>
        <w:gridCol w:w="2319"/>
        <w:gridCol w:w="2319"/>
        <w:gridCol w:w="2196"/>
        <w:gridCol w:w="2246"/>
      </w:tblGrid>
      <w:tr w:rsidR="003275CE" w14:paraId="1E7CB6FE" w14:textId="77777777">
        <w:trPr>
          <w:tblHeader/>
          <w:jc w:val="center"/>
        </w:trPr>
        <w:tc>
          <w:tcPr>
            <w:tcW w:w="41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6F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6F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(N=1903)</w:t>
            </w:r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6F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(N=308)</w:t>
            </w:r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6F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1-2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(N=623)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6F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3-4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(N=541)</w:t>
            </w:r>
          </w:p>
        </w:tc>
        <w:tc>
          <w:tcPr>
            <w:tcW w:w="22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6F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&gt;=5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(N=431)</w:t>
            </w:r>
          </w:p>
        </w:tc>
      </w:tr>
      <w:tr w:rsidR="003275CE" w14:paraId="1E7CB705" w14:textId="77777777">
        <w:trPr>
          <w:jc w:val="center"/>
        </w:trPr>
        <w:tc>
          <w:tcPr>
            <w:tcW w:w="41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6F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T. cruzi serostatus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0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1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2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3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4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0C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Negative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968 (50.9%)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120 (39.0%)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303 (48.6%)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298 (55.1%)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247 (57.3%)</w:t>
            </w:r>
          </w:p>
        </w:tc>
      </w:tr>
      <w:tr w:rsidR="003275CE" w14:paraId="1E7CB713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Positive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397 (20.9%)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0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62 (20.1%)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145 (23.3%)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107 (19.8%)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 (19.3%)</w:t>
            </w:r>
          </w:p>
        </w:tc>
      </w:tr>
      <w:tr w:rsidR="003275CE" w14:paraId="1E7CB71A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538 (28.3%)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126 (40.9%)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175 (28.1%)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136 (25.1%)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101 (23.4%)</w:t>
            </w:r>
          </w:p>
        </w:tc>
      </w:tr>
      <w:tr w:rsidR="003275CE" w14:paraId="1E7CB721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Age </w:t>
            </w:r>
            <w:commentRangeStart w:id="0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</w:t>
            </w:r>
            <w:commentRangeEnd w:id="0"/>
            <w:r w:rsidR="00FC02E2">
              <w:rPr>
                <w:rStyle w:val="CommentReference"/>
              </w:rPr>
              <w:commentReference w:id="0"/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 years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C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D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E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1F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0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28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21.6 (18.5)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24.2 (19.0)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22.8 (19.2)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20.8 (18.4)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19.1 (16.8)</w:t>
            </w:r>
          </w:p>
        </w:tc>
      </w:tr>
      <w:tr w:rsidR="003275CE" w14:paraId="1E7CB72F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15.5 [0, 86.2]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18.</w:t>
            </w:r>
            <w:commentRangeStart w:id="1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  <w:commentRangeEnd w:id="1"/>
            <w:r w:rsidR="00C95A35">
              <w:rPr>
                <w:rStyle w:val="CommentReference"/>
              </w:rPr>
              <w:commentReference w:id="1"/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[0.200, 86.2]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16.2 [0.114, 85.2]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13.8 [0, 83.2]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2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14.2 [0.0444, 79.2]</w:t>
            </w:r>
          </w:p>
        </w:tc>
      </w:tr>
      <w:tr w:rsidR="003275CE" w14:paraId="1E7CB736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(0.7%)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(1.0%)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(0.5%)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(0.9%)</w:t>
            </w:r>
          </w:p>
        </w:tc>
      </w:tr>
      <w:tr w:rsidR="003275CE" w14:paraId="1E7CB73D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8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9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A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B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C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44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Male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3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1000 (52.5%)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175 (56.8%)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328 (52.6%)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281 (51.9%)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216 (50.1%)</w:t>
            </w:r>
          </w:p>
        </w:tc>
      </w:tr>
      <w:tr w:rsidR="003275CE" w14:paraId="1E7CB74B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Female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903 (47.5%)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133 (43.2%)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295 (47.4%)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260 (48.1%)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215 (49.9%)</w:t>
            </w:r>
          </w:p>
        </w:tc>
      </w:tr>
      <w:tr w:rsidR="003275CE" w14:paraId="1E7CB752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Ethnicity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D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E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4F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0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1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59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Creole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150 (7.9%)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(18.5%)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 (11.4%)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(2.4%)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(2.1%)</w:t>
            </w:r>
          </w:p>
        </w:tc>
      </w:tr>
      <w:tr w:rsidR="003275CE" w14:paraId="1E7CB760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Qom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1753 (92.1%)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251 (81.5%)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552 (88.6%)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528 (97.6%)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5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422 (97.9%)</w:t>
            </w:r>
          </w:p>
        </w:tc>
      </w:tr>
      <w:tr w:rsidR="003275CE" w14:paraId="1E7CB767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Infected vector </w:t>
            </w:r>
            <w:commentRangeStart w:id="2"/>
            <w:commentRangeStart w:id="3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abundance</w:t>
            </w:r>
            <w:commentRangeEnd w:id="2"/>
            <w:r w:rsidR="00C54AA0">
              <w:rPr>
                <w:rStyle w:val="CommentReference"/>
              </w:rPr>
              <w:commentReference w:id="2"/>
            </w:r>
            <w:commentRangeEnd w:id="3"/>
            <w:r w:rsidR="00CE785E">
              <w:rPr>
                <w:rStyle w:val="CommentReference"/>
              </w:rPr>
              <w:commentReference w:id="3"/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2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3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4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5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6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6E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1731 (91.0%)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264 (85.7%)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546 (87.6%)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501 (92.6%)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420 (97.4%)</w:t>
            </w:r>
          </w:p>
        </w:tc>
      </w:tr>
      <w:tr w:rsidR="003275CE" w14:paraId="1E7CB775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6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1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64 (3.4%)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(1.6%)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 (6.9%)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(3.0%)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3275CE" w14:paraId="1E7CB77C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&gt;1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95 (5.0%)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 (9.7%)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(5.5%)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 (3.7%)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(2.6%)</w:t>
            </w:r>
          </w:p>
        </w:tc>
      </w:tr>
      <w:tr w:rsidR="003275CE" w14:paraId="1E7CB783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(0.7%)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7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3275CE" w14:paraId="1E7CB78A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Social vulnerability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5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6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7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8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9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91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0.168 (0.972)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-0.144 (1.14)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0.0423 (1.03)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8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0.333 (0.850)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0.361 (0.812)</w:t>
            </w:r>
          </w:p>
        </w:tc>
      </w:tr>
      <w:tr w:rsidR="003275CE" w14:paraId="1E7CB798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0.322 [-2.62, 2.25]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0.0513 [-2.62, 1.80]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0.0673 [-2.32, 1.97]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0.459 [-2.04, 2.25]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0.527 [-2.30, 1.77]</w:t>
            </w:r>
          </w:p>
        </w:tc>
      </w:tr>
      <w:tr w:rsidR="003275CE" w14:paraId="1E7CB79F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(0.7%)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(3.2%)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9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3275CE" w14:paraId="1E7CB7A6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Host availability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1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2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3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4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5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AD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0.479 (0.744)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0.248 (0.774)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0.359 (0.753)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0.551 (0.757)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</w:t>
            </w:r>
            <w:commentRangeStart w:id="4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723</w:t>
            </w:r>
            <w:commentRangeEnd w:id="4"/>
            <w:r w:rsidR="009E1F27">
              <w:rPr>
                <w:rStyle w:val="CommentReference"/>
              </w:rPr>
              <w:commentReference w:id="4"/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(0.600)</w:t>
            </w:r>
          </w:p>
        </w:tc>
      </w:tr>
      <w:tr w:rsidR="003275CE" w14:paraId="1E7CB7B4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A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0.661 [-2.44, 1.54]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0.449 [-2.44, 1.20]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0.512 [-2.44, 1.54]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0.795 [-2.44, 1.48]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0.795 [-1.93, 1.54]</w:t>
            </w:r>
          </w:p>
        </w:tc>
      </w:tr>
      <w:tr w:rsidR="003275CE" w14:paraId="1E7CB7BB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(0.7%)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(3.2%)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3275CE" w14:paraId="1E7CB7C2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T. cruzi serostatus of mother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D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E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BF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0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1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C9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Negative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459 (24.1%)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52 (16.9%)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142 (22.8%)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140 (25.9%)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125 (29.0%)</w:t>
            </w:r>
          </w:p>
        </w:tc>
      </w:tr>
      <w:tr w:rsidR="003275CE" w14:paraId="1E7CB7D0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Positive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490 (25.7%)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(18.5%)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148 (23.8%)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155 (28.7%)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C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130 (30.2%)</w:t>
            </w:r>
          </w:p>
        </w:tc>
      </w:tr>
      <w:tr w:rsidR="003275CE" w14:paraId="1E7CB7D7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954 (50.1%)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199 (64.6%)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333 (53.5%)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246 (45.5%)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176 (40.8%)</w:t>
            </w:r>
          </w:p>
        </w:tc>
      </w:tr>
      <w:tr w:rsidR="003275CE" w14:paraId="1E7CB7DE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Insecticide spraying in 2006-2008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9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A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B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C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D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7E5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D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1410 (74.1%)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227 (73.7%)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442 (70.9%)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405 (74.9%)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336 (78.0%)</w:t>
            </w:r>
          </w:p>
        </w:tc>
      </w:tr>
      <w:tr w:rsidR="003275CE" w14:paraId="1E7CB7EC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Yes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476 (25.0%)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72 (23.4%)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177 (28.4%)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132 (24.4%)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95 (22.0%)</w:t>
            </w:r>
          </w:p>
        </w:tc>
      </w:tr>
      <w:tr w:rsidR="003275CE" w14:paraId="1E7CB7F3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(0.9%)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E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(2.9%)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3275CE" w14:paraId="1E7CB7FA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commentRangeStart w:id="5"/>
            <w:commentRangeStart w:id="6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Mobility</w:t>
            </w:r>
            <w:commentRangeEnd w:id="5"/>
            <w:r w:rsidR="00531B49">
              <w:rPr>
                <w:rStyle w:val="CommentReference"/>
              </w:rPr>
              <w:commentReference w:id="5"/>
            </w:r>
            <w:commentRangeEnd w:id="6"/>
            <w:r w:rsidR="008B363B">
              <w:rPr>
                <w:rStyle w:val="CommentReference"/>
              </w:rPr>
              <w:commentReference w:id="6"/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5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6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7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8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9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801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Non-mover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1320 (69.4%)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188 (61.0%)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438 (70.3%)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7F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391 (72.3%)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303 (70.3%)</w:t>
            </w:r>
          </w:p>
        </w:tc>
      </w:tr>
      <w:tr w:rsidR="003275CE" w14:paraId="1E7CB808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Mover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295 (15.5%)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 (11.0%)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(13.2%)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(16.5%)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 (20.9%)</w:t>
            </w:r>
          </w:p>
        </w:tc>
      </w:tr>
      <w:tr w:rsidR="003275CE" w14:paraId="1E7CB80F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Out-migrant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156 (8.2%)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(18.2%)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 (8.2%)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 (5.9%)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0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(3.9%)</w:t>
            </w:r>
          </w:p>
        </w:tc>
      </w:tr>
      <w:tr w:rsidR="003275CE" w14:paraId="1E7CB816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In-migrant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 (2.4%)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2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(4.5%)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(2.4%)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(1.1%)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(2.6%)</w:t>
            </w:r>
          </w:p>
        </w:tc>
      </w:tr>
      <w:tr w:rsidR="003275CE" w14:paraId="1E7CB81D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 (4.5%)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(5.2%)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(5.9%)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(4.3%)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(2.3%)</w:t>
            </w:r>
          </w:p>
        </w:tc>
      </w:tr>
      <w:tr w:rsidR="003275CE" w14:paraId="1E7CB824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Number of seropositive co-inhabitants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1F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0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1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2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3" w14:textId="77777777" w:rsidR="003275CE" w:rsidRDefault="003275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3275CE" w14:paraId="1E7CB82B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1094 (57.5%)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190 (61.7%)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345 (55.4%)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9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322 (59.5%)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237 (55.0%)</w:t>
            </w:r>
          </w:p>
        </w:tc>
      </w:tr>
      <w:tr w:rsidR="003275CE" w14:paraId="1E7CB832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1-2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490 (25.7%)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 (21.4%)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2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141 (22.6%)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0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187 (34.6%)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96 (22.3%)</w:t>
            </w:r>
          </w:p>
        </w:tc>
      </w:tr>
      <w:tr w:rsidR="003275CE" w14:paraId="1E7CB839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3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&gt;2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4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210 (11.0%)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5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(3.2%)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6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102 (16.4%)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7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(1.7%)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8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(20.6%)</w:t>
            </w:r>
          </w:p>
        </w:tc>
      </w:tr>
      <w:tr w:rsidR="003275CE" w14:paraId="1E7CB840" w14:textId="77777777">
        <w:trPr>
          <w:jc w:val="center"/>
        </w:trPr>
        <w:tc>
          <w:tcPr>
            <w:tcW w:w="41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A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B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109 (5.7%)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C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 (13.6%)</w:t>
            </w:r>
          </w:p>
        </w:tc>
        <w:tc>
          <w:tcPr>
            <w:tcW w:w="23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D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 (5.6%)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E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(4.3%)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3F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(2.1%)</w:t>
            </w:r>
          </w:p>
        </w:tc>
      </w:tr>
      <w:tr w:rsidR="003275CE" w14:paraId="1E7CB842" w14:textId="77777777">
        <w:trPr>
          <w:jc w:val="center"/>
        </w:trPr>
        <w:tc>
          <w:tcPr>
            <w:tcW w:w="1538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CB841" w14:textId="77777777" w:rsidR="003275CE" w:rsidRDefault="008062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ᵃ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The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number of other houses in the study area to which an individual's house is connected by kinship</w:t>
            </w:r>
          </w:p>
        </w:tc>
      </w:tr>
    </w:tbl>
    <w:p w14:paraId="1E7CB843" w14:textId="77777777" w:rsidR="00FF26D2" w:rsidRDefault="00FF26D2"/>
    <w:sectPr w:rsidR="00FF26D2">
      <w:type w:val="continuous"/>
      <w:pgSz w:w="16838" w:h="11906" w:orient="landscape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seng, Katie Kailing" w:date="2025-01-30T13:15:00Z" w:initials="KT">
    <w:p w14:paraId="33961AB6" w14:textId="77777777" w:rsidR="00FC02E2" w:rsidRDefault="00FC02E2" w:rsidP="00FC02E2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Categorical?</w:t>
      </w:r>
    </w:p>
  </w:comment>
  <w:comment w:id="1" w:author="Tseng, Katie Kailing" w:date="2025-01-30T13:15:00Z" w:initials="KT">
    <w:p w14:paraId="648ED254" w14:textId="77777777" w:rsidR="00C95A35" w:rsidRDefault="00C95A35" w:rsidP="00C95A3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Age higher when degree = 0</w:t>
      </w:r>
    </w:p>
  </w:comment>
  <w:comment w:id="2" w:author="Tseng, Katie Kailing" w:date="2025-01-30T13:22:00Z" w:initials="KT">
    <w:p w14:paraId="36C5D2BC" w14:textId="77777777" w:rsidR="00C54AA0" w:rsidRDefault="00C54AA0" w:rsidP="00C54AA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Infested vs. non-infested variable</w:t>
      </w:r>
    </w:p>
    <w:p w14:paraId="5E323F0D" w14:textId="77777777" w:rsidR="00C54AA0" w:rsidRDefault="00C54AA0" w:rsidP="00C54AA0">
      <w:r>
        <w:rPr>
          <w:color w:val="000000"/>
          <w:sz w:val="20"/>
          <w:szCs w:val="20"/>
        </w:rPr>
        <w:t>Infected vector abundance where non-infested are NA</w:t>
      </w:r>
    </w:p>
    <w:p w14:paraId="1C92D165" w14:textId="77777777" w:rsidR="00C54AA0" w:rsidRDefault="00C54AA0" w:rsidP="00C54AA0"/>
  </w:comment>
  <w:comment w:id="3" w:author="Tseng, Katie Kailing" w:date="2025-01-30T13:22:00Z" w:initials="KT">
    <w:p w14:paraId="7282EDD3" w14:textId="77777777" w:rsidR="00CE785E" w:rsidRDefault="00CE785E" w:rsidP="00CE785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know that In houses with  high SV, infected vector abundance does not matter as much as being infested.</w:t>
      </w:r>
    </w:p>
  </w:comment>
  <w:comment w:id="4" w:author="Tseng, Katie Kailing" w:date="2025-01-30T13:23:00Z" w:initials="KT">
    <w:p w14:paraId="0E9017E7" w14:textId="77777777" w:rsidR="009E1F27" w:rsidRDefault="009E1F27" w:rsidP="009E1F2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Non-parametric tests for HAI and SVI (e.g., Kruskal Wallis tea)</w:t>
      </w:r>
    </w:p>
    <w:p w14:paraId="48F1B071" w14:textId="77777777" w:rsidR="009E1F27" w:rsidRDefault="009E1F27" w:rsidP="009E1F27"/>
    <w:p w14:paraId="5DA4D8C4" w14:textId="77777777" w:rsidR="009E1F27" w:rsidRDefault="009E1F27" w:rsidP="009E1F27">
      <w:r>
        <w:rPr>
          <w:color w:val="000000"/>
          <w:sz w:val="20"/>
          <w:szCs w:val="20"/>
        </w:rPr>
        <w:t>Or Chi-sq for categorical</w:t>
      </w:r>
    </w:p>
  </w:comment>
  <w:comment w:id="5" w:author="Tseng, Katie Kailing" w:date="2025-01-30T13:50:00Z" w:initials="KT">
    <w:p w14:paraId="48EB75CC" w14:textId="77777777" w:rsidR="00531B49" w:rsidRDefault="00531B49" w:rsidP="00531B4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Mobility is backtracked from 2012-2015. We could alternatively look at mobility of just parents in the household and apply those to the children residing with them in 2008</w:t>
      </w:r>
    </w:p>
  </w:comment>
  <w:comment w:id="6" w:author="Tseng, Katie Kailing" w:date="2025-01-30T13:52:00Z" w:initials="KT">
    <w:p w14:paraId="5456582C" w14:textId="77777777" w:rsidR="008B363B" w:rsidRDefault="008B363B" w:rsidP="008B363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Combine out-mirgrant and in-migrant as movers b/c these are based on 2008 data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961AB6" w15:done="0"/>
  <w15:commentEx w15:paraId="648ED254" w15:done="0"/>
  <w15:commentEx w15:paraId="1C92D165" w15:done="0"/>
  <w15:commentEx w15:paraId="7282EDD3" w15:paraIdParent="1C92D165" w15:done="0"/>
  <w15:commentEx w15:paraId="5DA4D8C4" w15:done="0"/>
  <w15:commentEx w15:paraId="48EB75CC" w15:done="0"/>
  <w15:commentEx w15:paraId="5456582C" w15:paraIdParent="48EB75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4D181F" w16cex:dateUtc="2025-01-30T21:15:00Z"/>
  <w16cex:commentExtensible w16cex:durableId="6273462D" w16cex:dateUtc="2025-01-30T21:15:00Z"/>
  <w16cex:commentExtensible w16cex:durableId="0111642D" w16cex:dateUtc="2025-01-30T21:22:00Z"/>
  <w16cex:commentExtensible w16cex:durableId="1A894710" w16cex:dateUtc="2025-01-30T21:22:00Z"/>
  <w16cex:commentExtensible w16cex:durableId="70732D37" w16cex:dateUtc="2025-01-30T21:23:00Z"/>
  <w16cex:commentExtensible w16cex:durableId="0CF2678E" w16cex:dateUtc="2025-01-30T21:50:00Z"/>
  <w16cex:commentExtensible w16cex:durableId="5E969C63" w16cex:dateUtc="2025-01-30T2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961AB6" w16cid:durableId="274D181F"/>
  <w16cid:commentId w16cid:paraId="648ED254" w16cid:durableId="6273462D"/>
  <w16cid:commentId w16cid:paraId="1C92D165" w16cid:durableId="0111642D"/>
  <w16cid:commentId w16cid:paraId="7282EDD3" w16cid:durableId="1A894710"/>
  <w16cid:commentId w16cid:paraId="5DA4D8C4" w16cid:durableId="70732D37"/>
  <w16cid:commentId w16cid:paraId="48EB75CC" w16cid:durableId="0CF2678E"/>
  <w16cid:commentId w16cid:paraId="5456582C" w16cid:durableId="5E969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20271780">
    <w:abstractNumId w:val="1"/>
  </w:num>
  <w:num w:numId="2" w16cid:durableId="1503856368">
    <w:abstractNumId w:val="2"/>
  </w:num>
  <w:num w:numId="3" w16cid:durableId="203137392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seng, Katie Kailing">
    <w15:presenceInfo w15:providerId="AD" w15:userId="S::katie.tseng@wsu.edu::b01a430a-46e7-4edf-a258-50970aa82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CE"/>
    <w:rsid w:val="003275CE"/>
    <w:rsid w:val="00531B49"/>
    <w:rsid w:val="00806286"/>
    <w:rsid w:val="008B363B"/>
    <w:rsid w:val="009E1F27"/>
    <w:rsid w:val="00A17BC7"/>
    <w:rsid w:val="00C54AA0"/>
    <w:rsid w:val="00C95A35"/>
    <w:rsid w:val="00CE785E"/>
    <w:rsid w:val="00EC5E72"/>
    <w:rsid w:val="00FC02E2"/>
    <w:rsid w:val="00FF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CB6F6"/>
  <w15:docId w15:val="{AE9B99C5-06D1-434E-8C4C-63843DA1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styleId="CommentReference">
    <w:name w:val="annotation reference"/>
    <w:basedOn w:val="DefaultParagraphFont"/>
    <w:uiPriority w:val="99"/>
    <w:semiHidden/>
    <w:unhideWhenUsed/>
    <w:rsid w:val="00FC02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02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02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2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2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477</Words>
  <Characters>2345</Characters>
  <Application>Microsoft Office Word</Application>
  <DocSecurity>0</DocSecurity>
  <Lines>291</Lines>
  <Paragraphs>228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Tseng, Katie Kailing</cp:lastModifiedBy>
  <cp:revision>17</cp:revision>
  <dcterms:created xsi:type="dcterms:W3CDTF">2017-02-28T11:18:00Z</dcterms:created>
  <dcterms:modified xsi:type="dcterms:W3CDTF">2026-03-19T07:41:00Z</dcterms:modified>
  <cp:category/>
</cp:coreProperties>
</file>