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BE20" w14:textId="77777777" w:rsidR="00713159" w:rsidRDefault="001968CB">
      <w:r>
        <w:t>Section: Estimating the healthcare-associated economic benefits of rotavirus vaccination introduction in England and Wales.</w:t>
      </w:r>
    </w:p>
    <w:p w14:paraId="17D78F72" w14:textId="77777777" w:rsidR="001968CB" w:rsidRDefault="001968CB"/>
    <w:p w14:paraId="43A6B645" w14:textId="77777777" w:rsidR="001968CB" w:rsidRDefault="001968CB">
      <w:pPr>
        <w:rPr>
          <w:i/>
        </w:rPr>
      </w:pPr>
      <w:r w:rsidRPr="001968CB">
        <w:rPr>
          <w:i/>
        </w:rPr>
        <w:t>Katherine E. Atkins</w:t>
      </w:r>
    </w:p>
    <w:p w14:paraId="6DAB5532" w14:textId="77777777" w:rsidR="001968CB" w:rsidRDefault="001968CB">
      <w:pPr>
        <w:rPr>
          <w:i/>
        </w:rPr>
      </w:pPr>
    </w:p>
    <w:p w14:paraId="73C3F442" w14:textId="77777777" w:rsidR="00AB6F1B" w:rsidRDefault="001968CB" w:rsidP="0062206E">
      <w:pPr>
        <w:rPr>
          <w:rFonts w:ascii="Calibri" w:hAnsi="Calibri"/>
          <w:b/>
          <w:sz w:val="20"/>
          <w:szCs w:val="20"/>
        </w:rPr>
      </w:pPr>
      <w:r w:rsidRPr="001B72D8">
        <w:rPr>
          <w:rFonts w:ascii="Calibri" w:hAnsi="Calibri"/>
          <w:b/>
          <w:sz w:val="20"/>
          <w:szCs w:val="20"/>
        </w:rPr>
        <w:t>Methods</w:t>
      </w:r>
    </w:p>
    <w:p w14:paraId="6FD1715B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5DFBE63" w14:textId="3A43DE41" w:rsidR="00AB6F1B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outcomes averted</w:t>
      </w:r>
    </w:p>
    <w:p w14:paraId="13979BE2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4B28835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1B5573EC" w14:textId="6F5369BD" w:rsidR="00AB6F1B" w:rsidRDefault="00AB6F1B" w:rsidP="0062206E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GP visits</w:t>
      </w:r>
      <w:r>
        <w:rPr>
          <w:rFonts w:ascii="Calibri" w:hAnsi="Calibri"/>
          <w:i/>
          <w:sz w:val="20"/>
          <w:szCs w:val="20"/>
        </w:rPr>
        <w:t>:</w:t>
      </w:r>
      <w:r w:rsidR="00614DF8">
        <w:rPr>
          <w:rFonts w:ascii="Calibri" w:hAnsi="Calibri"/>
          <w:i/>
          <w:sz w:val="20"/>
          <w:szCs w:val="20"/>
        </w:rPr>
        <w:t xml:space="preserve"> </w:t>
      </w:r>
      <w:r w:rsidR="00614DF8">
        <w:rPr>
          <w:rFonts w:ascii="Calibri" w:hAnsi="Calibri"/>
          <w:sz w:val="20"/>
          <w:szCs w:val="20"/>
        </w:rPr>
        <w:t>To generate a distribution for the annual GP consultations</w:t>
      </w:r>
      <w:r w:rsidR="006A349D">
        <w:rPr>
          <w:rFonts w:ascii="Calibri" w:hAnsi="Calibri"/>
          <w:sz w:val="20"/>
          <w:szCs w:val="20"/>
        </w:rPr>
        <w:t xml:space="preserve"> averted, we subtracted the 2013-4</w:t>
      </w:r>
      <w:r w:rsidR="00614DF8">
        <w:rPr>
          <w:rFonts w:ascii="Calibri" w:hAnsi="Calibri"/>
          <w:sz w:val="20"/>
          <w:szCs w:val="20"/>
        </w:rPr>
        <w:t xml:space="preserve"> observed number of GP consultations from the annual number of predicted GP consultations from the statistical model (section XX Methods). </w:t>
      </w:r>
      <w:r w:rsidR="00972099">
        <w:rPr>
          <w:rFonts w:ascii="Calibri" w:hAnsi="Calibri"/>
          <w:sz w:val="20"/>
          <w:szCs w:val="20"/>
        </w:rPr>
        <w:t>Consistent with the previously described statistical model, we assumed the annual incidence rate in each age group was log</w:t>
      </w:r>
      <w:r w:rsidR="006A349D">
        <w:rPr>
          <w:rFonts w:ascii="Calibri" w:hAnsi="Calibri"/>
          <w:sz w:val="20"/>
          <w:szCs w:val="20"/>
        </w:rPr>
        <w:t>-</w:t>
      </w:r>
      <w:r w:rsidR="00972099">
        <w:rPr>
          <w:rFonts w:ascii="Calibri" w:hAnsi="Calibri"/>
          <w:sz w:val="20"/>
          <w:szCs w:val="20"/>
        </w:rPr>
        <w:t>normally distributed.</w:t>
      </w:r>
      <w:r w:rsidR="007C6B72">
        <w:rPr>
          <w:rFonts w:ascii="Calibri" w:hAnsi="Calibri"/>
          <w:sz w:val="20"/>
          <w:szCs w:val="20"/>
        </w:rPr>
        <w:t xml:space="preserve"> </w:t>
      </w:r>
      <w:r w:rsidR="00072097">
        <w:rPr>
          <w:rFonts w:ascii="Calibri" w:hAnsi="Calibri"/>
          <w:sz w:val="20"/>
          <w:szCs w:val="20"/>
        </w:rPr>
        <w:t xml:space="preserve"> Conservatively, we assumed that total number of consultations equals the total incident visits as previously discussed (Data cleaning Methods).</w:t>
      </w:r>
    </w:p>
    <w:p w14:paraId="6E706ED0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5067E14B" w14:textId="67D15C79" w:rsidR="007C6B72" w:rsidRPr="00A43E84" w:rsidRDefault="007C6B72" w:rsidP="007C6B72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Hospital visits</w:t>
      </w:r>
      <w:r>
        <w:rPr>
          <w:rFonts w:ascii="Calibri" w:hAnsi="Calibri"/>
          <w:i/>
          <w:sz w:val="20"/>
          <w:szCs w:val="20"/>
        </w:rPr>
        <w:t xml:space="preserve">: </w:t>
      </w:r>
      <w:r w:rsidR="00A43E84">
        <w:rPr>
          <w:rFonts w:ascii="Calibri" w:hAnsi="Calibri"/>
          <w:sz w:val="20"/>
          <w:szCs w:val="20"/>
        </w:rPr>
        <w:t>We applied the same methodology as described in ‘GP Visits’, using previously published data (Aitchison et al. CID 2015) to calculate a distribution for the total hospital visits averted for the rotavirus year 2013/14.</w:t>
      </w:r>
    </w:p>
    <w:p w14:paraId="6A581699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3C3AE1CC" w14:textId="1A1BC289" w:rsidR="007C6B72" w:rsidRPr="00BB2A60" w:rsidRDefault="00BB2A60" w:rsidP="0062206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A&amp;E visits: </w:t>
      </w:r>
      <w:r w:rsidR="00606E1A">
        <w:rPr>
          <w:rFonts w:ascii="Calibri" w:hAnsi="Calibri"/>
          <w:i/>
          <w:sz w:val="20"/>
          <w:szCs w:val="20"/>
        </w:rPr>
        <w:t>&lt;</w:t>
      </w:r>
      <w:r>
        <w:rPr>
          <w:rFonts w:ascii="Calibri" w:hAnsi="Calibri"/>
          <w:sz w:val="20"/>
          <w:szCs w:val="20"/>
        </w:rPr>
        <w:t>Jemma is probably best placed to fill this in</w:t>
      </w:r>
      <w:r w:rsidR="00606E1A">
        <w:rPr>
          <w:rFonts w:ascii="Calibri" w:hAnsi="Calibri"/>
          <w:sz w:val="20"/>
          <w:szCs w:val="20"/>
        </w:rPr>
        <w:t>&gt;</w:t>
      </w:r>
      <w:r w:rsidR="0042233C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 We sampled the cases averted from the normal distribution previously parameterized. </w:t>
      </w:r>
    </w:p>
    <w:p w14:paraId="70201F16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42144989" w14:textId="205988BF" w:rsidR="0062206E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costs averted</w:t>
      </w:r>
    </w:p>
    <w:p w14:paraId="50AD6678" w14:textId="77777777" w:rsidR="00834493" w:rsidRDefault="00834493" w:rsidP="0011529B">
      <w:pPr>
        <w:rPr>
          <w:rFonts w:ascii="Calibri" w:hAnsi="Calibri"/>
          <w:sz w:val="20"/>
          <w:szCs w:val="20"/>
        </w:rPr>
      </w:pPr>
    </w:p>
    <w:p w14:paraId="033EBE83" w14:textId="63A880A3" w:rsidR="00834493" w:rsidRDefault="00834493" w:rsidP="0011529B">
      <w:pPr>
        <w:rPr>
          <w:rFonts w:ascii="Calibri" w:hAnsi="Calibri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GP </w:t>
      </w:r>
      <w:r w:rsidR="00722229" w:rsidRPr="00722229">
        <w:rPr>
          <w:rFonts w:ascii="Calibri" w:hAnsi="Calibri"/>
          <w:i/>
          <w:sz w:val="20"/>
          <w:szCs w:val="20"/>
        </w:rPr>
        <w:t>visits</w:t>
      </w:r>
      <w:r w:rsidR="000D71DB">
        <w:rPr>
          <w:rFonts w:ascii="Calibri" w:hAnsi="Calibri"/>
          <w:sz w:val="20"/>
          <w:szCs w:val="20"/>
        </w:rPr>
        <w:t>:</w:t>
      </w:r>
      <w:r w:rsidR="00722229">
        <w:rPr>
          <w:rFonts w:ascii="Calibri" w:hAnsi="Calibri"/>
          <w:sz w:val="20"/>
          <w:szCs w:val="20"/>
        </w:rPr>
        <w:t xml:space="preserve"> </w:t>
      </w:r>
      <w:r w:rsidR="005202EC">
        <w:rPr>
          <w:rFonts w:ascii="Calibri" w:hAnsi="Calibri"/>
          <w:sz w:val="20"/>
          <w:szCs w:val="20"/>
        </w:rPr>
        <w:t>To calculate the cost of a GP consultation, w</w:t>
      </w:r>
      <w:r w:rsidR="00722229">
        <w:rPr>
          <w:rFonts w:ascii="Calibri" w:hAnsi="Calibri"/>
          <w:sz w:val="20"/>
          <w:szCs w:val="20"/>
        </w:rPr>
        <w:t xml:space="preserve">e used the </w:t>
      </w:r>
      <w:r w:rsidR="005202EC">
        <w:rPr>
          <w:rFonts w:ascii="Calibri" w:hAnsi="Calibri"/>
          <w:sz w:val="20"/>
          <w:szCs w:val="20"/>
        </w:rPr>
        <w:t>2014 Unit Costs of Health and Social Care, assigning the modal value as a consultation lasting 11.7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>s</w:t>
      </w:r>
      <w:r w:rsidR="00803E49">
        <w:rPr>
          <w:rFonts w:ascii="Calibri" w:hAnsi="Calibri"/>
          <w:sz w:val="20"/>
          <w:szCs w:val="20"/>
        </w:rPr>
        <w:t xml:space="preserve"> (£38</w:t>
      </w:r>
      <w:r w:rsidR="00364CC7">
        <w:rPr>
          <w:rFonts w:ascii="Calibri" w:hAnsi="Calibri"/>
          <w:sz w:val="20"/>
          <w:szCs w:val="20"/>
        </w:rPr>
        <w:t>)</w:t>
      </w:r>
      <w:r w:rsidR="005202EC">
        <w:rPr>
          <w:rFonts w:ascii="Calibri" w:hAnsi="Calibri"/>
          <w:sz w:val="20"/>
          <w:szCs w:val="20"/>
        </w:rPr>
        <w:t>, with the lower and upper bounds as consultations that last for 7.1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803E49">
        <w:rPr>
          <w:rFonts w:ascii="Calibri" w:hAnsi="Calibri"/>
          <w:sz w:val="20"/>
          <w:szCs w:val="20"/>
        </w:rPr>
        <w:t>(£23</w:t>
      </w:r>
      <w:r w:rsidR="00364CC7">
        <w:rPr>
          <w:rFonts w:ascii="Calibri" w:hAnsi="Calibri"/>
          <w:sz w:val="20"/>
          <w:szCs w:val="20"/>
        </w:rPr>
        <w:t xml:space="preserve">) </w:t>
      </w:r>
      <w:r w:rsidR="005202EC">
        <w:rPr>
          <w:rFonts w:ascii="Calibri" w:hAnsi="Calibri"/>
          <w:sz w:val="20"/>
          <w:szCs w:val="20"/>
        </w:rPr>
        <w:t>and 17.2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803E49">
        <w:rPr>
          <w:rFonts w:ascii="Calibri" w:hAnsi="Calibri"/>
          <w:sz w:val="20"/>
          <w:szCs w:val="20"/>
        </w:rPr>
        <w:t>(£56</w:t>
      </w:r>
      <w:r w:rsidR="00364CC7">
        <w:rPr>
          <w:rFonts w:ascii="Calibri" w:hAnsi="Calibri"/>
          <w:sz w:val="20"/>
          <w:szCs w:val="20"/>
        </w:rPr>
        <w:t xml:space="preserve">) </w:t>
      </w:r>
      <w:r w:rsidR="005202EC">
        <w:rPr>
          <w:rFonts w:ascii="Calibri" w:hAnsi="Calibri"/>
          <w:sz w:val="20"/>
          <w:szCs w:val="20"/>
        </w:rPr>
        <w:t>respectively (ref: Curtis et al). We also assigned an additional prescription cost to each GP visit with a modal value as the cost for scripts that are “routinely” and “can be” used for GE</w:t>
      </w:r>
      <w:r w:rsidR="00364CC7">
        <w:rPr>
          <w:rFonts w:ascii="Calibri" w:hAnsi="Calibri"/>
          <w:sz w:val="20"/>
          <w:szCs w:val="20"/>
        </w:rPr>
        <w:t xml:space="preserve"> (£2.30)</w:t>
      </w:r>
      <w:r w:rsidR="005202EC">
        <w:rPr>
          <w:rFonts w:ascii="Calibri" w:hAnsi="Calibri"/>
          <w:sz w:val="20"/>
          <w:szCs w:val="20"/>
        </w:rPr>
        <w:t xml:space="preserve">.  Lower bound cost consisted of those “routinely” used for GE </w:t>
      </w:r>
      <w:r w:rsidR="00364CC7">
        <w:rPr>
          <w:rFonts w:ascii="Calibri" w:hAnsi="Calibri"/>
          <w:sz w:val="20"/>
          <w:szCs w:val="20"/>
        </w:rPr>
        <w:t xml:space="preserve">(£1.38) </w:t>
      </w:r>
      <w:r w:rsidR="005202EC">
        <w:rPr>
          <w:rFonts w:ascii="Calibri" w:hAnsi="Calibri"/>
          <w:sz w:val="20"/>
          <w:szCs w:val="20"/>
        </w:rPr>
        <w:t xml:space="preserve">and upper bound </w:t>
      </w:r>
      <w:r w:rsidR="00364CC7">
        <w:rPr>
          <w:rFonts w:ascii="Calibri" w:hAnsi="Calibri"/>
          <w:sz w:val="20"/>
          <w:szCs w:val="20"/>
        </w:rPr>
        <w:t xml:space="preserve">(£3.79) </w:t>
      </w:r>
      <w:r w:rsidR="005202EC">
        <w:rPr>
          <w:rFonts w:ascii="Calibri" w:hAnsi="Calibri"/>
          <w:sz w:val="20"/>
          <w:szCs w:val="20"/>
        </w:rPr>
        <w:t xml:space="preserve">cost of the modal value in addition to the cost for scripts </w:t>
      </w:r>
      <w:r w:rsidR="00364CC7">
        <w:rPr>
          <w:rFonts w:ascii="Calibri" w:hAnsi="Calibri"/>
          <w:sz w:val="20"/>
          <w:szCs w:val="20"/>
        </w:rPr>
        <w:t>that</w:t>
      </w:r>
      <w:r w:rsidR="005202EC">
        <w:rPr>
          <w:rFonts w:ascii="Calibri" w:hAnsi="Calibri"/>
          <w:sz w:val="20"/>
          <w:szCs w:val="20"/>
        </w:rPr>
        <w:t xml:space="preserve"> are rarely used for GE. </w:t>
      </w:r>
      <w:r w:rsidR="00364CC7">
        <w:rPr>
          <w:rFonts w:ascii="Calibri" w:hAnsi="Calibri"/>
          <w:sz w:val="20"/>
          <w:szCs w:val="20"/>
        </w:rPr>
        <w:t xml:space="preserve">Prescription costs were inflated from 2004 prices to 2014 using annual Health Services Pay and Prices Index (ref: Curtis et al). </w:t>
      </w:r>
      <w:r w:rsidR="00AB6F1B">
        <w:rPr>
          <w:rFonts w:ascii="Calibri" w:hAnsi="Calibri"/>
          <w:sz w:val="20"/>
          <w:szCs w:val="20"/>
        </w:rPr>
        <w:t>Adding together the cost of a consultation visit and prescription, we used a</w:t>
      </w:r>
      <w:r w:rsidR="00364CC7">
        <w:rPr>
          <w:rFonts w:ascii="Calibri" w:hAnsi="Calibri"/>
          <w:sz w:val="20"/>
          <w:szCs w:val="20"/>
        </w:rPr>
        <w:t xml:space="preserve"> Triangular distribution of </w:t>
      </w:r>
      <w:r w:rsidR="00AB6F1B">
        <w:rPr>
          <w:rFonts w:ascii="Calibri" w:hAnsi="Calibri"/>
          <w:sz w:val="20"/>
          <w:szCs w:val="20"/>
        </w:rPr>
        <w:t xml:space="preserve">total </w:t>
      </w:r>
      <w:r w:rsidR="00364CC7">
        <w:rPr>
          <w:rFonts w:ascii="Calibri" w:hAnsi="Calibri"/>
          <w:sz w:val="20"/>
          <w:szCs w:val="20"/>
        </w:rPr>
        <w:t xml:space="preserve">GP consultation costs </w:t>
      </w:r>
      <w:r w:rsidR="00AB6F1B">
        <w:rPr>
          <w:rFonts w:ascii="Calibri" w:hAnsi="Calibri"/>
          <w:sz w:val="20"/>
          <w:szCs w:val="20"/>
        </w:rPr>
        <w:t>(</w:t>
      </w:r>
      <w:r w:rsidR="00803E49">
        <w:rPr>
          <w:rFonts w:ascii="Calibri" w:hAnsi="Calibri"/>
          <w:sz w:val="20"/>
          <w:szCs w:val="20"/>
        </w:rPr>
        <w:t>mode £40.30, lower bound £24.38 and upper bound £59</w:t>
      </w:r>
      <w:r w:rsidR="00364CC7">
        <w:rPr>
          <w:rFonts w:ascii="Calibri" w:hAnsi="Calibri"/>
          <w:sz w:val="20"/>
          <w:szCs w:val="20"/>
        </w:rPr>
        <w:t>.79</w:t>
      </w:r>
      <w:r w:rsidR="00AB6F1B">
        <w:rPr>
          <w:rFonts w:ascii="Calibri" w:hAnsi="Calibri"/>
          <w:sz w:val="20"/>
          <w:szCs w:val="20"/>
        </w:rPr>
        <w:t>)</w:t>
      </w:r>
      <w:r w:rsidR="00364CC7">
        <w:rPr>
          <w:rFonts w:ascii="Calibri" w:hAnsi="Calibri"/>
          <w:sz w:val="20"/>
          <w:szCs w:val="20"/>
        </w:rPr>
        <w:t xml:space="preserve">. </w:t>
      </w:r>
    </w:p>
    <w:p w14:paraId="0D26FAAA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420AFB43" w14:textId="63F4FC36" w:rsidR="007C6B72" w:rsidRDefault="007C6B72" w:rsidP="007C6B72">
      <w:pPr>
        <w:rPr>
          <w:rFonts w:ascii="Calibri" w:hAnsi="Calibri" w:cs="Courier"/>
          <w:color w:val="000000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Hospital </w:t>
      </w:r>
      <w:r>
        <w:rPr>
          <w:rFonts w:ascii="Calibri" w:hAnsi="Calibri"/>
          <w:i/>
          <w:sz w:val="20"/>
          <w:szCs w:val="20"/>
        </w:rPr>
        <w:t>visits</w:t>
      </w:r>
      <w:r>
        <w:rPr>
          <w:rFonts w:ascii="Calibri" w:hAnsi="Calibri"/>
          <w:sz w:val="20"/>
          <w:szCs w:val="20"/>
        </w:rPr>
        <w:t>: We calculated the modal cost of a hospital visit for paediatric cases (&lt;15 years) using a weighted average using national 2013–4 unit costs for elective, non-elective, non-elective short stay, and day-use hospital costs for paediatric infectious or non-infectious gastroenteritis (c</w:t>
      </w:r>
      <w:r w:rsidR="001C66F2">
        <w:rPr>
          <w:rFonts w:ascii="Calibri" w:hAnsi="Calibri"/>
          <w:sz w:val="20"/>
          <w:szCs w:val="20"/>
        </w:rPr>
        <w:t>odes PF21A-PF21B)</w:t>
      </w:r>
      <w:r>
        <w:rPr>
          <w:rFonts w:ascii="Calibri" w:hAnsi="Calibri"/>
          <w:sz w:val="20"/>
          <w:szCs w:val="20"/>
        </w:rPr>
        <w:t xml:space="preserve">, with weights given by the admissions for each combination of code and type of admission. For non-paediatric cases (15 years or older) we used the same weighted average method using national average unit costs for </w:t>
      </w:r>
      <w:r w:rsidR="001C66F2">
        <w:rPr>
          <w:rFonts w:ascii="Calibri" w:hAnsi="Calibri"/>
          <w:sz w:val="20"/>
          <w:szCs w:val="20"/>
        </w:rPr>
        <w:t>only</w:t>
      </w:r>
      <w:r>
        <w:rPr>
          <w:rFonts w:ascii="Calibri" w:hAnsi="Calibri"/>
          <w:sz w:val="20"/>
          <w:szCs w:val="20"/>
        </w:rPr>
        <w:t xml:space="preserve"> non-elective short stay, and day-use hospital costs for gastroin</w:t>
      </w:r>
      <w:r w:rsidR="001C66F2">
        <w:rPr>
          <w:rFonts w:ascii="Calibri" w:hAnsi="Calibri"/>
          <w:sz w:val="20"/>
          <w:szCs w:val="20"/>
        </w:rPr>
        <w:t>testinal infections (</w:t>
      </w:r>
      <w:r w:rsidR="005C2C20">
        <w:rPr>
          <w:rFonts w:ascii="Calibri" w:hAnsi="Calibri"/>
          <w:sz w:val="20"/>
          <w:szCs w:val="20"/>
        </w:rPr>
        <w:t xml:space="preserve">for no intervention or single intervention only, </w:t>
      </w:r>
      <w:r w:rsidR="001C66F2">
        <w:rPr>
          <w:rFonts w:ascii="Calibri" w:hAnsi="Calibri"/>
          <w:sz w:val="20"/>
          <w:szCs w:val="20"/>
        </w:rPr>
        <w:t>codes FZ36K,L,P,Q</w:t>
      </w:r>
      <w:r>
        <w:rPr>
          <w:rFonts w:ascii="Calibri" w:hAnsi="Calibri"/>
          <w:sz w:val="20"/>
          <w:szCs w:val="20"/>
        </w:rPr>
        <w:t xml:space="preserve">). Similarly, lower and upper bounds on costs were calculated using a weighted average of the lower quartile and upper quartiles for unit costs respectively. (ref: </w:t>
      </w:r>
      <w:r w:rsidR="008D5C5D">
        <w:rPr>
          <w:rFonts w:ascii="Calibri" w:hAnsi="Calibri"/>
          <w:sz w:val="20"/>
          <w:szCs w:val="20"/>
        </w:rPr>
        <w:t>NHS  R</w:t>
      </w:r>
      <w:r>
        <w:rPr>
          <w:rFonts w:ascii="Calibri" w:hAnsi="Calibri"/>
          <w:sz w:val="20"/>
          <w:szCs w:val="20"/>
        </w:rPr>
        <w:t xml:space="preserve">eference Costs) These methods provided a Triangular distribution of hospital costs as such: non-paediatric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="005C2C20">
        <w:rPr>
          <w:rFonts w:ascii="Calibri" w:hAnsi="Calibri" w:cs="Courier"/>
          <w:color w:val="000000"/>
          <w:sz w:val="20"/>
          <w:szCs w:val="20"/>
        </w:rPr>
        <w:t>433.96</w:t>
      </w:r>
      <w:r w:rsidRPr="001B72D8">
        <w:rPr>
          <w:rFonts w:ascii="Calibri" w:hAnsi="Calibri" w:cs="Courier"/>
          <w:color w:val="000000"/>
          <w:sz w:val="20"/>
          <w:szCs w:val="20"/>
        </w:rPr>
        <w:t>, lower bound: £</w:t>
      </w:r>
      <w:r w:rsidR="005C2C20">
        <w:rPr>
          <w:rFonts w:ascii="Calibri" w:hAnsi="Calibri" w:cs="Courier"/>
          <w:color w:val="000000"/>
          <w:sz w:val="20"/>
          <w:szCs w:val="20"/>
        </w:rPr>
        <w:t>335.72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="005C2C20">
        <w:rPr>
          <w:rFonts w:ascii="Calibri" w:hAnsi="Calibri" w:cs="Courier"/>
          <w:color w:val="000000"/>
          <w:sz w:val="20"/>
          <w:szCs w:val="20"/>
        </w:rPr>
        <w:t>493.35</w:t>
      </w:r>
      <w:r>
        <w:rPr>
          <w:rFonts w:ascii="Calibri" w:hAnsi="Calibri" w:cs="Times New Roman"/>
          <w:sz w:val="20"/>
          <w:szCs w:val="20"/>
        </w:rPr>
        <w:t xml:space="preserve">; paediatric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="005C2C20">
        <w:rPr>
          <w:rFonts w:ascii="Calibri" w:hAnsi="Calibri" w:cs="Courier"/>
          <w:color w:val="000000"/>
          <w:sz w:val="20"/>
          <w:szCs w:val="20"/>
        </w:rPr>
        <w:t>695.57</w:t>
      </w:r>
      <w:r w:rsidRPr="001B72D8">
        <w:rPr>
          <w:rFonts w:ascii="Calibri" w:hAnsi="Calibri" w:cs="Courier"/>
          <w:color w:val="000000"/>
          <w:sz w:val="20"/>
          <w:szCs w:val="20"/>
        </w:rPr>
        <w:t xml:space="preserve">, lower bound: </w:t>
      </w:r>
      <w:r>
        <w:rPr>
          <w:rFonts w:ascii="Calibri" w:hAnsi="Calibri" w:cs="Courier"/>
          <w:color w:val="000000"/>
          <w:sz w:val="20"/>
          <w:szCs w:val="20"/>
        </w:rPr>
        <w:t>£</w:t>
      </w:r>
      <w:r w:rsidR="005C2C20">
        <w:rPr>
          <w:rFonts w:ascii="Calibri" w:hAnsi="Calibri" w:cs="Courier"/>
          <w:color w:val="000000"/>
          <w:sz w:val="20"/>
          <w:szCs w:val="20"/>
        </w:rPr>
        <w:t>529.98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="005C2C20">
        <w:rPr>
          <w:rFonts w:ascii="Calibri" w:hAnsi="Calibri" w:cs="Courier"/>
          <w:color w:val="000000"/>
          <w:sz w:val="20"/>
          <w:szCs w:val="20"/>
        </w:rPr>
        <w:t>787.72</w:t>
      </w:r>
      <w:r>
        <w:rPr>
          <w:rFonts w:ascii="Calibri" w:hAnsi="Calibri" w:cs="Courier"/>
          <w:color w:val="000000"/>
          <w:sz w:val="20"/>
          <w:szCs w:val="20"/>
        </w:rPr>
        <w:t>.</w:t>
      </w:r>
    </w:p>
    <w:p w14:paraId="5A0716A9" w14:textId="77777777" w:rsidR="000951F1" w:rsidRDefault="000951F1" w:rsidP="007C6B72">
      <w:pPr>
        <w:rPr>
          <w:rFonts w:ascii="Calibri" w:hAnsi="Calibri" w:cs="Courier"/>
          <w:color w:val="000000"/>
          <w:sz w:val="20"/>
          <w:szCs w:val="20"/>
        </w:rPr>
      </w:pPr>
    </w:p>
    <w:p w14:paraId="5CFD4083" w14:textId="50075EB1" w:rsidR="000951F1" w:rsidRDefault="006A349D" w:rsidP="007C6B72">
      <w:pPr>
        <w:rPr>
          <w:rFonts w:ascii="Calibri" w:hAnsi="Calibri"/>
          <w:sz w:val="20"/>
          <w:szCs w:val="20"/>
        </w:rPr>
      </w:pPr>
      <w:r>
        <w:rPr>
          <w:rFonts w:ascii="Calibri" w:hAnsi="Calibri" w:cs="Courier"/>
          <w:color w:val="000000"/>
          <w:sz w:val="20"/>
          <w:szCs w:val="20"/>
        </w:rPr>
        <w:t xml:space="preserve">Conservatively, we did not include excess bed days in </w:t>
      </w:r>
      <w:r w:rsidR="005C2C20">
        <w:rPr>
          <w:rFonts w:ascii="Calibri" w:hAnsi="Calibri" w:cs="Courier"/>
          <w:color w:val="000000"/>
          <w:sz w:val="20"/>
          <w:szCs w:val="20"/>
        </w:rPr>
        <w:t>hospital or non-paediatric hospital stays that were elective or non-elective that were not short-stay,</w:t>
      </w:r>
      <w:r>
        <w:rPr>
          <w:rFonts w:ascii="Calibri" w:hAnsi="Calibri" w:cs="Courier"/>
          <w:color w:val="000000"/>
          <w:sz w:val="20"/>
          <w:szCs w:val="20"/>
        </w:rPr>
        <w:t xml:space="preserve"> as these are not likely to be RVGE-related.</w:t>
      </w:r>
    </w:p>
    <w:p w14:paraId="2B6AFA24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191F5C6B" w14:textId="7205C83F" w:rsidR="00834493" w:rsidRPr="00E259D2" w:rsidRDefault="007C6B72" w:rsidP="0011529B">
      <w:pPr>
        <w:rPr>
          <w:rFonts w:ascii="Calibri" w:hAnsi="Calibri"/>
          <w:sz w:val="20"/>
          <w:szCs w:val="20"/>
        </w:rPr>
      </w:pPr>
      <w:r w:rsidRPr="007C6B72">
        <w:rPr>
          <w:rFonts w:ascii="Calibri" w:hAnsi="Calibri"/>
          <w:i/>
          <w:sz w:val="20"/>
          <w:szCs w:val="20"/>
        </w:rPr>
        <w:t>A&amp;E visits:</w:t>
      </w:r>
      <w:r w:rsidR="00E259D2">
        <w:rPr>
          <w:rFonts w:ascii="Calibri" w:hAnsi="Calibri"/>
          <w:sz w:val="20"/>
          <w:szCs w:val="20"/>
        </w:rPr>
        <w:t xml:space="preserve"> To </w:t>
      </w:r>
      <w:r w:rsidR="00D01517">
        <w:rPr>
          <w:rFonts w:ascii="Calibri" w:hAnsi="Calibri"/>
          <w:sz w:val="20"/>
          <w:szCs w:val="20"/>
        </w:rPr>
        <w:t>evaluate</w:t>
      </w:r>
      <w:r w:rsidR="00E259D2">
        <w:rPr>
          <w:rFonts w:ascii="Calibri" w:hAnsi="Calibri"/>
          <w:sz w:val="20"/>
          <w:szCs w:val="20"/>
        </w:rPr>
        <w:t xml:space="preserve"> the cost of </w:t>
      </w:r>
      <w:r w:rsidR="00D01517">
        <w:rPr>
          <w:rFonts w:ascii="Calibri" w:hAnsi="Calibri"/>
          <w:sz w:val="20"/>
          <w:szCs w:val="20"/>
        </w:rPr>
        <w:t xml:space="preserve">an Accident and Emergency visit, we calculated the average of all Emergency visits using national 2013-14 unit costs for Emergency visits, weighted by the number of </w:t>
      </w:r>
      <w:r w:rsidR="00D01517">
        <w:rPr>
          <w:rFonts w:ascii="Calibri" w:hAnsi="Calibri"/>
          <w:sz w:val="20"/>
          <w:szCs w:val="20"/>
        </w:rPr>
        <w:lastRenderedPageBreak/>
        <w:t xml:space="preserve">attendances. We used all codes VB-XX-Z except VB-10-Z (dental care). This calculation provided: mean: £123.71; lower bound: </w:t>
      </w:r>
      <w:r w:rsidR="00BB2A60">
        <w:rPr>
          <w:rFonts w:ascii="Calibri" w:hAnsi="Calibri"/>
          <w:sz w:val="20"/>
          <w:szCs w:val="20"/>
        </w:rPr>
        <w:t>£100.30; upper bound: £142.96.</w:t>
      </w:r>
    </w:p>
    <w:p w14:paraId="51013D6A" w14:textId="77777777" w:rsidR="005C3FA2" w:rsidRPr="00072097" w:rsidRDefault="005C3FA2" w:rsidP="0011529B">
      <w:pPr>
        <w:rPr>
          <w:rFonts w:ascii="Calibri" w:hAnsi="Calibri"/>
          <w:i/>
          <w:sz w:val="20"/>
          <w:szCs w:val="20"/>
        </w:rPr>
      </w:pPr>
    </w:p>
    <w:p w14:paraId="04BD01CD" w14:textId="1BF143B1" w:rsidR="001968CB" w:rsidRPr="00CF7431" w:rsidRDefault="001B267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Sampled output</w:t>
      </w:r>
      <w:r w:rsidR="000D71DB">
        <w:rPr>
          <w:rFonts w:ascii="Calibri" w:hAnsi="Calibri"/>
          <w:sz w:val="20"/>
          <w:szCs w:val="20"/>
        </w:rPr>
        <w:t>:</w:t>
      </w:r>
      <w:r w:rsidR="00364CC7">
        <w:rPr>
          <w:rFonts w:ascii="Calibri" w:hAnsi="Calibri"/>
          <w:sz w:val="20"/>
          <w:szCs w:val="20"/>
        </w:rPr>
        <w:t xml:space="preserve"> All costs and cases averted were sampled 10</w:t>
      </w:r>
      <w:r w:rsidR="00C20321">
        <w:rPr>
          <w:rFonts w:ascii="Calibri" w:hAnsi="Calibri"/>
          <w:sz w:val="20"/>
          <w:szCs w:val="20"/>
        </w:rPr>
        <w:t>0</w:t>
      </w:r>
      <w:r w:rsidR="00364CC7">
        <w:rPr>
          <w:rFonts w:ascii="Calibri" w:hAnsi="Calibri"/>
          <w:sz w:val="20"/>
          <w:szCs w:val="20"/>
        </w:rPr>
        <w:t xml:space="preserve">,000 times over their respective distributions for each age group. The healthcare costs averted per year </w:t>
      </w:r>
      <w:r w:rsidR="00AB6F1B">
        <w:rPr>
          <w:rFonts w:ascii="Calibri" w:hAnsi="Calibri"/>
          <w:sz w:val="20"/>
          <w:szCs w:val="20"/>
        </w:rPr>
        <w:t>we</w:t>
      </w:r>
      <w:r w:rsidR="00364CC7">
        <w:rPr>
          <w:rFonts w:ascii="Calibri" w:hAnsi="Calibri"/>
          <w:sz w:val="20"/>
          <w:szCs w:val="20"/>
        </w:rPr>
        <w:t>re calculated as the product of the healthcare visits averted and the cost of healthcare visit</w:t>
      </w:r>
      <w:r w:rsidR="00AB6F1B">
        <w:rPr>
          <w:rFonts w:ascii="Calibri" w:hAnsi="Calibri"/>
          <w:sz w:val="20"/>
          <w:szCs w:val="20"/>
        </w:rPr>
        <w:t xml:space="preserve"> for each age group</w:t>
      </w:r>
      <w:r w:rsidR="00CF7431">
        <w:rPr>
          <w:rFonts w:ascii="Calibri" w:hAnsi="Calibri"/>
          <w:sz w:val="20"/>
          <w:szCs w:val="20"/>
        </w:rPr>
        <w:t>.</w:t>
      </w:r>
    </w:p>
    <w:p w14:paraId="32F3482B" w14:textId="77777777" w:rsidR="00A275E2" w:rsidRDefault="00A275E2" w:rsidP="00A275E2">
      <w:pPr>
        <w:rPr>
          <w:b/>
        </w:rPr>
      </w:pPr>
    </w:p>
    <w:p w14:paraId="61FAC4D3" w14:textId="3FEE96CC" w:rsidR="001968CB" w:rsidRPr="001968CB" w:rsidRDefault="001968CB" w:rsidP="00A275E2">
      <w:pPr>
        <w:rPr>
          <w:b/>
        </w:rPr>
      </w:pPr>
      <w:r w:rsidRPr="001968CB">
        <w:rPr>
          <w:b/>
        </w:rPr>
        <w:t>Results</w:t>
      </w:r>
      <w:r w:rsidR="002205DC">
        <w:rPr>
          <w:b/>
        </w:rPr>
        <w:br/>
      </w:r>
    </w:p>
    <w:p w14:paraId="6C5DCB0F" w14:textId="5C97A054" w:rsidR="001968CB" w:rsidRDefault="00E21530">
      <w:r>
        <w:t xml:space="preserve">Table: </w:t>
      </w:r>
      <w:r w:rsidR="002205DC">
        <w:t>Averted healthcare outcomes and associated costs (</w:t>
      </w:r>
      <w:r>
        <w:t xml:space="preserve">Median values </w:t>
      </w:r>
      <w:r w:rsidR="002205DC">
        <w:t xml:space="preserve">presented with </w:t>
      </w:r>
      <w:r>
        <w:t>95% CIs from Monte Carlo sampling)</w:t>
      </w:r>
    </w:p>
    <w:p w14:paraId="5CDC0EB7" w14:textId="77777777" w:rsidR="00E21530" w:rsidRDefault="00E21530"/>
    <w:tbl>
      <w:tblPr>
        <w:tblStyle w:val="TableGrid"/>
        <w:tblW w:w="100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276"/>
        <w:gridCol w:w="1383"/>
        <w:gridCol w:w="1735"/>
        <w:gridCol w:w="1701"/>
        <w:gridCol w:w="1834"/>
      </w:tblGrid>
      <w:tr w:rsidR="007A27FD" w14:paraId="1FFE2FB4" w14:textId="60A255DD" w:rsidTr="00AC3C75">
        <w:tc>
          <w:tcPr>
            <w:tcW w:w="851" w:type="dxa"/>
          </w:tcPr>
          <w:p w14:paraId="6543FAAE" w14:textId="77777777" w:rsidR="00E70929" w:rsidRPr="00132CCA" w:rsidRDefault="00E70929" w:rsidP="00636BD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Age (years)</w:t>
            </w:r>
          </w:p>
        </w:tc>
        <w:tc>
          <w:tcPr>
            <w:tcW w:w="3935" w:type="dxa"/>
            <w:gridSpan w:val="3"/>
          </w:tcPr>
          <w:p w14:paraId="7BF4C557" w14:textId="13F4A3EF" w:rsidR="00E70929" w:rsidRPr="00132CCA" w:rsidRDefault="00AC3C75" w:rsidP="00E709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Annual 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v</w:t>
            </w:r>
            <w:r w:rsidR="00F64E95">
              <w:rPr>
                <w:rFonts w:ascii="Cambria" w:hAnsi="Cambria"/>
                <w:sz w:val="20"/>
                <w:szCs w:val="20"/>
              </w:rPr>
              <w:t>isits averted 2013/14</w:t>
            </w:r>
          </w:p>
        </w:tc>
        <w:tc>
          <w:tcPr>
            <w:tcW w:w="5270" w:type="dxa"/>
            <w:gridSpan w:val="3"/>
          </w:tcPr>
          <w:p w14:paraId="54D8E60C" w14:textId="130670D9" w:rsidR="00E70929" w:rsidRPr="00132CCA" w:rsidRDefault="007A27FD" w:rsidP="00E766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Annual costs averted</w:t>
            </w:r>
            <w:r w:rsidR="00132CCA">
              <w:rPr>
                <w:rFonts w:ascii="Cambria" w:hAnsi="Cambria"/>
                <w:sz w:val="20"/>
                <w:szCs w:val="20"/>
              </w:rPr>
              <w:t xml:space="preserve"> (2014 £</w:t>
            </w:r>
            <w:r w:rsidR="00AC3C75">
              <w:rPr>
                <w:rFonts w:ascii="Cambria" w:hAnsi="Cambria"/>
                <w:sz w:val="20"/>
                <w:szCs w:val="20"/>
              </w:rPr>
              <w:t>million</w:t>
            </w:r>
            <w:r w:rsid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AC3C75" w14:paraId="0F3DED36" w14:textId="74458A34" w:rsidTr="00AC3C75">
        <w:tc>
          <w:tcPr>
            <w:tcW w:w="851" w:type="dxa"/>
          </w:tcPr>
          <w:p w14:paraId="7578E1F5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9815E7A" w14:textId="3D68CA42" w:rsidR="00E70929" w:rsidRPr="00132CCA" w:rsidRDefault="00E70929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276" w:type="dxa"/>
          </w:tcPr>
          <w:p w14:paraId="33124C82" w14:textId="0468E31F" w:rsidR="00E70929" w:rsidRPr="00132CCA" w:rsidRDefault="00E70929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1383" w:type="dxa"/>
          </w:tcPr>
          <w:p w14:paraId="600DD710" w14:textId="77777777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  <w:tc>
          <w:tcPr>
            <w:tcW w:w="1735" w:type="dxa"/>
          </w:tcPr>
          <w:p w14:paraId="4F76078E" w14:textId="57AA8E9F" w:rsidR="00E70929" w:rsidRPr="00132CCA" w:rsidRDefault="007A27FD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701" w:type="dxa"/>
          </w:tcPr>
          <w:p w14:paraId="7E0CBA35" w14:textId="369A12B9" w:rsidR="00E70929" w:rsidRPr="00132CCA" w:rsidRDefault="007A27FD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1834" w:type="dxa"/>
          </w:tcPr>
          <w:p w14:paraId="6E500788" w14:textId="1D6DA739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</w:tr>
      <w:tr w:rsidR="00AC3C75" w14:paraId="76C6C672" w14:textId="1D6F9829" w:rsidTr="00AC3C75">
        <w:tc>
          <w:tcPr>
            <w:tcW w:w="851" w:type="dxa"/>
            <w:vAlign w:val="center"/>
          </w:tcPr>
          <w:p w14:paraId="55C1ED62" w14:textId="77777777" w:rsidR="00E70929" w:rsidRPr="00132CCA" w:rsidRDefault="00E70929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&lt;1</w:t>
            </w:r>
          </w:p>
        </w:tc>
        <w:tc>
          <w:tcPr>
            <w:tcW w:w="1276" w:type="dxa"/>
          </w:tcPr>
          <w:p w14:paraId="292BB64C" w14:textId="77777777" w:rsidR="00F21D23" w:rsidRPr="00AC3C75" w:rsidRDefault="00F21D23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16240</w:t>
            </w:r>
          </w:p>
          <w:p w14:paraId="0BBCAE5C" w14:textId="2FD5690C" w:rsidR="00E70929" w:rsidRPr="00AC3C75" w:rsidRDefault="00F07F6E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(4619,29224)</w:t>
            </w:r>
          </w:p>
        </w:tc>
        <w:tc>
          <w:tcPr>
            <w:tcW w:w="1276" w:type="dxa"/>
          </w:tcPr>
          <w:p w14:paraId="0FBA5D65" w14:textId="77777777" w:rsidR="00F07F6E" w:rsidRPr="00AC3C75" w:rsidRDefault="00F07F6E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5306</w:t>
            </w:r>
          </w:p>
          <w:p w14:paraId="6079A628" w14:textId="5831F615" w:rsidR="00E70929" w:rsidRPr="00AC3C75" w:rsidRDefault="00F07F6E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(2849,8099)</w:t>
            </w:r>
          </w:p>
        </w:tc>
        <w:tc>
          <w:tcPr>
            <w:tcW w:w="1383" w:type="dxa"/>
          </w:tcPr>
          <w:p w14:paraId="0DFD30D7" w14:textId="77777777" w:rsidR="00224760" w:rsidRDefault="00224760" w:rsidP="00D276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4579</w:t>
            </w:r>
          </w:p>
          <w:p w14:paraId="35E84936" w14:textId="38897FEB" w:rsidR="00E70929" w:rsidRPr="00AC3C75" w:rsidRDefault="00224760" w:rsidP="00D2766E">
            <w:pPr>
              <w:rPr>
                <w:rFonts w:ascii="Cambria" w:hAnsi="Cambria"/>
                <w:sz w:val="16"/>
                <w:szCs w:val="16"/>
              </w:rPr>
            </w:pPr>
            <w:r w:rsidRPr="00224760">
              <w:rPr>
                <w:sz w:val="16"/>
                <w:szCs w:val="16"/>
              </w:rPr>
              <w:t>(3284,5873)</w:t>
            </w:r>
          </w:p>
        </w:tc>
        <w:tc>
          <w:tcPr>
            <w:tcW w:w="1735" w:type="dxa"/>
          </w:tcPr>
          <w:p w14:paraId="15A01B87" w14:textId="72C21CDA" w:rsidR="00F21D23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65</w:t>
            </w:r>
            <w:r w:rsidR="00F21D23" w:rsidRPr="00AC3C75">
              <w:rPr>
                <w:rFonts w:ascii="Cambria" w:hAnsi="Cambria" w:cs="Times New Roman"/>
                <w:sz w:val="16"/>
                <w:szCs w:val="16"/>
              </w:rPr>
              <w:t>7</w:t>
            </w:r>
          </w:p>
          <w:p w14:paraId="526DEB61" w14:textId="40226941" w:rsidR="00E70929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(0.181,1.317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18FF096D" w14:textId="69DC139F" w:rsidR="00F07F6E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3.542</w:t>
            </w:r>
          </w:p>
          <w:p w14:paraId="5DEBB7D0" w14:textId="7136675C" w:rsidR="00E70929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(1.871,5.574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</w:tcPr>
          <w:p w14:paraId="0F59E8DC" w14:textId="77777777" w:rsidR="00224760" w:rsidRDefault="00224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0.552</w:t>
            </w:r>
          </w:p>
          <w:p w14:paraId="77D30DD6" w14:textId="0746EAB6" w:rsidR="00E70929" w:rsidRPr="00BB2A60" w:rsidRDefault="00224760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(0.377,0.760</w:t>
            </w:r>
            <w:r w:rsidRPr="00224760">
              <w:rPr>
                <w:sz w:val="16"/>
                <w:szCs w:val="16"/>
              </w:rPr>
              <w:t>)</w:t>
            </w:r>
          </w:p>
        </w:tc>
      </w:tr>
      <w:tr w:rsidR="00AC3C75" w14:paraId="017DC30A" w14:textId="26E7E685" w:rsidTr="00AC3C75">
        <w:tc>
          <w:tcPr>
            <w:tcW w:w="851" w:type="dxa"/>
            <w:vAlign w:val="center"/>
          </w:tcPr>
          <w:p w14:paraId="42B7FF6C" w14:textId="4547731C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1A5A307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18483</w:t>
            </w:r>
          </w:p>
          <w:p w14:paraId="27CE9D64" w14:textId="698B576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(7485,31092)</w:t>
            </w:r>
          </w:p>
        </w:tc>
        <w:tc>
          <w:tcPr>
            <w:tcW w:w="1276" w:type="dxa"/>
          </w:tcPr>
          <w:p w14:paraId="6C6B1E33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4962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3C78BFEC" w14:textId="64727EBD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(-85,12565)</w:t>
            </w:r>
          </w:p>
        </w:tc>
        <w:tc>
          <w:tcPr>
            <w:tcW w:w="1383" w:type="dxa"/>
            <w:vMerge w:val="restart"/>
            <w:vAlign w:val="center"/>
          </w:tcPr>
          <w:p w14:paraId="5DC443B1" w14:textId="77777777" w:rsidR="00224760" w:rsidRDefault="00224760" w:rsidP="00AC3C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5657</w:t>
            </w:r>
          </w:p>
          <w:p w14:paraId="7F679C38" w14:textId="7E1A9B49" w:rsidR="00AC3C75" w:rsidRPr="00AC3C75" w:rsidRDefault="00224760" w:rsidP="00AC3C75">
            <w:pPr>
              <w:rPr>
                <w:rFonts w:ascii="Cambria" w:hAnsi="Cambria"/>
                <w:sz w:val="16"/>
                <w:szCs w:val="16"/>
              </w:rPr>
            </w:pPr>
            <w:r w:rsidRPr="00224760">
              <w:rPr>
                <w:sz w:val="16"/>
                <w:szCs w:val="16"/>
              </w:rPr>
              <w:t>(2919,8397)</w:t>
            </w:r>
          </w:p>
        </w:tc>
        <w:tc>
          <w:tcPr>
            <w:tcW w:w="1735" w:type="dxa"/>
          </w:tcPr>
          <w:p w14:paraId="5098533A" w14:textId="70B5CE58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0.749</w:t>
            </w:r>
          </w:p>
          <w:p w14:paraId="4258AB75" w14:textId="331F04FC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(0.288,1.411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684D389C" w14:textId="28AFD382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3.313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5EB68949" w14:textId="3AFF8EE0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(-0.056,8.526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 w:val="restart"/>
            <w:vAlign w:val="center"/>
          </w:tcPr>
          <w:p w14:paraId="470A3243" w14:textId="22724B82" w:rsidR="00BB2A60" w:rsidRPr="00BB2A60" w:rsidRDefault="00224760" w:rsidP="00AC3C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0.681</w:t>
            </w:r>
          </w:p>
          <w:p w14:paraId="48CD27D4" w14:textId="59BD30FB" w:rsidR="00AC3C75" w:rsidRPr="00BB2A60" w:rsidRDefault="00224760" w:rsidP="00224760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(0.344,1</w:t>
            </w:r>
            <w:r w:rsidR="00BB2A60" w:rsidRPr="00BB2A60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069</w:t>
            </w:r>
            <w:r w:rsidR="00BB2A60" w:rsidRPr="00BB2A60">
              <w:rPr>
                <w:sz w:val="16"/>
                <w:szCs w:val="16"/>
              </w:rPr>
              <w:t>)</w:t>
            </w:r>
          </w:p>
        </w:tc>
      </w:tr>
      <w:tr w:rsidR="00AC3C75" w14:paraId="3C5214FB" w14:textId="2AB31A90" w:rsidTr="00AC3C75">
        <w:tc>
          <w:tcPr>
            <w:tcW w:w="851" w:type="dxa"/>
            <w:vAlign w:val="center"/>
          </w:tcPr>
          <w:p w14:paraId="50B01400" w14:textId="4D65C706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814E522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5192</w:t>
            </w:r>
          </w:p>
          <w:p w14:paraId="0DFC14C7" w14:textId="4C579C52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(1401,9377)</w:t>
            </w:r>
          </w:p>
        </w:tc>
        <w:tc>
          <w:tcPr>
            <w:tcW w:w="1276" w:type="dxa"/>
          </w:tcPr>
          <w:p w14:paraId="17750E60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1674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1AB5CDE4" w14:textId="00B53A11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(-116,4185)</w:t>
            </w:r>
          </w:p>
        </w:tc>
        <w:tc>
          <w:tcPr>
            <w:tcW w:w="1383" w:type="dxa"/>
            <w:vMerge/>
          </w:tcPr>
          <w:p w14:paraId="4BA87520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23C2C36B" w14:textId="2EB50324" w:rsidR="00AC3C75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0.210</w:t>
            </w:r>
          </w:p>
          <w:p w14:paraId="1A810261" w14:textId="24584D6D" w:rsidR="00AC3C75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(0.055,0.422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B7068A1" w14:textId="6EC75C1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1.117</w:t>
            </w:r>
          </w:p>
          <w:p w14:paraId="624509F8" w14:textId="046CCBD4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(-0.078,2.842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4EB2CC3D" w14:textId="128885C8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206AD31A" w14:textId="38C5B4D5" w:rsidTr="00AC3C75">
        <w:tc>
          <w:tcPr>
            <w:tcW w:w="851" w:type="dxa"/>
            <w:vAlign w:val="center"/>
          </w:tcPr>
          <w:p w14:paraId="33FBAC56" w14:textId="34A7200B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310BFBF1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2995</w:t>
            </w:r>
          </w:p>
          <w:p w14:paraId="590F4033" w14:textId="0A8525E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(466,5814)</w:t>
            </w:r>
          </w:p>
        </w:tc>
        <w:tc>
          <w:tcPr>
            <w:tcW w:w="1276" w:type="dxa"/>
          </w:tcPr>
          <w:p w14:paraId="438152B3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700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391EC004" w14:textId="534E838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(-143,1796)</w:t>
            </w:r>
          </w:p>
        </w:tc>
        <w:tc>
          <w:tcPr>
            <w:tcW w:w="1383" w:type="dxa"/>
            <w:vMerge/>
          </w:tcPr>
          <w:p w14:paraId="6BB92AF9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29C95873" w14:textId="4590BBC1" w:rsidR="00AC3C75" w:rsidRPr="00AC3C75" w:rsidRDefault="00AC3C75" w:rsidP="00374528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0.121</w:t>
            </w:r>
          </w:p>
          <w:p w14:paraId="627AEE1A" w14:textId="21664602" w:rsidR="00AC3C75" w:rsidRPr="00AC3C75" w:rsidRDefault="00AC3C75" w:rsidP="00AC3C7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</w:t>
            </w:r>
            <w:r>
              <w:rPr>
                <w:rFonts w:ascii="Cambria" w:hAnsi="Cambria" w:cs="Times New Roman"/>
                <w:sz w:val="16"/>
                <w:szCs w:val="16"/>
              </w:rPr>
              <w:t>0.018,0.260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2EC71B9" w14:textId="20848555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0.467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210D33CA" w14:textId="17AF21A3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(-0.096,1.220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3B9363DC" w14:textId="254EFE35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5B935D7F" w14:textId="75647320" w:rsidTr="00AC3C75">
        <w:tc>
          <w:tcPr>
            <w:tcW w:w="851" w:type="dxa"/>
            <w:vAlign w:val="center"/>
          </w:tcPr>
          <w:p w14:paraId="3D3160AA" w14:textId="33CD0B0B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55768B4C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2656</w:t>
            </w:r>
          </w:p>
          <w:p w14:paraId="2A5639E4" w14:textId="5C2D6B34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(720,4804)</w:t>
            </w:r>
          </w:p>
        </w:tc>
        <w:tc>
          <w:tcPr>
            <w:tcW w:w="1276" w:type="dxa"/>
          </w:tcPr>
          <w:p w14:paraId="0618C9EF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328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48F7BB64" w14:textId="00077AE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(-155,915)</w:t>
            </w:r>
          </w:p>
        </w:tc>
        <w:tc>
          <w:tcPr>
            <w:tcW w:w="1383" w:type="dxa"/>
            <w:vMerge/>
          </w:tcPr>
          <w:p w14:paraId="62DCC3D1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1A3F4473" w14:textId="004A4DDF" w:rsidR="00AC3C75" w:rsidRPr="00AC3C75" w:rsidRDefault="00AC3C75" w:rsidP="00F21D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0.107</w:t>
            </w:r>
          </w:p>
          <w:p w14:paraId="4DA78513" w14:textId="4CB64CBC" w:rsidR="00AC3C75" w:rsidRPr="00AC3C75" w:rsidRDefault="00AC3C75" w:rsidP="00F21D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(0.028,0.216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233228C6" w14:textId="395EE5B0" w:rsidR="00AC3C75" w:rsidRPr="00AC3C75" w:rsidRDefault="00AC3C75" w:rsidP="00E7660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0.219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2EA905C4" w14:textId="0463C7A5" w:rsidR="00AC3C75" w:rsidRPr="00AC3C75" w:rsidRDefault="00AC3C75" w:rsidP="00E7660F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(-0.104,0.621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75766F29" w14:textId="15DCAB62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257752B4" w14:textId="792D02EB" w:rsidTr="00AC3C75">
        <w:tc>
          <w:tcPr>
            <w:tcW w:w="851" w:type="dxa"/>
            <w:vAlign w:val="center"/>
          </w:tcPr>
          <w:p w14:paraId="3F63B248" w14:textId="22A5FC83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42185A">
              <w:rPr>
                <w:rFonts w:ascii="Cambria" w:hAnsi="Cambria"/>
                <w:b/>
                <w:sz w:val="20"/>
                <w:szCs w:val="20"/>
              </w:rPr>
              <w:t>All ages</w:t>
            </w:r>
          </w:p>
        </w:tc>
        <w:tc>
          <w:tcPr>
            <w:tcW w:w="1276" w:type="dxa"/>
          </w:tcPr>
          <w:p w14:paraId="5DEB266A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45883</w:t>
            </w:r>
          </w:p>
          <w:p w14:paraId="6EBB393D" w14:textId="36CFD355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(28751,64407)</w:t>
            </w:r>
          </w:p>
        </w:tc>
        <w:tc>
          <w:tcPr>
            <w:tcW w:w="1276" w:type="dxa"/>
          </w:tcPr>
          <w:p w14:paraId="70EFC122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13226</w:t>
            </w:r>
          </w:p>
          <w:p w14:paraId="1F8FC522" w14:textId="6CD6365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(6951,21533)</w:t>
            </w:r>
          </w:p>
        </w:tc>
        <w:tc>
          <w:tcPr>
            <w:tcW w:w="1383" w:type="dxa"/>
          </w:tcPr>
          <w:p w14:paraId="2719F245" w14:textId="77777777" w:rsidR="00224760" w:rsidRDefault="00224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10236</w:t>
            </w:r>
          </w:p>
          <w:p w14:paraId="698A7973" w14:textId="346BD011" w:rsidR="00AC3C75" w:rsidRPr="00AC3C75" w:rsidRDefault="00224760">
            <w:pPr>
              <w:rPr>
                <w:rFonts w:ascii="Cambria" w:hAnsi="Cambria"/>
                <w:sz w:val="16"/>
                <w:szCs w:val="16"/>
              </w:rPr>
            </w:pPr>
            <w:r w:rsidRPr="00224760">
              <w:rPr>
                <w:sz w:val="16"/>
                <w:szCs w:val="16"/>
              </w:rPr>
              <w:t>(7206,13267)</w:t>
            </w:r>
          </w:p>
        </w:tc>
        <w:tc>
          <w:tcPr>
            <w:tcW w:w="1735" w:type="dxa"/>
          </w:tcPr>
          <w:p w14:paraId="5E8A69F1" w14:textId="1509859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1.869</w:t>
            </w:r>
          </w:p>
          <w:p w14:paraId="6BDE2CC7" w14:textId="61C3903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(1.044,3.016</w:t>
            </w:r>
            <w:r w:rsidRPr="00AC3C75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28BB83D" w14:textId="3BE9A5E6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8.839</w:t>
            </w:r>
          </w:p>
          <w:p w14:paraId="4568C07C" w14:textId="2C33FEFE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(4.561,14.759</w:t>
            </w:r>
            <w:r w:rsidRPr="00AC3C75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1834" w:type="dxa"/>
          </w:tcPr>
          <w:p w14:paraId="6C94A3AA" w14:textId="37CE9563" w:rsidR="00BB2A60" w:rsidRPr="00BB2A60" w:rsidRDefault="00224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B2A60" w:rsidRPr="00BB2A60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234</w:t>
            </w:r>
          </w:p>
          <w:p w14:paraId="3E24D11E" w14:textId="281BE4DC" w:rsidR="00AC3C75" w:rsidRPr="00BB2A60" w:rsidRDefault="00224760" w:rsidP="00224760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(0.830</w:t>
            </w:r>
            <w:r w:rsidR="00BB2A60" w:rsidRPr="00BB2A60">
              <w:rPr>
                <w:sz w:val="16"/>
                <w:szCs w:val="16"/>
              </w:rPr>
              <w:t>,1.</w:t>
            </w:r>
            <w:r>
              <w:rPr>
                <w:sz w:val="16"/>
                <w:szCs w:val="16"/>
              </w:rPr>
              <w:t>715</w:t>
            </w:r>
            <w:r w:rsidR="00BB2A60" w:rsidRPr="00BB2A60">
              <w:rPr>
                <w:sz w:val="16"/>
                <w:szCs w:val="16"/>
              </w:rPr>
              <w:t>)</w:t>
            </w:r>
          </w:p>
        </w:tc>
      </w:tr>
      <w:tr w:rsidR="00AC3C75" w14:paraId="61A198B8" w14:textId="01ACD121" w:rsidTr="00AC3C75">
        <w:tc>
          <w:tcPr>
            <w:tcW w:w="851" w:type="dxa"/>
            <w:vAlign w:val="center"/>
          </w:tcPr>
          <w:p w14:paraId="6DAC7EF5" w14:textId="29700F98" w:rsidR="00AC3C75" w:rsidRPr="00AC3C75" w:rsidRDefault="00AC3C75" w:rsidP="00AC3C75">
            <w:pPr>
              <w:rPr>
                <w:rFonts w:ascii="Cambria" w:hAnsi="Cambria"/>
                <w:b/>
                <w:sz w:val="20"/>
                <w:szCs w:val="20"/>
              </w:rPr>
            </w:pPr>
            <w:r w:rsidRPr="00AC3C75">
              <w:rPr>
                <w:rFonts w:ascii="Cambria" w:hAnsi="Cambria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3935" w:type="dxa"/>
            <w:gridSpan w:val="3"/>
          </w:tcPr>
          <w:p w14:paraId="20F3A201" w14:textId="77777777" w:rsidR="00224760" w:rsidRPr="00447E58" w:rsidRDefault="00224760" w:rsidP="00AC3C75">
            <w:pPr>
              <w:jc w:val="center"/>
              <w:rPr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69606</w:t>
            </w:r>
          </w:p>
          <w:p w14:paraId="7C9A9393" w14:textId="3D4BD33D" w:rsidR="00AC3C75" w:rsidRPr="00447E58" w:rsidRDefault="00224760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(50824,89834)</w:t>
            </w:r>
          </w:p>
        </w:tc>
        <w:tc>
          <w:tcPr>
            <w:tcW w:w="5270" w:type="dxa"/>
            <w:gridSpan w:val="3"/>
          </w:tcPr>
          <w:p w14:paraId="7502C983" w14:textId="221D41C0" w:rsidR="00BB2A60" w:rsidRPr="00447E58" w:rsidRDefault="00224760" w:rsidP="00AC3C75">
            <w:pPr>
              <w:jc w:val="center"/>
              <w:rPr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12</w:t>
            </w:r>
            <w:r w:rsidR="00BB2A60" w:rsidRPr="00447E58">
              <w:rPr>
                <w:sz w:val="20"/>
                <w:szCs w:val="20"/>
              </w:rPr>
              <w:t>.</w:t>
            </w:r>
            <w:r w:rsidRPr="00447E58">
              <w:rPr>
                <w:sz w:val="20"/>
                <w:szCs w:val="20"/>
              </w:rPr>
              <w:t>00</w:t>
            </w:r>
            <w:r w:rsidR="00BB2A60" w:rsidRPr="00447E58">
              <w:rPr>
                <w:sz w:val="20"/>
                <w:szCs w:val="20"/>
              </w:rPr>
              <w:t>2</w:t>
            </w:r>
          </w:p>
          <w:p w14:paraId="38745304" w14:textId="5501F7A9" w:rsidR="00AC3C75" w:rsidRPr="00447E58" w:rsidRDefault="00224760" w:rsidP="0022476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(7.578,18</w:t>
            </w:r>
            <w:r w:rsidR="00BB2A60" w:rsidRPr="00447E58">
              <w:rPr>
                <w:sz w:val="20"/>
                <w:szCs w:val="20"/>
              </w:rPr>
              <w:t>.</w:t>
            </w:r>
            <w:r w:rsidRPr="00447E58">
              <w:rPr>
                <w:sz w:val="20"/>
                <w:szCs w:val="20"/>
              </w:rPr>
              <w:t>011</w:t>
            </w:r>
            <w:r w:rsidR="00BB2A60" w:rsidRPr="00447E58">
              <w:rPr>
                <w:sz w:val="20"/>
                <w:szCs w:val="20"/>
              </w:rPr>
              <w:t>)</w:t>
            </w:r>
          </w:p>
        </w:tc>
      </w:tr>
    </w:tbl>
    <w:p w14:paraId="4AFBEBD0" w14:textId="3D9AC7D8" w:rsidR="00AC3C75" w:rsidRDefault="00AC3C75"/>
    <w:p w14:paraId="0304B689" w14:textId="0CD96342" w:rsidR="00224760" w:rsidRDefault="00224760" w:rsidP="00AC3C75">
      <w:pPr>
        <w:rPr>
          <w:sz w:val="16"/>
          <w:szCs w:val="16"/>
        </w:rPr>
      </w:pPr>
      <w:r w:rsidRPr="00224760">
        <w:rPr>
          <w:sz w:val="16"/>
          <w:szCs w:val="16"/>
        </w:rPr>
        <w:tab/>
      </w:r>
      <w:bookmarkStart w:id="0" w:name="_GoBack"/>
      <w:bookmarkEnd w:id="0"/>
    </w:p>
    <w:p w14:paraId="1068205C" w14:textId="66DB4889" w:rsidR="00490CDD" w:rsidRPr="00490CDD" w:rsidRDefault="00490CDD" w:rsidP="00AC3C75">
      <w:pPr>
        <w:rPr>
          <w:rFonts w:ascii="Calibri" w:hAnsi="Calibri"/>
          <w:b/>
          <w:sz w:val="20"/>
          <w:szCs w:val="20"/>
        </w:rPr>
      </w:pPr>
      <w:r w:rsidRPr="00490CDD">
        <w:rPr>
          <w:rFonts w:ascii="Calibri" w:hAnsi="Calibri"/>
          <w:b/>
          <w:sz w:val="20"/>
          <w:szCs w:val="20"/>
        </w:rPr>
        <w:t>Data sharing</w:t>
      </w:r>
    </w:p>
    <w:p w14:paraId="2844B37B" w14:textId="4E97A051" w:rsidR="00374528" w:rsidRPr="00490CDD" w:rsidRDefault="00490CDD" w:rsidP="00490CDD">
      <w:pPr>
        <w:rPr>
          <w:rFonts w:ascii="Calibri" w:hAnsi="Calibri"/>
          <w:sz w:val="20"/>
          <w:szCs w:val="20"/>
        </w:rPr>
      </w:pPr>
      <w:r w:rsidRPr="00490CDD">
        <w:rPr>
          <w:rFonts w:ascii="Calibri" w:hAnsi="Calibri"/>
          <w:sz w:val="20"/>
          <w:szCs w:val="20"/>
        </w:rPr>
        <w:t>All code is available on https://github.com/katiito/rotaenglandcostcalculations</w:t>
      </w:r>
      <w:r w:rsidR="00AC3C75" w:rsidRPr="00490CDD">
        <w:rPr>
          <w:rFonts w:ascii="Calibri" w:hAnsi="Calibri"/>
          <w:sz w:val="20"/>
          <w:szCs w:val="20"/>
        </w:rPr>
        <w:tab/>
      </w:r>
      <w:r w:rsidR="00072097" w:rsidRPr="00490CDD">
        <w:rPr>
          <w:rFonts w:ascii="Calibri" w:hAnsi="Calibri"/>
          <w:sz w:val="20"/>
          <w:szCs w:val="20"/>
        </w:rPr>
        <w:tab/>
      </w:r>
      <w:r w:rsidR="00374528" w:rsidRPr="00490CDD">
        <w:rPr>
          <w:rFonts w:ascii="Calibri" w:hAnsi="Calibri" w:cs="Times New Roman"/>
          <w:sz w:val="20"/>
          <w:szCs w:val="20"/>
        </w:rPr>
        <w:tab/>
      </w:r>
      <w:r w:rsidR="00F07F6E" w:rsidRPr="00490CDD">
        <w:rPr>
          <w:rFonts w:ascii="Calibri" w:hAnsi="Calibri" w:cs="Times New Roman"/>
          <w:sz w:val="20"/>
          <w:szCs w:val="20"/>
        </w:rPr>
        <w:tab/>
      </w:r>
    </w:p>
    <w:p w14:paraId="7FD6435D" w14:textId="41AD6248" w:rsidR="00F07F6E" w:rsidRPr="00F07F6E" w:rsidRDefault="00F07F6E" w:rsidP="00F07F6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 w:rsidRPr="00F07F6E">
        <w:rPr>
          <w:rFonts w:ascii="Calibri" w:hAnsi="Calibri" w:cs="Times New Roman"/>
          <w:sz w:val="20"/>
          <w:szCs w:val="20"/>
        </w:rPr>
        <w:tab/>
      </w:r>
    </w:p>
    <w:p w14:paraId="59E34C15" w14:textId="13C9B123" w:rsidR="00F07F6E" w:rsidRPr="004A3199" w:rsidRDefault="00A275E2" w:rsidP="00F07F6E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  <w:r w:rsidRPr="004A3199">
        <w:rPr>
          <w:rFonts w:ascii="Calibri" w:hAnsi="Calibri" w:cs="Times New Roman"/>
          <w:b/>
          <w:sz w:val="20"/>
          <w:szCs w:val="20"/>
        </w:rPr>
        <w:t>Notes</w:t>
      </w:r>
      <w:r w:rsidR="008D5C5D">
        <w:rPr>
          <w:rFonts w:ascii="Calibri" w:hAnsi="Calibri" w:cs="Times New Roman"/>
          <w:b/>
          <w:sz w:val="20"/>
          <w:szCs w:val="20"/>
        </w:rPr>
        <w:t xml:space="preserve"> for Discussion</w:t>
      </w:r>
      <w:r w:rsidRPr="004A3199">
        <w:rPr>
          <w:rFonts w:ascii="Calibri" w:hAnsi="Calibri" w:cs="Times New Roman"/>
          <w:b/>
          <w:sz w:val="20"/>
          <w:szCs w:val="20"/>
        </w:rPr>
        <w:t>:</w:t>
      </w:r>
      <w:r w:rsidR="00F07F6E" w:rsidRPr="004A3199">
        <w:rPr>
          <w:rFonts w:ascii="Calibri" w:hAnsi="Calibri" w:cs="Times New Roman"/>
          <w:b/>
          <w:sz w:val="20"/>
          <w:szCs w:val="20"/>
        </w:rPr>
        <w:tab/>
      </w:r>
    </w:p>
    <w:p w14:paraId="4D6D8AA9" w14:textId="5ED4282C" w:rsidR="0030025C" w:rsidRDefault="00A17F58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Percentage of UK population living in England = 84% [</w:t>
      </w:r>
      <w:r w:rsidRPr="00A17F58">
        <w:rPr>
          <w:rFonts w:ascii="Calibri" w:hAnsi="Calibri" w:cs="Times New Roman"/>
          <w:sz w:val="20"/>
          <w:szCs w:val="20"/>
        </w:rPr>
        <w:t>http://www.ons.gov.uk/ons/rel/pop-estimate/population-estimates-for-uk--england-and-wales--scotland-and-northern-ireland/mid-2014/mid-year-population-estimates-for-the-uk-2014.html</w:t>
      </w:r>
      <w:r>
        <w:rPr>
          <w:rFonts w:ascii="Calibri" w:hAnsi="Calibri" w:cs="Times New Roman"/>
          <w:sz w:val="20"/>
          <w:szCs w:val="20"/>
        </w:rPr>
        <w:t>]</w:t>
      </w:r>
    </w:p>
    <w:p w14:paraId="516CA011" w14:textId="77777777" w:rsidR="00A17F58" w:rsidRDefault="00A17F58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</w:p>
    <w:p w14:paraId="7E6D542D" w14:textId="77777777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Vaccine-related costs:</w:t>
      </w:r>
    </w:p>
    <w:p w14:paraId="05125BC5" w14:textId="77777777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</w:p>
    <w:p w14:paraId="6FE39F60" w14:textId="09DF2789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Total annual live births in 2014 = </w:t>
      </w:r>
      <w:r w:rsidRPr="0030025C">
        <w:rPr>
          <w:rFonts w:ascii="Calibri" w:hAnsi="Calibri"/>
          <w:sz w:val="20"/>
          <w:szCs w:val="20"/>
        </w:rPr>
        <w:t>661</w:t>
      </w:r>
      <w:r w:rsidR="00ED0038">
        <w:rPr>
          <w:rFonts w:ascii="Calibri" w:hAnsi="Calibri"/>
          <w:sz w:val="20"/>
          <w:szCs w:val="20"/>
        </w:rPr>
        <w:t>,</w:t>
      </w:r>
      <w:r w:rsidRPr="0030025C">
        <w:rPr>
          <w:rFonts w:ascii="Calibri" w:hAnsi="Calibri"/>
          <w:sz w:val="20"/>
          <w:szCs w:val="20"/>
        </w:rPr>
        <w:t>496</w:t>
      </w:r>
    </w:p>
    <w:p w14:paraId="4444E73B" w14:textId="2BB48FC9" w:rsidR="0040207E" w:rsidRPr="0040207E" w:rsidRDefault="0040207E" w:rsidP="0040207E">
      <w:pPr>
        <w:rPr>
          <w:rFonts w:ascii="Arial" w:eastAsia="Times New Roman" w:hAnsi="Arial" w:cs="Arial"/>
          <w:bCs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</w:rPr>
        <w:t xml:space="preserve">Total annual live births in 2013 = </w:t>
      </w:r>
      <w:r w:rsidRPr="0040207E">
        <w:rPr>
          <w:rFonts w:ascii="Arial" w:eastAsia="Times New Roman" w:hAnsi="Arial" w:cs="Arial"/>
          <w:bCs/>
          <w:sz w:val="20"/>
          <w:szCs w:val="20"/>
          <w:lang w:val="en-GB"/>
        </w:rPr>
        <w:t>664,517</w:t>
      </w:r>
    </w:p>
    <w:p w14:paraId="06E31427" w14:textId="28AF0B31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Vaccine price (course) = £</w:t>
      </w:r>
      <w:r w:rsidR="00A17F58">
        <w:rPr>
          <w:rFonts w:ascii="Calibri" w:hAnsi="Calibri"/>
          <w:sz w:val="20"/>
          <w:szCs w:val="20"/>
        </w:rPr>
        <w:t>36.67 [using Jit et al. Vaccine 2010, with 1.46 euro-&gt; sterling and E</w:t>
      </w:r>
      <w:r w:rsidR="001D7D64">
        <w:rPr>
          <w:rFonts w:ascii="Calibri" w:hAnsi="Calibri"/>
          <w:sz w:val="20"/>
          <w:szCs w:val="20"/>
        </w:rPr>
        <w:t>uro</w:t>
      </w:r>
      <w:r w:rsidR="00A17F58">
        <w:rPr>
          <w:rFonts w:ascii="Calibri" w:hAnsi="Calibri"/>
          <w:sz w:val="20"/>
          <w:szCs w:val="20"/>
        </w:rPr>
        <w:t>27.50]</w:t>
      </w:r>
    </w:p>
    <w:p w14:paraId="11D0E1B8" w14:textId="7C361902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Vaccine uptake (1 dose) </w:t>
      </w:r>
      <w:r w:rsidR="00C54D82">
        <w:rPr>
          <w:rFonts w:ascii="Calibri" w:hAnsi="Calibri"/>
          <w:sz w:val="20"/>
          <w:szCs w:val="20"/>
        </w:rPr>
        <w:t xml:space="preserve">in 2013 </w:t>
      </w:r>
      <w:r>
        <w:rPr>
          <w:rFonts w:ascii="Calibri" w:hAnsi="Calibri"/>
          <w:sz w:val="20"/>
          <w:szCs w:val="20"/>
        </w:rPr>
        <w:t>= 93%</w:t>
      </w:r>
    </w:p>
    <w:p w14:paraId="156FFFA7" w14:textId="426A6E24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Vaccine uptake (2 doses) </w:t>
      </w:r>
      <w:r w:rsidR="00C54D82">
        <w:rPr>
          <w:rFonts w:ascii="Calibri" w:hAnsi="Calibri"/>
          <w:sz w:val="20"/>
          <w:szCs w:val="20"/>
        </w:rPr>
        <w:t xml:space="preserve">in 2013 </w:t>
      </w:r>
      <w:r>
        <w:rPr>
          <w:rFonts w:ascii="Calibri" w:hAnsi="Calibri"/>
          <w:sz w:val="20"/>
          <w:szCs w:val="20"/>
        </w:rPr>
        <w:t>= 88%</w:t>
      </w:r>
    </w:p>
    <w:p w14:paraId="3093C990" w14:textId="5E4D17C3" w:rsidR="0030025C" w:rsidRDefault="00A17F58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Cost per course vaccine admin = £10.95 [using Jit et al. Vaccine 2010 with 1.46-&gt; sterling and E</w:t>
      </w:r>
      <w:r w:rsidR="001D7D64">
        <w:rPr>
          <w:rFonts w:ascii="Calibri" w:hAnsi="Calibri"/>
          <w:sz w:val="20"/>
          <w:szCs w:val="20"/>
        </w:rPr>
        <w:t>uro</w:t>
      </w:r>
      <w:r>
        <w:rPr>
          <w:rFonts w:ascii="Calibri" w:hAnsi="Calibri"/>
          <w:sz w:val="20"/>
          <w:szCs w:val="20"/>
        </w:rPr>
        <w:t>8]</w:t>
      </w:r>
    </w:p>
    <w:p w14:paraId="3E3E6F06" w14:textId="77777777" w:rsidR="00C54D82" w:rsidRDefault="00C54D82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3A0875B3" w14:textId="5F9855D1" w:rsidR="00106A55" w:rsidRDefault="00106A55" w:rsidP="00106A55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Total cost of vaccine purchase and admin (2013)</w:t>
      </w:r>
    </w:p>
    <w:p w14:paraId="71981849" w14:textId="77777777" w:rsidR="00106A55" w:rsidRDefault="00106A55" w:rsidP="00106A55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47.63</w:t>
      </w:r>
      <w:r w:rsidRPr="0030025C">
        <w:rPr>
          <w:rFonts w:ascii="Calibri" w:hAnsi="Calibri"/>
          <w:sz w:val="20"/>
          <w:szCs w:val="20"/>
        </w:rPr>
        <w:t>*</w:t>
      </w:r>
      <w:r>
        <w:rPr>
          <w:rFonts w:ascii="Arial" w:eastAsia="Times New Roman" w:hAnsi="Arial" w:cs="Arial"/>
          <w:bCs/>
          <w:sz w:val="20"/>
          <w:szCs w:val="20"/>
          <w:lang w:val="en-GB"/>
        </w:rPr>
        <w:t>664</w:t>
      </w:r>
      <w:r w:rsidRPr="0040207E">
        <w:rPr>
          <w:rFonts w:ascii="Arial" w:eastAsia="Times New Roman" w:hAnsi="Arial" w:cs="Arial"/>
          <w:bCs/>
          <w:sz w:val="20"/>
          <w:szCs w:val="20"/>
          <w:lang w:val="en-GB"/>
        </w:rPr>
        <w:t>517</w:t>
      </w:r>
      <w:r w:rsidRPr="0030025C">
        <w:rPr>
          <w:rFonts w:ascii="Calibri" w:hAnsi="Calibri"/>
          <w:sz w:val="20"/>
          <w:szCs w:val="20"/>
        </w:rPr>
        <w:t>*(0.88 + (0.93-0.88)/2)</w:t>
      </w:r>
      <w:r>
        <w:rPr>
          <w:rFonts w:ascii="Calibri" w:hAnsi="Calibri"/>
          <w:sz w:val="20"/>
          <w:szCs w:val="20"/>
        </w:rPr>
        <w:t xml:space="preserve"> = £ 28, 644, 000</w:t>
      </w:r>
    </w:p>
    <w:p w14:paraId="7337AD83" w14:textId="77777777" w:rsidR="00106A55" w:rsidRDefault="00106A55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56F506DF" w14:textId="77777777" w:rsidR="0040207E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Total cost of vaccine purchase and admin </w:t>
      </w:r>
      <w:r w:rsidR="0040207E">
        <w:rPr>
          <w:rFonts w:ascii="Calibri" w:hAnsi="Calibri"/>
          <w:sz w:val="20"/>
          <w:szCs w:val="20"/>
        </w:rPr>
        <w:t>(2014)</w:t>
      </w:r>
    </w:p>
    <w:p w14:paraId="063A1FED" w14:textId="77777777" w:rsidR="008D5C5D" w:rsidRDefault="00A17F58" w:rsidP="0013037D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47.63</w:t>
      </w:r>
      <w:r w:rsidR="0030025C" w:rsidRPr="0030025C">
        <w:rPr>
          <w:rFonts w:ascii="Calibri" w:hAnsi="Calibri"/>
          <w:sz w:val="20"/>
          <w:szCs w:val="20"/>
        </w:rPr>
        <w:t>*661496*(0.88 + (0.93-0.88)/2)</w:t>
      </w:r>
      <w:r w:rsidR="0030025C">
        <w:rPr>
          <w:rFonts w:ascii="Calibri" w:hAnsi="Calibri"/>
          <w:sz w:val="20"/>
          <w:szCs w:val="20"/>
        </w:rPr>
        <w:t xml:space="preserve"> = £ 2</w:t>
      </w:r>
      <w:r>
        <w:rPr>
          <w:rFonts w:ascii="Calibri" w:hAnsi="Calibri"/>
          <w:sz w:val="20"/>
          <w:szCs w:val="20"/>
        </w:rPr>
        <w:t>8</w:t>
      </w:r>
      <w:r w:rsidR="0030025C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514</w:t>
      </w:r>
      <w:r w:rsidR="0030025C">
        <w:rPr>
          <w:rFonts w:ascii="Calibri" w:hAnsi="Calibri"/>
          <w:sz w:val="20"/>
          <w:szCs w:val="20"/>
        </w:rPr>
        <w:t>, 000</w:t>
      </w:r>
    </w:p>
    <w:p w14:paraId="0F28842B" w14:textId="77777777" w:rsidR="008D5C5D" w:rsidRDefault="008D5C5D" w:rsidP="0013037D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20"/>
          <w:szCs w:val="20"/>
        </w:rPr>
      </w:pPr>
    </w:p>
    <w:p w14:paraId="3B9D5020" w14:textId="77777777" w:rsidR="008D5C5D" w:rsidRDefault="008D5C5D" w:rsidP="008D5C5D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</w:rPr>
      </w:pPr>
      <w:r w:rsidRPr="008D5C5D">
        <w:rPr>
          <w:rFonts w:ascii="Calibri" w:hAnsi="Calibri"/>
          <w:b/>
          <w:sz w:val="20"/>
          <w:szCs w:val="20"/>
        </w:rPr>
        <w:t>Refs</w:t>
      </w:r>
    </w:p>
    <w:p w14:paraId="1CB48C5D" w14:textId="04577B8A" w:rsidR="00247943" w:rsidRPr="008D5C5D" w:rsidRDefault="008D5C5D" w:rsidP="008D5C5D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</w:rPr>
      </w:pPr>
      <w:r w:rsidRPr="008D5C5D">
        <w:rPr>
          <w:rFonts w:ascii="Calibri" w:hAnsi="Calibri"/>
          <w:sz w:val="20"/>
          <w:szCs w:val="20"/>
        </w:rPr>
        <w:t xml:space="preserve">NHS Reference costs 2013-14 </w:t>
      </w:r>
      <w:hyperlink r:id="rId6" w:history="1">
        <w:r w:rsidRPr="008D5C5D">
          <w:rPr>
            <w:rStyle w:val="Hyperlink"/>
            <w:rFonts w:ascii="Calibri" w:hAnsi="Calibri"/>
            <w:sz w:val="20"/>
            <w:szCs w:val="20"/>
          </w:rPr>
          <w:t>https://www.gov.uk/government/publications/nhs-reference-costs-2013-to-2014</w:t>
        </w:r>
      </w:hyperlink>
      <w:r w:rsidRPr="008D5C5D">
        <w:rPr>
          <w:rFonts w:ascii="Calibri" w:hAnsi="Calibri"/>
          <w:sz w:val="20"/>
          <w:szCs w:val="20"/>
        </w:rPr>
        <w:t xml:space="preserve"> (accessed 6 November 2015</w:t>
      </w:r>
      <w:r>
        <w:rPr>
          <w:rFonts w:ascii="Calibri" w:hAnsi="Calibri"/>
          <w:b/>
          <w:sz w:val="20"/>
          <w:szCs w:val="20"/>
        </w:rPr>
        <w:t>)</w:t>
      </w:r>
      <w:r w:rsidR="00E7660F" w:rsidRPr="008D5C5D">
        <w:rPr>
          <w:rFonts w:ascii="Calibri" w:hAnsi="Calibri"/>
          <w:b/>
          <w:sz w:val="20"/>
          <w:szCs w:val="20"/>
        </w:rPr>
        <w:tab/>
      </w:r>
    </w:p>
    <w:sectPr w:rsidR="00247943" w:rsidRPr="008D5C5D" w:rsidSect="004C5A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CB"/>
    <w:rsid w:val="00072097"/>
    <w:rsid w:val="000951F1"/>
    <w:rsid w:val="000D71DB"/>
    <w:rsid w:val="0010210E"/>
    <w:rsid w:val="00103DE7"/>
    <w:rsid w:val="00106A55"/>
    <w:rsid w:val="0011529B"/>
    <w:rsid w:val="0013037D"/>
    <w:rsid w:val="00132CCA"/>
    <w:rsid w:val="001968CB"/>
    <w:rsid w:val="001B267A"/>
    <w:rsid w:val="001B72D8"/>
    <w:rsid w:val="001C66F2"/>
    <w:rsid w:val="001D5ED6"/>
    <w:rsid w:val="001D7D64"/>
    <w:rsid w:val="002205DC"/>
    <w:rsid w:val="00224760"/>
    <w:rsid w:val="00236F8C"/>
    <w:rsid w:val="00247943"/>
    <w:rsid w:val="00295BE5"/>
    <w:rsid w:val="002D050A"/>
    <w:rsid w:val="0030025C"/>
    <w:rsid w:val="00364CC7"/>
    <w:rsid w:val="00374528"/>
    <w:rsid w:val="003A7877"/>
    <w:rsid w:val="003E31B9"/>
    <w:rsid w:val="0040207E"/>
    <w:rsid w:val="00404914"/>
    <w:rsid w:val="0042185A"/>
    <w:rsid w:val="0042233C"/>
    <w:rsid w:val="00447E58"/>
    <w:rsid w:val="00490CDD"/>
    <w:rsid w:val="004A3199"/>
    <w:rsid w:val="004C5AD5"/>
    <w:rsid w:val="005013D2"/>
    <w:rsid w:val="005202EC"/>
    <w:rsid w:val="005357D9"/>
    <w:rsid w:val="005C2C20"/>
    <w:rsid w:val="005C3FA2"/>
    <w:rsid w:val="00606E1A"/>
    <w:rsid w:val="00614DF8"/>
    <w:rsid w:val="0062206E"/>
    <w:rsid w:val="00636BD3"/>
    <w:rsid w:val="00645938"/>
    <w:rsid w:val="006A349D"/>
    <w:rsid w:val="006B3985"/>
    <w:rsid w:val="00713159"/>
    <w:rsid w:val="00722229"/>
    <w:rsid w:val="007465EB"/>
    <w:rsid w:val="00771A98"/>
    <w:rsid w:val="007A27FD"/>
    <w:rsid w:val="007C6B72"/>
    <w:rsid w:val="00803E49"/>
    <w:rsid w:val="00834493"/>
    <w:rsid w:val="008D5C5D"/>
    <w:rsid w:val="00912109"/>
    <w:rsid w:val="00972099"/>
    <w:rsid w:val="009A251D"/>
    <w:rsid w:val="00A11B32"/>
    <w:rsid w:val="00A177F0"/>
    <w:rsid w:val="00A17F58"/>
    <w:rsid w:val="00A249AB"/>
    <w:rsid w:val="00A275E2"/>
    <w:rsid w:val="00A43E84"/>
    <w:rsid w:val="00AB6F1B"/>
    <w:rsid w:val="00AC3C75"/>
    <w:rsid w:val="00BB2A60"/>
    <w:rsid w:val="00BF6A0E"/>
    <w:rsid w:val="00C20321"/>
    <w:rsid w:val="00C54D82"/>
    <w:rsid w:val="00CF7431"/>
    <w:rsid w:val="00D01517"/>
    <w:rsid w:val="00D2766E"/>
    <w:rsid w:val="00D4530B"/>
    <w:rsid w:val="00D70E49"/>
    <w:rsid w:val="00E03560"/>
    <w:rsid w:val="00E21530"/>
    <w:rsid w:val="00E259D2"/>
    <w:rsid w:val="00E70929"/>
    <w:rsid w:val="00E7660F"/>
    <w:rsid w:val="00ED0038"/>
    <w:rsid w:val="00F07F6E"/>
    <w:rsid w:val="00F21D23"/>
    <w:rsid w:val="00F64E95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99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v.uk/government/publications/nhs-reference-costs-2013-to-201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9B9DD-E9C4-1D4B-B2B7-63354F22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922</Words>
  <Characters>5261</Characters>
  <Application>Microsoft Macintosh Word</Application>
  <DocSecurity>0</DocSecurity>
  <Lines>43</Lines>
  <Paragraphs>12</Paragraphs>
  <ScaleCrop>false</ScaleCrop>
  <Company>London School of Hygiene and Tropical Medicine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Atkins</dc:creator>
  <cp:keywords/>
  <dc:description/>
  <cp:lastModifiedBy>Katie Atkins</cp:lastModifiedBy>
  <cp:revision>63</cp:revision>
  <dcterms:created xsi:type="dcterms:W3CDTF">2015-07-20T10:52:00Z</dcterms:created>
  <dcterms:modified xsi:type="dcterms:W3CDTF">2015-11-11T12:11:00Z</dcterms:modified>
</cp:coreProperties>
</file>