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1BE20" w14:textId="77777777" w:rsidR="00713159" w:rsidRDefault="001968CB">
      <w:r>
        <w:t>Section: Estimating the healthcare-associated economic benefits of rotavirus vaccination introduction in England and Wales.</w:t>
      </w:r>
    </w:p>
    <w:p w14:paraId="17D78F72" w14:textId="77777777" w:rsidR="001968CB" w:rsidRDefault="001968CB"/>
    <w:p w14:paraId="43A6B645" w14:textId="77777777" w:rsidR="001968CB" w:rsidRDefault="001968CB">
      <w:pPr>
        <w:rPr>
          <w:i/>
        </w:rPr>
      </w:pPr>
      <w:r w:rsidRPr="001968CB">
        <w:rPr>
          <w:i/>
        </w:rPr>
        <w:t>Katherine E. Atkins</w:t>
      </w:r>
    </w:p>
    <w:p w14:paraId="6DAB5532" w14:textId="77777777" w:rsidR="001968CB" w:rsidRDefault="001968CB">
      <w:pPr>
        <w:rPr>
          <w:i/>
        </w:rPr>
      </w:pPr>
    </w:p>
    <w:p w14:paraId="73C3F442" w14:textId="77777777" w:rsidR="00AB6F1B" w:rsidRDefault="001968CB" w:rsidP="0062206E">
      <w:pPr>
        <w:rPr>
          <w:rFonts w:ascii="Calibri" w:hAnsi="Calibri"/>
          <w:b/>
          <w:sz w:val="20"/>
          <w:szCs w:val="20"/>
        </w:rPr>
      </w:pPr>
      <w:r w:rsidRPr="001B72D8">
        <w:rPr>
          <w:rFonts w:ascii="Calibri" w:hAnsi="Calibri"/>
          <w:b/>
          <w:sz w:val="20"/>
          <w:szCs w:val="20"/>
        </w:rPr>
        <w:t>Methods</w:t>
      </w:r>
    </w:p>
    <w:p w14:paraId="6FD1715B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25DFBE63" w14:textId="3A43DE41" w:rsidR="00AB6F1B" w:rsidRDefault="00AB6F1B" w:rsidP="0062206E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Healthcare outcomes averted</w:t>
      </w:r>
    </w:p>
    <w:p w14:paraId="13979BE2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24B28835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1B5573EC" w14:textId="03FCF17B" w:rsidR="00AB6F1B" w:rsidRDefault="00AB6F1B" w:rsidP="0062206E">
      <w:pPr>
        <w:rPr>
          <w:rFonts w:ascii="Calibri" w:hAnsi="Calibri"/>
          <w:sz w:val="20"/>
          <w:szCs w:val="20"/>
        </w:rPr>
      </w:pPr>
      <w:r w:rsidRPr="00AB6F1B">
        <w:rPr>
          <w:rFonts w:ascii="Calibri" w:hAnsi="Calibri"/>
          <w:i/>
          <w:sz w:val="20"/>
          <w:szCs w:val="20"/>
        </w:rPr>
        <w:t>GP visits</w:t>
      </w:r>
      <w:r>
        <w:rPr>
          <w:rFonts w:ascii="Calibri" w:hAnsi="Calibri"/>
          <w:i/>
          <w:sz w:val="20"/>
          <w:szCs w:val="20"/>
        </w:rPr>
        <w:t>:</w:t>
      </w:r>
      <w:r w:rsidR="00614DF8">
        <w:rPr>
          <w:rFonts w:ascii="Calibri" w:hAnsi="Calibri"/>
          <w:i/>
          <w:sz w:val="20"/>
          <w:szCs w:val="20"/>
        </w:rPr>
        <w:t xml:space="preserve"> </w:t>
      </w:r>
      <w:r w:rsidR="00614DF8">
        <w:rPr>
          <w:rFonts w:ascii="Calibri" w:hAnsi="Calibri"/>
          <w:sz w:val="20"/>
          <w:szCs w:val="20"/>
        </w:rPr>
        <w:t>To generate a distribution for the annual GP consultations</w:t>
      </w:r>
      <w:r w:rsidR="006A349D">
        <w:rPr>
          <w:rFonts w:ascii="Calibri" w:hAnsi="Calibri"/>
          <w:sz w:val="20"/>
          <w:szCs w:val="20"/>
        </w:rPr>
        <w:t xml:space="preserve"> averted, we subtracted the 2013-4</w:t>
      </w:r>
      <w:r w:rsidR="00614DF8">
        <w:rPr>
          <w:rFonts w:ascii="Calibri" w:hAnsi="Calibri"/>
          <w:sz w:val="20"/>
          <w:szCs w:val="20"/>
        </w:rPr>
        <w:t xml:space="preserve"> observed number of GP consultations from the annual number of predicted GP consultations from the statistical model (section XX Methods). </w:t>
      </w:r>
      <w:r w:rsidR="00972099">
        <w:rPr>
          <w:rFonts w:ascii="Calibri" w:hAnsi="Calibri"/>
          <w:sz w:val="20"/>
          <w:szCs w:val="20"/>
        </w:rPr>
        <w:t>Consistent with the previously described statistical model, we assumed the annual incidence rate in each age group was log</w:t>
      </w:r>
      <w:r w:rsidR="006A349D">
        <w:rPr>
          <w:rFonts w:ascii="Calibri" w:hAnsi="Calibri"/>
          <w:sz w:val="20"/>
          <w:szCs w:val="20"/>
        </w:rPr>
        <w:t>-</w:t>
      </w:r>
      <w:r w:rsidR="00972099">
        <w:rPr>
          <w:rFonts w:ascii="Calibri" w:hAnsi="Calibri"/>
          <w:sz w:val="20"/>
          <w:szCs w:val="20"/>
        </w:rPr>
        <w:t>normal</w:t>
      </w:r>
      <w:bookmarkStart w:id="0" w:name="_GoBack"/>
      <w:bookmarkEnd w:id="0"/>
      <w:r w:rsidR="00972099">
        <w:rPr>
          <w:rFonts w:ascii="Calibri" w:hAnsi="Calibri"/>
          <w:sz w:val="20"/>
          <w:szCs w:val="20"/>
        </w:rPr>
        <w:t>ly distributed.</w:t>
      </w:r>
      <w:r w:rsidR="007C6B72">
        <w:rPr>
          <w:rFonts w:ascii="Calibri" w:hAnsi="Calibri"/>
          <w:sz w:val="20"/>
          <w:szCs w:val="20"/>
        </w:rPr>
        <w:t xml:space="preserve"> </w:t>
      </w:r>
    </w:p>
    <w:p w14:paraId="6E706ED0" w14:textId="77777777" w:rsidR="007C6B72" w:rsidRDefault="007C6B72" w:rsidP="0062206E">
      <w:pPr>
        <w:rPr>
          <w:rFonts w:ascii="Calibri" w:hAnsi="Calibri"/>
          <w:sz w:val="20"/>
          <w:szCs w:val="20"/>
        </w:rPr>
      </w:pPr>
    </w:p>
    <w:p w14:paraId="5067E14B" w14:textId="0868A69E" w:rsidR="007C6B72" w:rsidRPr="005357D9" w:rsidRDefault="007C6B72" w:rsidP="007C6B72">
      <w:pPr>
        <w:rPr>
          <w:rFonts w:ascii="Calibri" w:hAnsi="Calibri"/>
          <w:sz w:val="20"/>
          <w:szCs w:val="20"/>
        </w:rPr>
      </w:pPr>
      <w:r w:rsidRPr="00AB6F1B">
        <w:rPr>
          <w:rFonts w:ascii="Calibri" w:hAnsi="Calibri"/>
          <w:i/>
          <w:sz w:val="20"/>
          <w:szCs w:val="20"/>
        </w:rPr>
        <w:t>Hospital visits</w:t>
      </w:r>
      <w:r>
        <w:rPr>
          <w:rFonts w:ascii="Calibri" w:hAnsi="Calibri"/>
          <w:i/>
          <w:sz w:val="20"/>
          <w:szCs w:val="20"/>
        </w:rPr>
        <w:t>: …</w:t>
      </w:r>
      <w:r w:rsidR="005357D9">
        <w:rPr>
          <w:rFonts w:ascii="Calibri" w:hAnsi="Calibri"/>
          <w:i/>
          <w:sz w:val="20"/>
          <w:szCs w:val="20"/>
        </w:rPr>
        <w:t xml:space="preserve"> </w:t>
      </w:r>
      <w:r w:rsidR="007465EB">
        <w:rPr>
          <w:rFonts w:ascii="Calibri" w:hAnsi="Calibri"/>
          <w:i/>
          <w:sz w:val="20"/>
          <w:szCs w:val="20"/>
        </w:rPr>
        <w:t>&lt;</w:t>
      </w:r>
      <w:r w:rsidR="005357D9">
        <w:rPr>
          <w:rFonts w:ascii="Calibri" w:hAnsi="Calibri"/>
          <w:sz w:val="20"/>
          <w:szCs w:val="20"/>
        </w:rPr>
        <w:t xml:space="preserve">ask for mid year population estimates for 2013-4 in order to calculate the predicted number of cases </w:t>
      </w:r>
      <w:proofErr w:type="gramStart"/>
      <w:r w:rsidR="005357D9">
        <w:rPr>
          <w:rFonts w:ascii="Calibri" w:hAnsi="Calibri"/>
          <w:sz w:val="20"/>
          <w:szCs w:val="20"/>
        </w:rPr>
        <w:t>log(</w:t>
      </w:r>
      <w:proofErr w:type="gramEnd"/>
      <w:r w:rsidR="005357D9">
        <w:rPr>
          <w:rFonts w:ascii="Calibri" w:hAnsi="Calibri"/>
          <w:sz w:val="20"/>
          <w:szCs w:val="20"/>
        </w:rPr>
        <w:t>I / pop estimates)</w:t>
      </w:r>
      <w:r w:rsidR="007465EB">
        <w:rPr>
          <w:rFonts w:ascii="Calibri" w:hAnsi="Calibri"/>
          <w:sz w:val="20"/>
          <w:szCs w:val="20"/>
        </w:rPr>
        <w:t>&gt;</w:t>
      </w:r>
    </w:p>
    <w:p w14:paraId="6A581699" w14:textId="77777777" w:rsidR="007C6B72" w:rsidRDefault="007C6B72" w:rsidP="0062206E">
      <w:pPr>
        <w:rPr>
          <w:rFonts w:ascii="Calibri" w:hAnsi="Calibri"/>
          <w:sz w:val="20"/>
          <w:szCs w:val="20"/>
        </w:rPr>
      </w:pPr>
    </w:p>
    <w:p w14:paraId="3C3AE1CC" w14:textId="2AB3E523" w:rsidR="007C6B72" w:rsidRPr="007C6B72" w:rsidRDefault="007C6B72" w:rsidP="0062206E">
      <w:pPr>
        <w:rPr>
          <w:rFonts w:ascii="Calibri" w:hAnsi="Calibri"/>
          <w:i/>
          <w:sz w:val="20"/>
          <w:szCs w:val="20"/>
        </w:rPr>
      </w:pPr>
      <w:r w:rsidRPr="007C6B72">
        <w:rPr>
          <w:rFonts w:ascii="Calibri" w:hAnsi="Calibri"/>
          <w:i/>
          <w:sz w:val="20"/>
          <w:szCs w:val="20"/>
        </w:rPr>
        <w:t>A&amp;E visits: …</w:t>
      </w:r>
    </w:p>
    <w:p w14:paraId="70201F16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42144989" w14:textId="205988BF" w:rsidR="0062206E" w:rsidRDefault="00AB6F1B" w:rsidP="0062206E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Healthcare costs averted</w:t>
      </w:r>
    </w:p>
    <w:p w14:paraId="2C494FC2" w14:textId="77777777" w:rsidR="00AB6F1B" w:rsidRDefault="00AB6F1B" w:rsidP="0011529B">
      <w:pPr>
        <w:rPr>
          <w:rFonts w:ascii="Calibri" w:hAnsi="Calibri"/>
          <w:i/>
          <w:sz w:val="20"/>
          <w:szCs w:val="20"/>
        </w:rPr>
      </w:pPr>
    </w:p>
    <w:p w14:paraId="50AD6678" w14:textId="77777777" w:rsidR="00834493" w:rsidRDefault="00834493" w:rsidP="0011529B">
      <w:pPr>
        <w:rPr>
          <w:rFonts w:ascii="Calibri" w:hAnsi="Calibri"/>
          <w:sz w:val="20"/>
          <w:szCs w:val="20"/>
        </w:rPr>
      </w:pPr>
    </w:p>
    <w:p w14:paraId="033EBE83" w14:textId="6C0C42D1" w:rsidR="00834493" w:rsidRDefault="00834493" w:rsidP="0011529B">
      <w:pPr>
        <w:rPr>
          <w:rFonts w:ascii="Calibri" w:hAnsi="Calibri"/>
          <w:sz w:val="20"/>
          <w:szCs w:val="20"/>
        </w:rPr>
      </w:pPr>
      <w:r w:rsidRPr="00722229">
        <w:rPr>
          <w:rFonts w:ascii="Calibri" w:hAnsi="Calibri"/>
          <w:i/>
          <w:sz w:val="20"/>
          <w:szCs w:val="20"/>
        </w:rPr>
        <w:t xml:space="preserve">GP </w:t>
      </w:r>
      <w:r w:rsidR="00722229" w:rsidRPr="00722229">
        <w:rPr>
          <w:rFonts w:ascii="Calibri" w:hAnsi="Calibri"/>
          <w:i/>
          <w:sz w:val="20"/>
          <w:szCs w:val="20"/>
        </w:rPr>
        <w:t>visits</w:t>
      </w:r>
      <w:r w:rsidR="000D71DB">
        <w:rPr>
          <w:rFonts w:ascii="Calibri" w:hAnsi="Calibri"/>
          <w:sz w:val="20"/>
          <w:szCs w:val="20"/>
        </w:rPr>
        <w:t>:</w:t>
      </w:r>
      <w:r w:rsidR="00722229">
        <w:rPr>
          <w:rFonts w:ascii="Calibri" w:hAnsi="Calibri"/>
          <w:sz w:val="20"/>
          <w:szCs w:val="20"/>
        </w:rPr>
        <w:t xml:space="preserve"> </w:t>
      </w:r>
      <w:r w:rsidR="005202EC">
        <w:rPr>
          <w:rFonts w:ascii="Calibri" w:hAnsi="Calibri"/>
          <w:sz w:val="20"/>
          <w:szCs w:val="20"/>
        </w:rPr>
        <w:t>To calculate the cost of a GP consultation, w</w:t>
      </w:r>
      <w:r w:rsidR="00722229">
        <w:rPr>
          <w:rFonts w:ascii="Calibri" w:hAnsi="Calibri"/>
          <w:sz w:val="20"/>
          <w:szCs w:val="20"/>
        </w:rPr>
        <w:t xml:space="preserve">e used the </w:t>
      </w:r>
      <w:r w:rsidR="005202EC">
        <w:rPr>
          <w:rFonts w:ascii="Calibri" w:hAnsi="Calibri"/>
          <w:sz w:val="20"/>
          <w:szCs w:val="20"/>
        </w:rPr>
        <w:t>2014 Unit Costs of Health and Social Care, assigning the modal value as a consultation lasting 11.7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>s</w:t>
      </w:r>
      <w:r w:rsidR="00364CC7">
        <w:rPr>
          <w:rFonts w:ascii="Calibri" w:hAnsi="Calibri"/>
          <w:sz w:val="20"/>
          <w:szCs w:val="20"/>
        </w:rPr>
        <w:t xml:space="preserve"> (£46)</w:t>
      </w:r>
      <w:r w:rsidR="005202EC">
        <w:rPr>
          <w:rFonts w:ascii="Calibri" w:hAnsi="Calibri"/>
          <w:sz w:val="20"/>
          <w:szCs w:val="20"/>
        </w:rPr>
        <w:t>, with the lower and upper bounds as consultations that last for 7.1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 xml:space="preserve">s </w:t>
      </w:r>
      <w:r w:rsidR="00364CC7">
        <w:rPr>
          <w:rFonts w:ascii="Calibri" w:hAnsi="Calibri"/>
          <w:sz w:val="20"/>
          <w:szCs w:val="20"/>
        </w:rPr>
        <w:t xml:space="preserve">(£28) </w:t>
      </w:r>
      <w:r w:rsidR="005202EC">
        <w:rPr>
          <w:rFonts w:ascii="Calibri" w:hAnsi="Calibri"/>
          <w:sz w:val="20"/>
          <w:szCs w:val="20"/>
        </w:rPr>
        <w:t>and 17.2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 xml:space="preserve">s </w:t>
      </w:r>
      <w:r w:rsidR="00364CC7">
        <w:rPr>
          <w:rFonts w:ascii="Calibri" w:hAnsi="Calibri"/>
          <w:sz w:val="20"/>
          <w:szCs w:val="20"/>
        </w:rPr>
        <w:t xml:space="preserve">(£67) </w:t>
      </w:r>
      <w:r w:rsidR="005202EC">
        <w:rPr>
          <w:rFonts w:ascii="Calibri" w:hAnsi="Calibri"/>
          <w:sz w:val="20"/>
          <w:szCs w:val="20"/>
        </w:rPr>
        <w:t>respectively (ref: Curtis et al). We also assigned an additional prescription cost to each GP visit with a modal value as the cost for scripts that are “routinely” and “can be” used for GE</w:t>
      </w:r>
      <w:r w:rsidR="00364CC7">
        <w:rPr>
          <w:rFonts w:ascii="Calibri" w:hAnsi="Calibri"/>
          <w:sz w:val="20"/>
          <w:szCs w:val="20"/>
        </w:rPr>
        <w:t xml:space="preserve"> (£2.30)</w:t>
      </w:r>
      <w:r w:rsidR="005202EC">
        <w:rPr>
          <w:rFonts w:ascii="Calibri" w:hAnsi="Calibri"/>
          <w:sz w:val="20"/>
          <w:szCs w:val="20"/>
        </w:rPr>
        <w:t xml:space="preserve">.  Lower bound cost consisted of those “routinely” used for GE </w:t>
      </w:r>
      <w:r w:rsidR="00364CC7">
        <w:rPr>
          <w:rFonts w:ascii="Calibri" w:hAnsi="Calibri"/>
          <w:sz w:val="20"/>
          <w:szCs w:val="20"/>
        </w:rPr>
        <w:t xml:space="preserve">(£1.38) </w:t>
      </w:r>
      <w:r w:rsidR="005202EC">
        <w:rPr>
          <w:rFonts w:ascii="Calibri" w:hAnsi="Calibri"/>
          <w:sz w:val="20"/>
          <w:szCs w:val="20"/>
        </w:rPr>
        <w:t xml:space="preserve">and upper bound </w:t>
      </w:r>
      <w:r w:rsidR="00364CC7">
        <w:rPr>
          <w:rFonts w:ascii="Calibri" w:hAnsi="Calibri"/>
          <w:sz w:val="20"/>
          <w:szCs w:val="20"/>
        </w:rPr>
        <w:t xml:space="preserve">(£3.79) </w:t>
      </w:r>
      <w:r w:rsidR="005202EC">
        <w:rPr>
          <w:rFonts w:ascii="Calibri" w:hAnsi="Calibri"/>
          <w:sz w:val="20"/>
          <w:szCs w:val="20"/>
        </w:rPr>
        <w:t xml:space="preserve">cost of the modal value in addition to the cost for scripts </w:t>
      </w:r>
      <w:r w:rsidR="00364CC7">
        <w:rPr>
          <w:rFonts w:ascii="Calibri" w:hAnsi="Calibri"/>
          <w:sz w:val="20"/>
          <w:szCs w:val="20"/>
        </w:rPr>
        <w:t>that</w:t>
      </w:r>
      <w:r w:rsidR="005202EC">
        <w:rPr>
          <w:rFonts w:ascii="Calibri" w:hAnsi="Calibri"/>
          <w:sz w:val="20"/>
          <w:szCs w:val="20"/>
        </w:rPr>
        <w:t xml:space="preserve"> are rarely used for GE. </w:t>
      </w:r>
      <w:r w:rsidR="00364CC7">
        <w:rPr>
          <w:rFonts w:ascii="Calibri" w:hAnsi="Calibri"/>
          <w:sz w:val="20"/>
          <w:szCs w:val="20"/>
        </w:rPr>
        <w:t xml:space="preserve">Prescription costs were inflated from 2004 prices to 2014 using annual Health Services Pay and Prices Index (ref: Curtis et al). </w:t>
      </w:r>
      <w:r w:rsidR="00AB6F1B">
        <w:rPr>
          <w:rFonts w:ascii="Calibri" w:hAnsi="Calibri"/>
          <w:sz w:val="20"/>
          <w:szCs w:val="20"/>
        </w:rPr>
        <w:t>Adding together the cost of a consultation visit and prescription, we used a</w:t>
      </w:r>
      <w:r w:rsidR="00364CC7">
        <w:rPr>
          <w:rFonts w:ascii="Calibri" w:hAnsi="Calibri"/>
          <w:sz w:val="20"/>
          <w:szCs w:val="20"/>
        </w:rPr>
        <w:t xml:space="preserve"> Triangular distribution of </w:t>
      </w:r>
      <w:r w:rsidR="00AB6F1B">
        <w:rPr>
          <w:rFonts w:ascii="Calibri" w:hAnsi="Calibri"/>
          <w:sz w:val="20"/>
          <w:szCs w:val="20"/>
        </w:rPr>
        <w:t xml:space="preserve">total </w:t>
      </w:r>
      <w:r w:rsidR="00364CC7">
        <w:rPr>
          <w:rFonts w:ascii="Calibri" w:hAnsi="Calibri"/>
          <w:sz w:val="20"/>
          <w:szCs w:val="20"/>
        </w:rPr>
        <w:t xml:space="preserve">GP consultation costs </w:t>
      </w:r>
      <w:r w:rsidR="00AB6F1B">
        <w:rPr>
          <w:rFonts w:ascii="Calibri" w:hAnsi="Calibri"/>
          <w:sz w:val="20"/>
          <w:szCs w:val="20"/>
        </w:rPr>
        <w:t>(</w:t>
      </w:r>
      <w:r w:rsidR="00364CC7">
        <w:rPr>
          <w:rFonts w:ascii="Calibri" w:hAnsi="Calibri"/>
          <w:sz w:val="20"/>
          <w:szCs w:val="20"/>
        </w:rPr>
        <w:t>mode £48.30, lower bound £29.38 and upper bound £70.79</w:t>
      </w:r>
      <w:r w:rsidR="00AB6F1B">
        <w:rPr>
          <w:rFonts w:ascii="Calibri" w:hAnsi="Calibri"/>
          <w:sz w:val="20"/>
          <w:szCs w:val="20"/>
        </w:rPr>
        <w:t>)</w:t>
      </w:r>
      <w:r w:rsidR="00364CC7">
        <w:rPr>
          <w:rFonts w:ascii="Calibri" w:hAnsi="Calibri"/>
          <w:sz w:val="20"/>
          <w:szCs w:val="20"/>
        </w:rPr>
        <w:t xml:space="preserve">. </w:t>
      </w:r>
    </w:p>
    <w:p w14:paraId="0D26FAAA" w14:textId="77777777" w:rsidR="007C6B72" w:rsidRDefault="007C6B72" w:rsidP="0011529B">
      <w:pPr>
        <w:rPr>
          <w:rFonts w:ascii="Calibri" w:hAnsi="Calibri"/>
          <w:sz w:val="20"/>
          <w:szCs w:val="20"/>
        </w:rPr>
      </w:pPr>
    </w:p>
    <w:p w14:paraId="420AFB43" w14:textId="4EE7A825" w:rsidR="007C6B72" w:rsidRDefault="007C6B72" w:rsidP="007C6B72">
      <w:pPr>
        <w:rPr>
          <w:rFonts w:ascii="Calibri" w:hAnsi="Calibri" w:cs="Courier"/>
          <w:color w:val="000000"/>
          <w:sz w:val="20"/>
          <w:szCs w:val="20"/>
        </w:rPr>
      </w:pPr>
      <w:r w:rsidRPr="00722229">
        <w:rPr>
          <w:rFonts w:ascii="Calibri" w:hAnsi="Calibri"/>
          <w:i/>
          <w:sz w:val="20"/>
          <w:szCs w:val="20"/>
        </w:rPr>
        <w:t xml:space="preserve">Hospital </w:t>
      </w:r>
      <w:r>
        <w:rPr>
          <w:rFonts w:ascii="Calibri" w:hAnsi="Calibri"/>
          <w:i/>
          <w:sz w:val="20"/>
          <w:szCs w:val="20"/>
        </w:rPr>
        <w:t>visits</w:t>
      </w:r>
      <w:r>
        <w:rPr>
          <w:rFonts w:ascii="Calibri" w:hAnsi="Calibri"/>
          <w:sz w:val="20"/>
          <w:szCs w:val="20"/>
        </w:rPr>
        <w:t xml:space="preserve">: We calculated the modal cost of a hospital visit for 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cases (&lt;15 years) using a weighted average using national 2013–4 unit costs for elective, non-elective, non-elective short stay, and day-use hospital costs for 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infectious or non-infectious gastroenteritis (codes PF21A-PF21B), 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major gastrointestinal disorders (codes PF25A–PF25E) and 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other gastrointestinal disorders (codes PF26A–PF26C), with weights given by the admissions for each combination of code and type of admission. For non-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cases (15 years or older) we used the same weighted average method using national average unit costs for elective, non-elective, non-elective short stay, and day-use hospital costs for gastrointestinal infections (codes FZ36G–FZ36Q). Similarly, lower and upper bounds on costs were calculated using a weighted average of the lower quartile and upper quartiles for unit costs respectively. (</w:t>
      </w:r>
      <w:proofErr w:type="gramStart"/>
      <w:r>
        <w:rPr>
          <w:rFonts w:ascii="Calibri" w:hAnsi="Calibri"/>
          <w:sz w:val="20"/>
          <w:szCs w:val="20"/>
        </w:rPr>
        <w:t>ref</w:t>
      </w:r>
      <w:proofErr w:type="gramEnd"/>
      <w:r>
        <w:rPr>
          <w:rFonts w:ascii="Calibri" w:hAnsi="Calibri"/>
          <w:sz w:val="20"/>
          <w:szCs w:val="20"/>
        </w:rPr>
        <w:t>: National Reference Costs) These methods provided a Triangular distribution of hospital costs as such: non-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hospital visit cost: </w:t>
      </w:r>
      <w:r w:rsidRPr="001B72D8">
        <w:rPr>
          <w:rFonts w:ascii="Calibri" w:hAnsi="Calibri"/>
          <w:sz w:val="20"/>
          <w:szCs w:val="20"/>
        </w:rPr>
        <w:t>mode: £</w:t>
      </w:r>
      <w:r w:rsidRPr="001B72D8">
        <w:rPr>
          <w:rFonts w:ascii="Calibri" w:hAnsi="Calibri" w:cs="Courier"/>
          <w:color w:val="000000"/>
          <w:sz w:val="20"/>
          <w:szCs w:val="20"/>
        </w:rPr>
        <w:t>1181.24, lower bound: £896.50</w:t>
      </w:r>
      <w:r w:rsidRPr="001B72D8">
        <w:rPr>
          <w:rFonts w:ascii="Calibri" w:hAnsi="Calibri" w:cs="Times New Roman"/>
          <w:sz w:val="20"/>
          <w:szCs w:val="20"/>
        </w:rPr>
        <w:t>, upper bound: £</w:t>
      </w:r>
      <w:r w:rsidRPr="001B72D8">
        <w:rPr>
          <w:rFonts w:ascii="Calibri" w:hAnsi="Calibri" w:cs="Courier"/>
          <w:color w:val="000000"/>
          <w:sz w:val="20"/>
          <w:szCs w:val="20"/>
        </w:rPr>
        <w:t>1343.44</w:t>
      </w:r>
      <w:proofErr w:type="gramStart"/>
      <w:r>
        <w:rPr>
          <w:rFonts w:ascii="Calibri" w:hAnsi="Calibri" w:cs="Times New Roman"/>
          <w:sz w:val="20"/>
          <w:szCs w:val="20"/>
        </w:rPr>
        <w:t>;</w:t>
      </w:r>
      <w:proofErr w:type="gramEnd"/>
      <w:r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>
        <w:rPr>
          <w:rFonts w:ascii="Calibri" w:hAnsi="Calibri" w:cs="Times New Roman"/>
          <w:sz w:val="20"/>
          <w:szCs w:val="20"/>
        </w:rPr>
        <w:t>paediatric</w:t>
      </w:r>
      <w:proofErr w:type="spellEnd"/>
      <w:r>
        <w:rPr>
          <w:rFonts w:ascii="Calibri" w:hAnsi="Calibri" w:cs="Times New Roman"/>
          <w:sz w:val="20"/>
          <w:szCs w:val="20"/>
        </w:rPr>
        <w:t xml:space="preserve"> hospital visit cost: </w:t>
      </w:r>
      <w:r w:rsidRPr="001B72D8">
        <w:rPr>
          <w:rFonts w:ascii="Calibri" w:hAnsi="Calibri"/>
          <w:sz w:val="20"/>
          <w:szCs w:val="20"/>
        </w:rPr>
        <w:t>mode: £</w:t>
      </w:r>
      <w:r w:rsidRPr="001B72D8">
        <w:rPr>
          <w:rFonts w:ascii="Calibri" w:hAnsi="Calibri" w:cs="Courier"/>
          <w:color w:val="000000"/>
          <w:sz w:val="20"/>
          <w:szCs w:val="20"/>
        </w:rPr>
        <w:t xml:space="preserve">921.47, lower bound: </w:t>
      </w:r>
      <w:r>
        <w:rPr>
          <w:rFonts w:ascii="Calibri" w:hAnsi="Calibri" w:cs="Courier"/>
          <w:color w:val="000000"/>
          <w:sz w:val="20"/>
          <w:szCs w:val="20"/>
        </w:rPr>
        <w:t>£</w:t>
      </w:r>
      <w:r w:rsidRPr="001B72D8">
        <w:rPr>
          <w:rFonts w:ascii="Calibri" w:hAnsi="Calibri" w:cs="Courier"/>
          <w:color w:val="000000"/>
          <w:sz w:val="20"/>
          <w:szCs w:val="20"/>
        </w:rPr>
        <w:t>622.27</w:t>
      </w:r>
      <w:r w:rsidRPr="001B72D8">
        <w:rPr>
          <w:rFonts w:ascii="Calibri" w:hAnsi="Calibri" w:cs="Times New Roman"/>
          <w:sz w:val="20"/>
          <w:szCs w:val="20"/>
        </w:rPr>
        <w:t>, upper bound: £</w:t>
      </w:r>
      <w:r w:rsidRPr="001B72D8">
        <w:rPr>
          <w:rFonts w:ascii="Calibri" w:hAnsi="Calibri" w:cs="Courier"/>
          <w:color w:val="000000"/>
          <w:sz w:val="20"/>
          <w:szCs w:val="20"/>
        </w:rPr>
        <w:t>1078.81</w:t>
      </w:r>
      <w:r>
        <w:rPr>
          <w:rFonts w:ascii="Calibri" w:hAnsi="Calibri" w:cs="Courier"/>
          <w:color w:val="000000"/>
          <w:sz w:val="20"/>
          <w:szCs w:val="20"/>
        </w:rPr>
        <w:t>.</w:t>
      </w:r>
    </w:p>
    <w:p w14:paraId="5A0716A9" w14:textId="77777777" w:rsidR="000951F1" w:rsidRDefault="000951F1" w:rsidP="007C6B72">
      <w:pPr>
        <w:rPr>
          <w:rFonts w:ascii="Calibri" w:hAnsi="Calibri" w:cs="Courier"/>
          <w:color w:val="000000"/>
          <w:sz w:val="20"/>
          <w:szCs w:val="20"/>
        </w:rPr>
      </w:pPr>
    </w:p>
    <w:p w14:paraId="5CFD4083" w14:textId="21DA2363" w:rsidR="000951F1" w:rsidRDefault="006A349D" w:rsidP="007C6B72">
      <w:pPr>
        <w:rPr>
          <w:rFonts w:ascii="Calibri" w:hAnsi="Calibri"/>
          <w:sz w:val="20"/>
          <w:szCs w:val="20"/>
        </w:rPr>
      </w:pPr>
      <w:r>
        <w:rPr>
          <w:rFonts w:ascii="Calibri" w:hAnsi="Calibri" w:cs="Courier"/>
          <w:color w:val="000000"/>
          <w:sz w:val="20"/>
          <w:szCs w:val="20"/>
        </w:rPr>
        <w:t xml:space="preserve">Conservatively, we did not include excess bed days in </w:t>
      </w:r>
      <w:proofErr w:type="gramStart"/>
      <w:r>
        <w:rPr>
          <w:rFonts w:ascii="Calibri" w:hAnsi="Calibri" w:cs="Courier"/>
          <w:color w:val="000000"/>
          <w:sz w:val="20"/>
          <w:szCs w:val="20"/>
        </w:rPr>
        <w:t>hospital</w:t>
      </w:r>
      <w:proofErr w:type="gramEnd"/>
      <w:r>
        <w:rPr>
          <w:rFonts w:ascii="Calibri" w:hAnsi="Calibri" w:cs="Courier"/>
          <w:color w:val="000000"/>
          <w:sz w:val="20"/>
          <w:szCs w:val="20"/>
        </w:rPr>
        <w:t xml:space="preserve"> as these are not likely to be RVGE-related.</w:t>
      </w:r>
    </w:p>
    <w:p w14:paraId="2B6AFA24" w14:textId="77777777" w:rsidR="007C6B72" w:rsidRDefault="007C6B72" w:rsidP="0011529B">
      <w:pPr>
        <w:rPr>
          <w:rFonts w:ascii="Calibri" w:hAnsi="Calibri"/>
          <w:sz w:val="20"/>
          <w:szCs w:val="20"/>
        </w:rPr>
      </w:pPr>
    </w:p>
    <w:p w14:paraId="14D9C9FD" w14:textId="0E515735" w:rsidR="007C6B72" w:rsidRPr="007C6B72" w:rsidRDefault="007C6B72" w:rsidP="0011529B">
      <w:pPr>
        <w:rPr>
          <w:rFonts w:ascii="Calibri" w:hAnsi="Calibri"/>
          <w:i/>
          <w:sz w:val="20"/>
          <w:szCs w:val="20"/>
        </w:rPr>
      </w:pPr>
      <w:r w:rsidRPr="007C6B72">
        <w:rPr>
          <w:rFonts w:ascii="Calibri" w:hAnsi="Calibri"/>
          <w:i/>
          <w:sz w:val="20"/>
          <w:szCs w:val="20"/>
        </w:rPr>
        <w:t xml:space="preserve">A&amp;E visits: </w:t>
      </w:r>
      <w:r>
        <w:rPr>
          <w:rFonts w:ascii="Calibri" w:hAnsi="Calibri"/>
          <w:i/>
          <w:sz w:val="20"/>
          <w:szCs w:val="20"/>
        </w:rPr>
        <w:t xml:space="preserve">… </w:t>
      </w:r>
    </w:p>
    <w:p w14:paraId="191F5C6B" w14:textId="77777777" w:rsidR="00834493" w:rsidRDefault="00834493" w:rsidP="0011529B">
      <w:pPr>
        <w:rPr>
          <w:rFonts w:ascii="Calibri" w:hAnsi="Calibri"/>
          <w:sz w:val="20"/>
          <w:szCs w:val="20"/>
        </w:rPr>
      </w:pPr>
    </w:p>
    <w:p w14:paraId="3D512342" w14:textId="0241F5AE" w:rsidR="00834493" w:rsidRDefault="001B267A" w:rsidP="001152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>Sampled output</w:t>
      </w:r>
      <w:r w:rsidR="000D71DB">
        <w:rPr>
          <w:rFonts w:ascii="Calibri" w:hAnsi="Calibri"/>
          <w:sz w:val="20"/>
          <w:szCs w:val="20"/>
        </w:rPr>
        <w:t>:</w:t>
      </w:r>
      <w:r w:rsidR="00364CC7">
        <w:rPr>
          <w:rFonts w:ascii="Calibri" w:hAnsi="Calibri"/>
          <w:sz w:val="20"/>
          <w:szCs w:val="20"/>
        </w:rPr>
        <w:t xml:space="preserve"> All costs and cases averted were sampled 10</w:t>
      </w:r>
      <w:r w:rsidR="00C20321">
        <w:rPr>
          <w:rFonts w:ascii="Calibri" w:hAnsi="Calibri"/>
          <w:sz w:val="20"/>
          <w:szCs w:val="20"/>
        </w:rPr>
        <w:t>0</w:t>
      </w:r>
      <w:r w:rsidR="00364CC7">
        <w:rPr>
          <w:rFonts w:ascii="Calibri" w:hAnsi="Calibri"/>
          <w:sz w:val="20"/>
          <w:szCs w:val="20"/>
        </w:rPr>
        <w:t xml:space="preserve">,000 times over their respective distributions for each age group. The healthcare costs averted per year </w:t>
      </w:r>
      <w:r w:rsidR="00AB6F1B">
        <w:rPr>
          <w:rFonts w:ascii="Calibri" w:hAnsi="Calibri"/>
          <w:sz w:val="20"/>
          <w:szCs w:val="20"/>
        </w:rPr>
        <w:t>we</w:t>
      </w:r>
      <w:r w:rsidR="00364CC7">
        <w:rPr>
          <w:rFonts w:ascii="Calibri" w:hAnsi="Calibri"/>
          <w:sz w:val="20"/>
          <w:szCs w:val="20"/>
        </w:rPr>
        <w:t>re calculated as the product of the healthcare visits averted and the cost of healthcare visit</w:t>
      </w:r>
      <w:r w:rsidR="00AB6F1B">
        <w:rPr>
          <w:rFonts w:ascii="Calibri" w:hAnsi="Calibri"/>
          <w:sz w:val="20"/>
          <w:szCs w:val="20"/>
        </w:rPr>
        <w:t xml:space="preserve"> for each age group</w:t>
      </w:r>
      <w:r w:rsidR="00364CC7">
        <w:rPr>
          <w:rFonts w:ascii="Calibri" w:hAnsi="Calibri"/>
          <w:sz w:val="20"/>
          <w:szCs w:val="20"/>
        </w:rPr>
        <w:t xml:space="preserve">. </w:t>
      </w:r>
    </w:p>
    <w:p w14:paraId="717D78D5" w14:textId="77777777" w:rsidR="0011529B" w:rsidRDefault="0011529B" w:rsidP="0011529B">
      <w:pPr>
        <w:rPr>
          <w:rFonts w:ascii="Calibri" w:hAnsi="Calibri" w:cs="Times New Roman"/>
          <w:sz w:val="20"/>
          <w:szCs w:val="20"/>
        </w:rPr>
      </w:pPr>
    </w:p>
    <w:p w14:paraId="71C5E9F6" w14:textId="77777777" w:rsidR="00834493" w:rsidRPr="001B72D8" w:rsidRDefault="00834493" w:rsidP="0011529B">
      <w:pPr>
        <w:rPr>
          <w:rFonts w:ascii="Calibri" w:hAnsi="Calibri" w:cs="Times New Roman"/>
          <w:sz w:val="20"/>
          <w:szCs w:val="20"/>
        </w:rPr>
      </w:pPr>
    </w:p>
    <w:p w14:paraId="304290E2" w14:textId="77777777" w:rsidR="001968CB" w:rsidRPr="001B72D8" w:rsidRDefault="001968CB">
      <w:pPr>
        <w:rPr>
          <w:rFonts w:ascii="Calibri" w:hAnsi="Calibri"/>
          <w:sz w:val="20"/>
          <w:szCs w:val="20"/>
        </w:rPr>
      </w:pPr>
    </w:p>
    <w:p w14:paraId="04BD01CD" w14:textId="77777777" w:rsidR="001968CB" w:rsidRDefault="001968CB"/>
    <w:p w14:paraId="61FAC4D3" w14:textId="77777777" w:rsidR="001968CB" w:rsidRPr="001968CB" w:rsidRDefault="001968CB" w:rsidP="004C5AD5">
      <w:pPr>
        <w:pageBreakBefore/>
        <w:rPr>
          <w:b/>
        </w:rPr>
      </w:pPr>
      <w:r w:rsidRPr="001968CB">
        <w:rPr>
          <w:b/>
        </w:rPr>
        <w:t>Results</w:t>
      </w:r>
    </w:p>
    <w:p w14:paraId="6C5DCB0F" w14:textId="77777777" w:rsidR="001968CB" w:rsidRDefault="001968CB"/>
    <w:tbl>
      <w:tblPr>
        <w:tblStyle w:val="TableGrid"/>
        <w:tblW w:w="100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94"/>
        <w:gridCol w:w="1624"/>
        <w:gridCol w:w="1559"/>
        <w:gridCol w:w="709"/>
        <w:gridCol w:w="1442"/>
        <w:gridCol w:w="1418"/>
        <w:gridCol w:w="2410"/>
      </w:tblGrid>
      <w:tr w:rsidR="007A27FD" w14:paraId="1FFE2FB4" w14:textId="60A255DD" w:rsidTr="004C5AD5">
        <w:tc>
          <w:tcPr>
            <w:tcW w:w="894" w:type="dxa"/>
          </w:tcPr>
          <w:p w14:paraId="6543FAAE" w14:textId="77777777" w:rsidR="00E70929" w:rsidRPr="00132CCA" w:rsidRDefault="00E70929" w:rsidP="00636BD3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Age (years)</w:t>
            </w:r>
          </w:p>
        </w:tc>
        <w:tc>
          <w:tcPr>
            <w:tcW w:w="3892" w:type="dxa"/>
            <w:gridSpan w:val="3"/>
          </w:tcPr>
          <w:p w14:paraId="7BF4C557" w14:textId="6090E637" w:rsidR="00E70929" w:rsidRPr="00132CCA" w:rsidRDefault="007A27FD" w:rsidP="00E709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Annual v</w:t>
            </w:r>
            <w:r w:rsidR="00E70929" w:rsidRPr="00132CCA">
              <w:rPr>
                <w:rFonts w:ascii="Cambria" w:hAnsi="Cambria"/>
                <w:sz w:val="20"/>
                <w:szCs w:val="20"/>
              </w:rPr>
              <w:t>isits averted 2014/15</w:t>
            </w:r>
          </w:p>
        </w:tc>
        <w:tc>
          <w:tcPr>
            <w:tcW w:w="5270" w:type="dxa"/>
            <w:gridSpan w:val="3"/>
          </w:tcPr>
          <w:p w14:paraId="54D8E60C" w14:textId="086450B6" w:rsidR="00E70929" w:rsidRPr="00132CCA" w:rsidRDefault="007A27FD" w:rsidP="00132CCA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Annual costs averted</w:t>
            </w:r>
            <w:r w:rsidR="00132CCA">
              <w:rPr>
                <w:rFonts w:ascii="Cambria" w:hAnsi="Cambria"/>
                <w:sz w:val="20"/>
                <w:szCs w:val="20"/>
              </w:rPr>
              <w:t xml:space="preserve"> (2014 £ thousands)</w:t>
            </w:r>
          </w:p>
        </w:tc>
      </w:tr>
      <w:tr w:rsidR="004C5AD5" w14:paraId="0F3DED36" w14:textId="74458A34" w:rsidTr="004C5AD5">
        <w:tc>
          <w:tcPr>
            <w:tcW w:w="894" w:type="dxa"/>
          </w:tcPr>
          <w:p w14:paraId="7578E1F5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24" w:type="dxa"/>
          </w:tcPr>
          <w:p w14:paraId="39815E7A" w14:textId="77777777" w:rsidR="00E70929" w:rsidRPr="00132CCA" w:rsidRDefault="00E70929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GP</w:t>
            </w:r>
          </w:p>
        </w:tc>
        <w:tc>
          <w:tcPr>
            <w:tcW w:w="1559" w:type="dxa"/>
          </w:tcPr>
          <w:p w14:paraId="33124C82" w14:textId="12B4F0AE" w:rsidR="00E70929" w:rsidRPr="00132CCA" w:rsidRDefault="00E70929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Hospital</w:t>
            </w:r>
          </w:p>
        </w:tc>
        <w:tc>
          <w:tcPr>
            <w:tcW w:w="709" w:type="dxa"/>
          </w:tcPr>
          <w:p w14:paraId="600DD710" w14:textId="77777777" w:rsidR="00E70929" w:rsidRPr="00132CCA" w:rsidRDefault="00E70929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A&amp;E</w:t>
            </w:r>
          </w:p>
        </w:tc>
        <w:tc>
          <w:tcPr>
            <w:tcW w:w="1442" w:type="dxa"/>
          </w:tcPr>
          <w:p w14:paraId="4F76078E" w14:textId="5BC07C5E" w:rsidR="00E70929" w:rsidRPr="00132CCA" w:rsidRDefault="007A27FD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GP</w:t>
            </w:r>
          </w:p>
        </w:tc>
        <w:tc>
          <w:tcPr>
            <w:tcW w:w="1418" w:type="dxa"/>
          </w:tcPr>
          <w:p w14:paraId="7E0CBA35" w14:textId="026FFDF1" w:rsidR="00E70929" w:rsidRPr="00132CCA" w:rsidRDefault="007A27FD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Hospital</w:t>
            </w:r>
          </w:p>
        </w:tc>
        <w:tc>
          <w:tcPr>
            <w:tcW w:w="2410" w:type="dxa"/>
          </w:tcPr>
          <w:p w14:paraId="6E500788" w14:textId="1D6DA739" w:rsidR="00E70929" w:rsidRPr="00132CCA" w:rsidRDefault="007A27FD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A&amp;E</w:t>
            </w:r>
          </w:p>
        </w:tc>
      </w:tr>
      <w:tr w:rsidR="004C5AD5" w14:paraId="76C6C672" w14:textId="1D6F9829" w:rsidTr="004C5AD5">
        <w:tc>
          <w:tcPr>
            <w:tcW w:w="894" w:type="dxa"/>
          </w:tcPr>
          <w:p w14:paraId="55C1ED62" w14:textId="77777777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&lt;1</w:t>
            </w:r>
          </w:p>
        </w:tc>
        <w:tc>
          <w:tcPr>
            <w:tcW w:w="1624" w:type="dxa"/>
          </w:tcPr>
          <w:p w14:paraId="1C9D4580" w14:textId="77777777" w:rsidR="004C5AD5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753</w:t>
            </w:r>
            <w:r w:rsidRPr="00132CCA">
              <w:rPr>
                <w:rFonts w:ascii="Cambria" w:hAnsi="Cambria"/>
                <w:sz w:val="20"/>
                <w:szCs w:val="20"/>
              </w:rPr>
              <w:tab/>
            </w:r>
          </w:p>
          <w:p w14:paraId="0BBCAE5C" w14:textId="4E74726C" w:rsidR="00E70929" w:rsidRPr="00132CCA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(-301,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32CCA">
              <w:rPr>
                <w:rFonts w:ascii="Cambria" w:hAnsi="Cambria"/>
                <w:sz w:val="20"/>
                <w:szCs w:val="20"/>
              </w:rPr>
              <w:t>2007)</w:t>
            </w:r>
          </w:p>
        </w:tc>
        <w:tc>
          <w:tcPr>
            <w:tcW w:w="1559" w:type="dxa"/>
          </w:tcPr>
          <w:p w14:paraId="6079A628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5E84936" w14:textId="29757BD0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 xml:space="preserve">    </w:t>
            </w:r>
          </w:p>
        </w:tc>
        <w:tc>
          <w:tcPr>
            <w:tcW w:w="1442" w:type="dxa"/>
          </w:tcPr>
          <w:p w14:paraId="1F9210A5" w14:textId="77777777" w:rsidR="004C5AD5" w:rsidRDefault="00132CCA" w:rsidP="007A27FD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36</w:t>
            </w:r>
            <w:r>
              <w:rPr>
                <w:rFonts w:ascii="Cambria" w:hAnsi="Cambria"/>
                <w:sz w:val="20"/>
                <w:szCs w:val="20"/>
              </w:rPr>
              <w:tab/>
            </w:r>
          </w:p>
          <w:p w14:paraId="526DEB61" w14:textId="40E713A0" w:rsidR="00E70929" w:rsidRPr="00132CCA" w:rsidRDefault="00132CCA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(-15,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105</w:t>
            </w:r>
            <w:r w:rsidR="007A27FD" w:rsidRPr="00132CCA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5DEBB7D0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7D30DD6" w14:textId="1BBD90EF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5AD5" w14:paraId="017DC30A" w14:textId="26E7E685" w:rsidTr="004C5AD5">
        <w:tc>
          <w:tcPr>
            <w:tcW w:w="894" w:type="dxa"/>
          </w:tcPr>
          <w:p w14:paraId="42B7FF6C" w14:textId="77777777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42C6ADE5" w14:textId="77777777" w:rsidR="004C5AD5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714</w:t>
            </w:r>
            <w:r w:rsidRPr="00132CCA">
              <w:rPr>
                <w:rFonts w:ascii="Cambria" w:hAnsi="Cambria"/>
                <w:sz w:val="20"/>
                <w:szCs w:val="20"/>
              </w:rPr>
              <w:tab/>
            </w:r>
          </w:p>
          <w:p w14:paraId="27CE9D64" w14:textId="64567000" w:rsidR="00E70929" w:rsidRPr="00132CCA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(-127,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32CCA">
              <w:rPr>
                <w:rFonts w:ascii="Cambria" w:hAnsi="Cambria"/>
                <w:sz w:val="20"/>
                <w:szCs w:val="20"/>
              </w:rPr>
              <w:t>1734)</w:t>
            </w:r>
          </w:p>
        </w:tc>
        <w:tc>
          <w:tcPr>
            <w:tcW w:w="1559" w:type="dxa"/>
          </w:tcPr>
          <w:p w14:paraId="3C78BFEC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679C38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42" w:type="dxa"/>
          </w:tcPr>
          <w:p w14:paraId="19A092A9" w14:textId="77777777" w:rsidR="004C5AD5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35</w:t>
            </w:r>
            <w:r>
              <w:rPr>
                <w:rFonts w:ascii="Cambria" w:hAnsi="Cambria"/>
                <w:sz w:val="20"/>
                <w:szCs w:val="20"/>
              </w:rPr>
              <w:tab/>
            </w:r>
          </w:p>
          <w:p w14:paraId="4258AB75" w14:textId="7BE8A8FA" w:rsidR="00E70929" w:rsidRPr="00132CCA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(-6,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91</w:t>
            </w:r>
            <w:r w:rsidR="007A27FD" w:rsidRPr="00132CCA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5EB68949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8CD27D4" w14:textId="0D9C5AEB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5AD5" w14:paraId="3C5214FB" w14:textId="2AB31A90" w:rsidTr="004C5AD5">
        <w:tc>
          <w:tcPr>
            <w:tcW w:w="894" w:type="dxa"/>
          </w:tcPr>
          <w:p w14:paraId="50B01400" w14:textId="77777777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27EAF3DE" w14:textId="77777777" w:rsidR="004C5AD5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27</w:t>
            </w:r>
            <w:r w:rsidRPr="00132CCA">
              <w:rPr>
                <w:rFonts w:ascii="Cambria" w:hAnsi="Cambria"/>
                <w:sz w:val="20"/>
                <w:szCs w:val="20"/>
              </w:rPr>
              <w:tab/>
            </w:r>
          </w:p>
          <w:p w14:paraId="0DFC14C7" w14:textId="631396E0" w:rsidR="00E70929" w:rsidRPr="00132CCA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(-295,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32CCA">
              <w:rPr>
                <w:rFonts w:ascii="Cambria" w:hAnsi="Cambria"/>
                <w:sz w:val="20"/>
                <w:szCs w:val="20"/>
              </w:rPr>
              <w:t>396)</w:t>
            </w:r>
          </w:p>
        </w:tc>
        <w:tc>
          <w:tcPr>
            <w:tcW w:w="1559" w:type="dxa"/>
          </w:tcPr>
          <w:p w14:paraId="1AB5CDE4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A87520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42" w:type="dxa"/>
          </w:tcPr>
          <w:p w14:paraId="37F27356" w14:textId="77777777" w:rsidR="004C5AD5" w:rsidRDefault="00132CCA" w:rsidP="007A27FD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  <w:r>
              <w:rPr>
                <w:rFonts w:ascii="Cambria" w:hAnsi="Cambria"/>
                <w:sz w:val="20"/>
                <w:szCs w:val="20"/>
              </w:rPr>
              <w:tab/>
            </w:r>
          </w:p>
          <w:p w14:paraId="1A810261" w14:textId="27A78671" w:rsidR="00E70929" w:rsidRPr="00132CCA" w:rsidRDefault="00132CCA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(-15,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20</w:t>
            </w:r>
            <w:r w:rsidR="007A27FD" w:rsidRPr="00132CCA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624509F8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EB2CC3D" w14:textId="128885C8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5AD5" w14:paraId="206AD31A" w14:textId="38C5B4D5" w:rsidTr="004C5AD5">
        <w:tc>
          <w:tcPr>
            <w:tcW w:w="894" w:type="dxa"/>
          </w:tcPr>
          <w:p w14:paraId="33FBAC56" w14:textId="77777777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624" w:type="dxa"/>
          </w:tcPr>
          <w:p w14:paraId="6B3774F8" w14:textId="77777777" w:rsidR="004C5AD5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91</w:t>
            </w:r>
            <w:r w:rsidRPr="00132CCA">
              <w:rPr>
                <w:rFonts w:ascii="Cambria" w:hAnsi="Cambria"/>
                <w:sz w:val="20"/>
                <w:szCs w:val="20"/>
              </w:rPr>
              <w:tab/>
            </w:r>
          </w:p>
          <w:p w14:paraId="590F4033" w14:textId="018FF847" w:rsidR="00E70929" w:rsidRPr="00132CCA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(-123,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32CCA">
              <w:rPr>
                <w:rFonts w:ascii="Cambria" w:hAnsi="Cambria"/>
                <w:sz w:val="20"/>
                <w:szCs w:val="20"/>
              </w:rPr>
              <w:t>338)</w:t>
            </w:r>
          </w:p>
        </w:tc>
        <w:tc>
          <w:tcPr>
            <w:tcW w:w="1559" w:type="dxa"/>
          </w:tcPr>
          <w:p w14:paraId="391EC004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B92AF9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42" w:type="dxa"/>
          </w:tcPr>
          <w:p w14:paraId="7E592FB2" w14:textId="77777777" w:rsidR="004C5AD5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>
              <w:rPr>
                <w:rFonts w:ascii="Cambria" w:hAnsi="Cambria"/>
                <w:sz w:val="20"/>
                <w:szCs w:val="20"/>
              </w:rPr>
              <w:tab/>
            </w:r>
          </w:p>
          <w:p w14:paraId="627AEE1A" w14:textId="60DD6E32" w:rsidR="00E70929" w:rsidRPr="00132CCA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(-6,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17</w:t>
            </w:r>
            <w:r w:rsidR="007A27FD" w:rsidRPr="00132CCA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210D33CA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B9363DC" w14:textId="254EFE35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5AD5" w14:paraId="5B935D7F" w14:textId="75647320" w:rsidTr="004C5AD5">
        <w:tc>
          <w:tcPr>
            <w:tcW w:w="894" w:type="dxa"/>
          </w:tcPr>
          <w:p w14:paraId="3D3160AA" w14:textId="77777777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624" w:type="dxa"/>
          </w:tcPr>
          <w:p w14:paraId="19C14B1A" w14:textId="77777777" w:rsidR="004C5AD5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69</w:t>
            </w:r>
            <w:r w:rsidRPr="00132CCA">
              <w:rPr>
                <w:rFonts w:ascii="Cambria" w:hAnsi="Cambria"/>
                <w:sz w:val="20"/>
                <w:szCs w:val="20"/>
              </w:rPr>
              <w:tab/>
            </w:r>
          </w:p>
          <w:p w14:paraId="2A5639E4" w14:textId="0B347AA9" w:rsidR="00E70929" w:rsidRPr="00132CCA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(-102,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32CCA">
              <w:rPr>
                <w:rFonts w:ascii="Cambria" w:hAnsi="Cambria"/>
                <w:sz w:val="20"/>
                <w:szCs w:val="20"/>
              </w:rPr>
              <w:t>272)</w:t>
            </w:r>
          </w:p>
        </w:tc>
        <w:tc>
          <w:tcPr>
            <w:tcW w:w="1559" w:type="dxa"/>
          </w:tcPr>
          <w:p w14:paraId="48F7BB64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2DCC3D1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42" w:type="dxa"/>
          </w:tcPr>
          <w:p w14:paraId="76C79130" w14:textId="77777777" w:rsidR="004C5AD5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  <w:r>
              <w:rPr>
                <w:rFonts w:ascii="Cambria" w:hAnsi="Cambria"/>
                <w:sz w:val="20"/>
                <w:szCs w:val="20"/>
              </w:rPr>
              <w:tab/>
            </w:r>
          </w:p>
          <w:p w14:paraId="4DA78513" w14:textId="29D96981" w:rsidR="00E70929" w:rsidRPr="00132CCA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(-5,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14</w:t>
            </w:r>
            <w:r w:rsidR="007A27FD" w:rsidRPr="00132CCA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2EA905C4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5766F29" w14:textId="15DCAB62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5AD5" w14:paraId="0AC19452" w14:textId="334BE637" w:rsidTr="004C5AD5">
        <w:tc>
          <w:tcPr>
            <w:tcW w:w="894" w:type="dxa"/>
          </w:tcPr>
          <w:p w14:paraId="3F76B6AA" w14:textId="39C8858B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5–14</w:t>
            </w:r>
          </w:p>
        </w:tc>
        <w:tc>
          <w:tcPr>
            <w:tcW w:w="1624" w:type="dxa"/>
          </w:tcPr>
          <w:p w14:paraId="48A82D61" w14:textId="77777777" w:rsidR="004C5AD5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306</w:t>
            </w:r>
            <w:r w:rsidRPr="00132CCA">
              <w:rPr>
                <w:rFonts w:ascii="Cambria" w:hAnsi="Cambria"/>
                <w:sz w:val="20"/>
                <w:szCs w:val="20"/>
              </w:rPr>
              <w:tab/>
            </w:r>
          </w:p>
          <w:p w14:paraId="484A7651" w14:textId="77526814" w:rsidR="00E70929" w:rsidRPr="00132CCA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(-265,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32CCA">
              <w:rPr>
                <w:rFonts w:ascii="Cambria" w:hAnsi="Cambria"/>
                <w:sz w:val="20"/>
                <w:szCs w:val="20"/>
              </w:rPr>
              <w:t>946)</w:t>
            </w:r>
          </w:p>
        </w:tc>
        <w:tc>
          <w:tcPr>
            <w:tcW w:w="1559" w:type="dxa"/>
          </w:tcPr>
          <w:p w14:paraId="6BA9E41B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FA0C21D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42" w:type="dxa"/>
          </w:tcPr>
          <w:p w14:paraId="38202FAB" w14:textId="77777777" w:rsidR="004C5AD5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</w:t>
            </w:r>
            <w:r>
              <w:rPr>
                <w:rFonts w:ascii="Cambria" w:hAnsi="Cambria"/>
                <w:sz w:val="20"/>
                <w:szCs w:val="20"/>
              </w:rPr>
              <w:tab/>
            </w:r>
          </w:p>
          <w:p w14:paraId="33E41809" w14:textId="14B13E93" w:rsidR="00E70929" w:rsidRPr="00132CCA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(-13,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49</w:t>
            </w:r>
            <w:r w:rsidR="007A27FD" w:rsidRPr="00132CCA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507AE62A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04323CF" w14:textId="5EAD27FE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5AD5" w14:paraId="257752B4" w14:textId="792D02EB" w:rsidTr="004C5AD5">
        <w:tc>
          <w:tcPr>
            <w:tcW w:w="894" w:type="dxa"/>
          </w:tcPr>
          <w:p w14:paraId="3F63B248" w14:textId="5B29FFC8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15–44</w:t>
            </w:r>
          </w:p>
        </w:tc>
        <w:tc>
          <w:tcPr>
            <w:tcW w:w="1624" w:type="dxa"/>
          </w:tcPr>
          <w:p w14:paraId="4F9C9E8C" w14:textId="77777777" w:rsidR="004C5AD5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-608</w:t>
            </w:r>
            <w:r w:rsidRPr="00132CCA">
              <w:rPr>
                <w:rFonts w:ascii="Cambria" w:hAnsi="Cambria"/>
                <w:sz w:val="20"/>
                <w:szCs w:val="20"/>
              </w:rPr>
              <w:tab/>
            </w:r>
          </w:p>
          <w:p w14:paraId="6EBB393D" w14:textId="2F6FC5EF" w:rsidR="00E70929" w:rsidRPr="00132CCA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(-1924,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32CCA">
              <w:rPr>
                <w:rFonts w:ascii="Cambria" w:hAnsi="Cambria"/>
                <w:sz w:val="20"/>
                <w:szCs w:val="20"/>
              </w:rPr>
              <w:t>823)</w:t>
            </w:r>
          </w:p>
        </w:tc>
        <w:tc>
          <w:tcPr>
            <w:tcW w:w="1559" w:type="dxa"/>
          </w:tcPr>
          <w:p w14:paraId="1F8FC522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A7973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42" w:type="dxa"/>
          </w:tcPr>
          <w:p w14:paraId="128131E5" w14:textId="77777777" w:rsidR="004C5AD5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-29</w:t>
            </w:r>
            <w:r>
              <w:rPr>
                <w:rFonts w:ascii="Cambria" w:hAnsi="Cambria"/>
                <w:sz w:val="20"/>
                <w:szCs w:val="20"/>
              </w:rPr>
              <w:tab/>
            </w:r>
          </w:p>
          <w:p w14:paraId="6BDE2CC7" w14:textId="6EBA5688" w:rsidR="00E70929" w:rsidRPr="00132CCA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(-101,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41</w:t>
            </w:r>
            <w:r w:rsidR="007A27FD" w:rsidRPr="00132CCA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4568C07C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E24D11E" w14:textId="5EF804D4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5AD5" w14:paraId="61A198B8" w14:textId="01ACD121" w:rsidTr="004C5AD5">
        <w:tc>
          <w:tcPr>
            <w:tcW w:w="894" w:type="dxa"/>
          </w:tcPr>
          <w:p w14:paraId="6DAC7EF5" w14:textId="32EE9D6F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45–64</w:t>
            </w:r>
          </w:p>
        </w:tc>
        <w:tc>
          <w:tcPr>
            <w:tcW w:w="1624" w:type="dxa"/>
          </w:tcPr>
          <w:p w14:paraId="7F120782" w14:textId="77777777" w:rsidR="004C5AD5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-204</w:t>
            </w:r>
            <w:r w:rsidRPr="00132CCA">
              <w:rPr>
                <w:rFonts w:ascii="Cambria" w:hAnsi="Cambria"/>
                <w:sz w:val="20"/>
                <w:szCs w:val="20"/>
              </w:rPr>
              <w:tab/>
            </w:r>
          </w:p>
          <w:p w14:paraId="0D8F665B" w14:textId="6E092B07" w:rsidR="00E70929" w:rsidRPr="00132CCA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(-1180,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32CCA">
              <w:rPr>
                <w:rFonts w:ascii="Cambria" w:hAnsi="Cambria"/>
                <w:sz w:val="20"/>
                <w:szCs w:val="20"/>
              </w:rPr>
              <w:t>853)</w:t>
            </w:r>
          </w:p>
        </w:tc>
        <w:tc>
          <w:tcPr>
            <w:tcW w:w="1559" w:type="dxa"/>
          </w:tcPr>
          <w:p w14:paraId="51567385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9A9393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42" w:type="dxa"/>
          </w:tcPr>
          <w:p w14:paraId="715A91A8" w14:textId="77777777" w:rsidR="004C5AD5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-10</w:t>
            </w:r>
            <w:r>
              <w:rPr>
                <w:rFonts w:ascii="Cambria" w:hAnsi="Cambria"/>
                <w:sz w:val="20"/>
                <w:szCs w:val="20"/>
              </w:rPr>
              <w:tab/>
            </w:r>
          </w:p>
          <w:p w14:paraId="19F47AB9" w14:textId="7D968408" w:rsidR="00E70929" w:rsidRPr="00132CCA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(-61,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43</w:t>
            </w:r>
            <w:r w:rsidR="007A27FD" w:rsidRPr="00132CCA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5314C5E0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8745304" w14:textId="6AE623B3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5AD5" w14:paraId="69146D50" w14:textId="64AF54A7" w:rsidTr="004C5AD5">
        <w:tc>
          <w:tcPr>
            <w:tcW w:w="894" w:type="dxa"/>
          </w:tcPr>
          <w:p w14:paraId="0F6CA3A3" w14:textId="77777777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65+</w:t>
            </w:r>
          </w:p>
        </w:tc>
        <w:tc>
          <w:tcPr>
            <w:tcW w:w="1624" w:type="dxa"/>
          </w:tcPr>
          <w:p w14:paraId="15397ED1" w14:textId="77777777" w:rsidR="004C5AD5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-1506</w:t>
            </w:r>
            <w:r w:rsidRPr="00132CCA">
              <w:rPr>
                <w:rFonts w:ascii="Cambria" w:hAnsi="Cambria"/>
                <w:sz w:val="20"/>
                <w:szCs w:val="20"/>
              </w:rPr>
              <w:tab/>
            </w:r>
          </w:p>
          <w:p w14:paraId="55CE610E" w14:textId="70C49723" w:rsidR="00E70929" w:rsidRPr="00132CCA" w:rsidRDefault="007A27FD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(-2661,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32CCA">
              <w:rPr>
                <w:rFonts w:ascii="Cambria" w:hAnsi="Cambria"/>
                <w:sz w:val="20"/>
                <w:szCs w:val="20"/>
              </w:rPr>
              <w:t>-253)</w:t>
            </w:r>
          </w:p>
        </w:tc>
        <w:tc>
          <w:tcPr>
            <w:tcW w:w="1559" w:type="dxa"/>
          </w:tcPr>
          <w:p w14:paraId="696E42CE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05C82E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42" w:type="dxa"/>
          </w:tcPr>
          <w:p w14:paraId="2BE84E3F" w14:textId="77777777" w:rsidR="004C5AD5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-72</w:t>
            </w:r>
            <w:r>
              <w:rPr>
                <w:rFonts w:ascii="Cambria" w:hAnsi="Cambria"/>
                <w:sz w:val="20"/>
                <w:szCs w:val="20"/>
              </w:rPr>
              <w:tab/>
            </w:r>
          </w:p>
          <w:p w14:paraId="55AAFE2F" w14:textId="12542504" w:rsidR="00E70929" w:rsidRPr="00132CCA" w:rsidRDefault="00132CC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(-144,</w:t>
            </w:r>
            <w:r w:rsidR="004C5AD5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-12</w:t>
            </w:r>
            <w:r w:rsidR="007A27FD" w:rsidRPr="00132CCA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1BE63E06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8503BD6" w14:textId="17B35405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5AD5" w14:paraId="59B3C45B" w14:textId="45DA7257" w:rsidTr="004C5AD5">
        <w:tc>
          <w:tcPr>
            <w:tcW w:w="894" w:type="dxa"/>
          </w:tcPr>
          <w:p w14:paraId="02AEA9AE" w14:textId="77777777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24" w:type="dxa"/>
          </w:tcPr>
          <w:p w14:paraId="01B01E81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C8EE75F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4F144D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42" w:type="dxa"/>
          </w:tcPr>
          <w:p w14:paraId="7FF84FDE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41D00C4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CABCA5" w14:textId="009F7280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5AD5" w14:paraId="18A97607" w14:textId="79B68B22" w:rsidTr="004C5AD5">
        <w:tc>
          <w:tcPr>
            <w:tcW w:w="894" w:type="dxa"/>
          </w:tcPr>
          <w:p w14:paraId="4FB27778" w14:textId="77777777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All ages</w:t>
            </w:r>
          </w:p>
        </w:tc>
        <w:tc>
          <w:tcPr>
            <w:tcW w:w="1624" w:type="dxa"/>
          </w:tcPr>
          <w:p w14:paraId="0C9E1588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7ACBB34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968798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42" w:type="dxa"/>
          </w:tcPr>
          <w:p w14:paraId="693A7EC1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41DA715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3CADDBE" w14:textId="3AE11DA1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821A044" w14:textId="77777777" w:rsidR="001968CB" w:rsidRDefault="001968CB"/>
    <w:p w14:paraId="530F431A" w14:textId="63C2CD72" w:rsidR="00247943" w:rsidRPr="00364CC7" w:rsidRDefault="00247943" w:rsidP="00247943">
      <w:pPr>
        <w:rPr>
          <w:rFonts w:ascii="Calibri" w:hAnsi="Calibri" w:cs="Times New Roman"/>
          <w:sz w:val="20"/>
          <w:szCs w:val="20"/>
        </w:rPr>
      </w:pPr>
    </w:p>
    <w:p w14:paraId="0B8E25F3" w14:textId="76E7E517" w:rsidR="00247943" w:rsidRDefault="00247943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14:paraId="55BF31E3" w14:textId="4AEE4409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22E9BCB0" w14:textId="033F4AFF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7BF88300" w14:textId="782D0AC9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07C699C1" w14:textId="33C5FFB4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6905333D" w14:textId="32F5AC7D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078B98DC" w14:textId="4FD588DA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1173E067" w14:textId="18171CB0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257496E7" w14:textId="30F40E59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1CB48C5D" w14:textId="6A0200F2" w:rsidR="00247943" w:rsidRDefault="007A27FD" w:rsidP="007A27FD">
      <w:r w:rsidRPr="007A27FD">
        <w:rPr>
          <w:rFonts w:ascii="Calibri" w:hAnsi="Calibri"/>
          <w:sz w:val="20"/>
          <w:szCs w:val="20"/>
        </w:rPr>
        <w:tab/>
      </w:r>
    </w:p>
    <w:sectPr w:rsidR="00247943" w:rsidSect="004C5A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CB"/>
    <w:rsid w:val="000951F1"/>
    <w:rsid w:val="000D71DB"/>
    <w:rsid w:val="0010210E"/>
    <w:rsid w:val="0011529B"/>
    <w:rsid w:val="00132CCA"/>
    <w:rsid w:val="001968CB"/>
    <w:rsid w:val="001B267A"/>
    <w:rsid w:val="001B72D8"/>
    <w:rsid w:val="001D5ED6"/>
    <w:rsid w:val="00247943"/>
    <w:rsid w:val="002D050A"/>
    <w:rsid w:val="00364CC7"/>
    <w:rsid w:val="003E31B9"/>
    <w:rsid w:val="004C5AD5"/>
    <w:rsid w:val="005202EC"/>
    <w:rsid w:val="005357D9"/>
    <w:rsid w:val="00614DF8"/>
    <w:rsid w:val="0062206E"/>
    <w:rsid w:val="00636BD3"/>
    <w:rsid w:val="006A349D"/>
    <w:rsid w:val="00713159"/>
    <w:rsid w:val="00722229"/>
    <w:rsid w:val="007465EB"/>
    <w:rsid w:val="007A27FD"/>
    <w:rsid w:val="007C6B72"/>
    <w:rsid w:val="00834493"/>
    <w:rsid w:val="00912109"/>
    <w:rsid w:val="00972099"/>
    <w:rsid w:val="009A251D"/>
    <w:rsid w:val="00A11B32"/>
    <w:rsid w:val="00A177F0"/>
    <w:rsid w:val="00AB6F1B"/>
    <w:rsid w:val="00BF6A0E"/>
    <w:rsid w:val="00C20321"/>
    <w:rsid w:val="00D2766E"/>
    <w:rsid w:val="00E03560"/>
    <w:rsid w:val="00E70929"/>
    <w:rsid w:val="00F7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99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588</Words>
  <Characters>3357</Characters>
  <Application>Microsoft Macintosh Word</Application>
  <DocSecurity>0</DocSecurity>
  <Lines>27</Lines>
  <Paragraphs>7</Paragraphs>
  <ScaleCrop>false</ScaleCrop>
  <Company>London School of Hygiene and Tropical Medicine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Atkins</dc:creator>
  <cp:keywords/>
  <dc:description/>
  <cp:lastModifiedBy>Katie Atkins</cp:lastModifiedBy>
  <cp:revision>27</cp:revision>
  <dcterms:created xsi:type="dcterms:W3CDTF">2015-07-20T10:52:00Z</dcterms:created>
  <dcterms:modified xsi:type="dcterms:W3CDTF">2015-08-18T14:00:00Z</dcterms:modified>
</cp:coreProperties>
</file>