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571" w14:textId="324F16D6" w:rsidR="001E33AA" w:rsidRPr="00100B80" w:rsidRDefault="00E15BE6" w:rsidP="00FA7D00">
      <w:pPr>
        <w:pStyle w:val="Title"/>
        <w:rPr>
          <w:rFonts w:ascii="Times New Roman" w:eastAsia="Times New Roman" w:hAnsi="Times New Roman" w:cs="Times New Roman"/>
          <w:lang w:val="en-US"/>
        </w:rPr>
      </w:pPr>
      <w:r>
        <w:rPr>
          <w:rFonts w:ascii="Times New Roman" w:eastAsia="Times New Roman" w:hAnsi="Times New Roman" w:cs="Times New Roman"/>
          <w:lang w:val="en-US"/>
        </w:rPr>
        <w:t xml:space="preserve">The decomposition and emission factors of dioxins, PAHs and PCBs in diverse, contaminated organic waste fractions undergoing dry </w:t>
      </w:r>
      <w:proofErr w:type="gramStart"/>
      <w:r>
        <w:rPr>
          <w:rFonts w:ascii="Times New Roman" w:eastAsia="Times New Roman" w:hAnsi="Times New Roman" w:cs="Times New Roman"/>
          <w:lang w:val="en-US"/>
        </w:rPr>
        <w:t>pyrolysis</w:t>
      </w:r>
      <w:proofErr w:type="gramEnd"/>
    </w:p>
    <w:p w14:paraId="3D7630A4" w14:textId="2079C7C1" w:rsidR="00901C7B" w:rsidRPr="00901C7B" w:rsidRDefault="001E33AA" w:rsidP="00E0192D">
      <w:pPr>
        <w:ind w:firstLine="0"/>
        <w:rPr>
          <w:i/>
          <w:iCs/>
          <w:vertAlign w:val="superscript"/>
          <w:lang w:val="en-US"/>
        </w:rPr>
      </w:pPr>
      <w:r w:rsidRPr="00E15BE6">
        <w:rPr>
          <w:i/>
          <w:iCs/>
          <w:lang w:val="en-US"/>
        </w:rPr>
        <w:t>Katinka M. Krahn</w:t>
      </w:r>
      <w:r w:rsidRPr="00E15BE6">
        <w:rPr>
          <w:i/>
          <w:iCs/>
          <w:vertAlign w:val="superscript"/>
          <w:lang w:val="en-US"/>
        </w:rPr>
        <w:t>1</w:t>
      </w:r>
      <w:r w:rsidR="006F6573" w:rsidRPr="00E15BE6">
        <w:rPr>
          <w:i/>
          <w:iCs/>
          <w:lang w:val="en-US"/>
        </w:rPr>
        <w:t xml:space="preserve">, </w:t>
      </w:r>
      <w:r w:rsidR="00FB0477" w:rsidRPr="00E15BE6">
        <w:rPr>
          <w:i/>
          <w:iCs/>
          <w:lang w:val="en-US"/>
        </w:rPr>
        <w:t>Erlend Sørmo</w:t>
      </w:r>
      <w:r w:rsidR="00FB0477" w:rsidRPr="00E15BE6">
        <w:rPr>
          <w:i/>
          <w:iCs/>
          <w:vertAlign w:val="superscript"/>
          <w:lang w:val="en-US"/>
        </w:rPr>
        <w:t>2,3</w:t>
      </w:r>
      <w:r w:rsidR="00E15BE6" w:rsidRPr="00E15BE6">
        <w:rPr>
          <w:i/>
          <w:iCs/>
          <w:lang w:val="en-US"/>
        </w:rPr>
        <w:t xml:space="preserve">, </w:t>
      </w:r>
      <w:r w:rsidR="00901C7B">
        <w:rPr>
          <w:i/>
          <w:iCs/>
          <w:lang w:val="en-US"/>
        </w:rPr>
        <w:t>Gudny</w:t>
      </w:r>
      <w:r w:rsidR="00665E10">
        <w:rPr>
          <w:i/>
          <w:iCs/>
          <w:lang w:val="en-US"/>
        </w:rPr>
        <w:t xml:space="preserve"> Øyre Flatabø</w:t>
      </w:r>
      <w:r w:rsidR="00665E10">
        <w:rPr>
          <w:i/>
          <w:iCs/>
          <w:vertAlign w:val="superscript"/>
          <w:lang w:val="en-US"/>
        </w:rPr>
        <w:t>4</w:t>
      </w:r>
      <w:r w:rsidR="00901C7B">
        <w:rPr>
          <w:i/>
          <w:iCs/>
          <w:lang w:val="en-US"/>
        </w:rPr>
        <w:t>, Hans Peter</w:t>
      </w:r>
      <w:r w:rsidR="00665E10">
        <w:rPr>
          <w:i/>
          <w:iCs/>
          <w:lang w:val="en-US"/>
        </w:rPr>
        <w:t xml:space="preserve"> H. Arp</w:t>
      </w:r>
      <w:r w:rsidR="00665E10">
        <w:rPr>
          <w:i/>
          <w:iCs/>
          <w:vertAlign w:val="superscript"/>
          <w:lang w:val="en-US"/>
        </w:rPr>
        <w:t>3,5</w:t>
      </w:r>
      <w:r w:rsidR="00901C7B">
        <w:rPr>
          <w:i/>
          <w:iCs/>
          <w:lang w:val="en-US"/>
        </w:rPr>
        <w:t xml:space="preserve">, </w:t>
      </w:r>
      <w:r w:rsidR="00FB0477" w:rsidRPr="00E15BE6">
        <w:rPr>
          <w:i/>
          <w:iCs/>
          <w:lang w:val="en-US"/>
        </w:rPr>
        <w:t>Gerard Cornelissen</w:t>
      </w:r>
      <w:r w:rsidR="00FB0477" w:rsidRPr="00E15BE6">
        <w:rPr>
          <w:i/>
          <w:iCs/>
          <w:vertAlign w:val="superscript"/>
          <w:lang w:val="en-US"/>
        </w:rPr>
        <w:t>2,3</w:t>
      </w:r>
    </w:p>
    <w:p w14:paraId="24ED6FE0" w14:textId="25AB0C9D" w:rsidR="007C0196" w:rsidRPr="009940BA" w:rsidRDefault="00E15BE6" w:rsidP="30233887">
      <w:pPr>
        <w:pStyle w:val="Utenavsnitt"/>
        <w:rPr>
          <w:vertAlign w:val="baseline"/>
        </w:rPr>
      </w:pPr>
      <w:r>
        <w:rPr>
          <w:vertAlign w:val="baseline"/>
        </w:rPr>
        <w:t>1)</w:t>
      </w:r>
      <w:r w:rsidR="001E33AA" w:rsidRPr="00100B80">
        <w:rPr>
          <w:vertAlign w:val="baseline"/>
        </w:rPr>
        <w:t xml:space="preserve"> </w:t>
      </w:r>
      <w:r w:rsidR="006F6573">
        <w:rPr>
          <w:vertAlign w:val="baseline"/>
        </w:rPr>
        <w:t>Lindum AS, 3036 Drammen, Norway</w:t>
      </w:r>
    </w:p>
    <w:p w14:paraId="01DAC7AC" w14:textId="1B22426A" w:rsidR="007C0196" w:rsidRPr="00100B80" w:rsidRDefault="00E15BE6" w:rsidP="00E0192D">
      <w:pPr>
        <w:pStyle w:val="Utenavsnitt"/>
        <w:rPr>
          <w:vertAlign w:val="baseline"/>
        </w:rPr>
      </w:pPr>
      <w:r>
        <w:rPr>
          <w:vertAlign w:val="baseline"/>
        </w:rPr>
        <w:t>2)</w:t>
      </w:r>
      <w:r w:rsidR="001E33AA" w:rsidRPr="30233887">
        <w:rPr>
          <w:vertAlign w:val="baseline"/>
        </w:rPr>
        <w:t xml:space="preserve"> Norwegian </w:t>
      </w:r>
      <w:r w:rsidR="001E33AA" w:rsidRPr="00100B80">
        <w:rPr>
          <w:vertAlign w:val="baseline"/>
        </w:rPr>
        <w:t xml:space="preserve">University of Life Sciences (NMBU), 1430 Ås, Norway </w:t>
      </w:r>
    </w:p>
    <w:p w14:paraId="4E17A69E" w14:textId="6D577C8A" w:rsidR="001E33AA" w:rsidRDefault="00E15BE6" w:rsidP="00E0192D">
      <w:pPr>
        <w:pStyle w:val="Utenavsnitt"/>
        <w:rPr>
          <w:vertAlign w:val="baseline"/>
        </w:rPr>
      </w:pPr>
      <w:r>
        <w:rPr>
          <w:vertAlign w:val="baseline"/>
        </w:rPr>
        <w:t>3)</w:t>
      </w:r>
      <w:r w:rsidR="007C0196" w:rsidRPr="00100B80">
        <w:rPr>
          <w:vertAlign w:val="baseline"/>
        </w:rPr>
        <w:t xml:space="preserve"> </w:t>
      </w:r>
      <w:r w:rsidR="006F6573" w:rsidRPr="00100B80">
        <w:rPr>
          <w:vertAlign w:val="baseline"/>
        </w:rPr>
        <w:t xml:space="preserve">Norwegian </w:t>
      </w:r>
      <w:r w:rsidR="006F6573" w:rsidRPr="30233887">
        <w:rPr>
          <w:vertAlign w:val="baseline"/>
        </w:rPr>
        <w:t>Geotechnical Institute (NGI), 0484 Oslo, Norway</w:t>
      </w:r>
    </w:p>
    <w:p w14:paraId="5051A701" w14:textId="2B823541" w:rsidR="00665E10" w:rsidRDefault="00665E10" w:rsidP="00E0192D">
      <w:pPr>
        <w:pStyle w:val="Utenavsnitt"/>
        <w:rPr>
          <w:vertAlign w:val="baseline"/>
        </w:rPr>
      </w:pPr>
      <w:r>
        <w:rPr>
          <w:vertAlign w:val="baseline"/>
        </w:rPr>
        <w:t xml:space="preserve">4) </w:t>
      </w:r>
      <w:r w:rsidRPr="00665E10">
        <w:rPr>
          <w:vertAlign w:val="baseline"/>
        </w:rPr>
        <w:t>Scanship AS, Nedre Langgate 19, 3126, Tønsberg, Norway</w:t>
      </w:r>
    </w:p>
    <w:p w14:paraId="3D41D335" w14:textId="54EAD05A" w:rsidR="00665E10" w:rsidRDefault="00665E10" w:rsidP="00E0192D">
      <w:pPr>
        <w:pStyle w:val="Utenavsnitt"/>
        <w:rPr>
          <w:vertAlign w:val="baseline"/>
        </w:rPr>
      </w:pPr>
      <w:r>
        <w:rPr>
          <w:vertAlign w:val="baseline"/>
        </w:rPr>
        <w:t xml:space="preserve">5) Norwegian University of Science and Technology (NTNU), </w:t>
      </w:r>
      <w:r w:rsidRPr="00665E10">
        <w:rPr>
          <w:vertAlign w:val="baseline"/>
        </w:rPr>
        <w:t>7491</w:t>
      </w:r>
      <w:r>
        <w:rPr>
          <w:vertAlign w:val="baseline"/>
        </w:rPr>
        <w:t xml:space="preserve"> Trondheim, Norway</w:t>
      </w:r>
    </w:p>
    <w:p w14:paraId="63F19FE6" w14:textId="77777777" w:rsidR="00E15BE6" w:rsidRDefault="00E15BE6" w:rsidP="00E0192D">
      <w:pPr>
        <w:pStyle w:val="Utenavsnitt"/>
        <w:rPr>
          <w:sz w:val="24"/>
          <w:szCs w:val="24"/>
          <w:vertAlign w:val="baseline"/>
        </w:rPr>
      </w:pPr>
    </w:p>
    <w:p w14:paraId="576C20E7" w14:textId="75908364" w:rsidR="00E15BE6" w:rsidRPr="00E15BE6" w:rsidRDefault="00E15BE6" w:rsidP="00E0192D">
      <w:pPr>
        <w:pStyle w:val="Utenavsnitt"/>
        <w:rPr>
          <w:sz w:val="24"/>
          <w:szCs w:val="24"/>
          <w:vertAlign w:val="baseline"/>
        </w:rPr>
      </w:pPr>
      <w:r w:rsidRPr="00E15BE6">
        <w:rPr>
          <w:sz w:val="24"/>
          <w:szCs w:val="24"/>
          <w:vertAlign w:val="baseline"/>
        </w:rPr>
        <w:t xml:space="preserve">*Corresponding author contact details: </w:t>
      </w:r>
      <w:r w:rsidR="00665E10">
        <w:rPr>
          <w:sz w:val="24"/>
          <w:szCs w:val="24"/>
          <w:vertAlign w:val="baseline"/>
        </w:rPr>
        <w:t>gerard.cornelissen</w:t>
      </w:r>
      <w:r w:rsidRPr="00E15BE6">
        <w:rPr>
          <w:sz w:val="24"/>
          <w:szCs w:val="24"/>
          <w:vertAlign w:val="baseline"/>
        </w:rPr>
        <w:t>@ngi.no</w:t>
      </w:r>
    </w:p>
    <w:p w14:paraId="41D85681" w14:textId="77777777" w:rsidR="00E15BE6" w:rsidRDefault="000722B1" w:rsidP="00E15BE6">
      <w:pPr>
        <w:pStyle w:val="Heading3"/>
        <w:rPr>
          <w:lang w:val="en-US"/>
        </w:rPr>
      </w:pPr>
      <w:r w:rsidRPr="00E15BE6">
        <w:rPr>
          <w:lang w:val="en-US"/>
        </w:rPr>
        <w:t xml:space="preserve">Keywords: </w:t>
      </w:r>
    </w:p>
    <w:p w14:paraId="30A4C69D" w14:textId="63C4F69A" w:rsidR="007C0196" w:rsidRDefault="00E15BE6" w:rsidP="00DC5010">
      <w:pPr>
        <w:spacing w:before="240"/>
        <w:ind w:firstLine="0"/>
        <w:rPr>
          <w:lang w:val="en-US"/>
        </w:rPr>
      </w:pPr>
      <w:r>
        <w:rPr>
          <w:lang w:val="en-US"/>
        </w:rPr>
        <w:t xml:space="preserve">Pyrolysis, sewage sludge, organic waste, </w:t>
      </w:r>
      <w:r w:rsidR="005452DB">
        <w:rPr>
          <w:lang w:val="en-US"/>
        </w:rPr>
        <w:t xml:space="preserve">legacy pollutants, </w:t>
      </w:r>
      <w:r>
        <w:rPr>
          <w:lang w:val="en-US"/>
        </w:rPr>
        <w:t>dioxins, PAHs, PCBs, biochar, emission factors, mass balance</w:t>
      </w:r>
    </w:p>
    <w:p w14:paraId="66F1C259" w14:textId="75C83B2B" w:rsidR="00E15BE6" w:rsidRPr="00E15BE6" w:rsidRDefault="00E15BE6" w:rsidP="00E15BE6">
      <w:pPr>
        <w:pStyle w:val="Heading3"/>
        <w:rPr>
          <w:lang w:val="en-US"/>
        </w:rPr>
      </w:pPr>
      <w:r>
        <w:rPr>
          <w:lang w:val="en-US"/>
        </w:rPr>
        <w:t>Graphical Abstract</w:t>
      </w:r>
    </w:p>
    <w:p w14:paraId="13A0E0D9" w14:textId="2D0864B8" w:rsidR="007C0196" w:rsidRDefault="000722B1" w:rsidP="00401EEE">
      <w:pPr>
        <w:pStyle w:val="Utenkapittel"/>
      </w:pPr>
      <w:r w:rsidRPr="00100B80">
        <w:t>Abstract</w:t>
      </w:r>
    </w:p>
    <w:p w14:paraId="360CC135" w14:textId="41EF9408" w:rsidR="00052D69" w:rsidRPr="00052D69" w:rsidRDefault="00052D69" w:rsidP="00052D69">
      <w:pPr>
        <w:ind w:firstLine="0"/>
        <w:rPr>
          <w:lang w:val="en-US"/>
        </w:rPr>
      </w:pPr>
      <w:r w:rsidRPr="00052D69">
        <w:rPr>
          <w:lang w:val="en-US"/>
        </w:rPr>
        <w:t>Emission concentrations, emission factors, t</w:t>
      </w:r>
      <w:r>
        <w:rPr>
          <w:lang w:val="en-US"/>
        </w:rPr>
        <w:t xml:space="preserve">otal concentrations in feedstock and biochar at different temperatures are provided for PAH, TCDD/Fs and PCBs. Seven feedstocks were tested: waste timber, garden waste, limed sludge, digested sludge, food waste reject, pyrolyzed at temperatures between 500-800 ˚C in a pilot-scale dry pyrolysis plant, slow. Pyrolysis eliminated TCDD/F and PCBs in feedstocks, however, PAHs were formed, but below EBC guidelines some of them. </w:t>
      </w:r>
    </w:p>
    <w:p w14:paraId="56D2A59E" w14:textId="1BB36B19" w:rsidR="006D1BB5" w:rsidRDefault="006D1BB5" w:rsidP="00401EEE">
      <w:pPr>
        <w:pStyle w:val="Heading1"/>
      </w:pPr>
      <w:bookmarkStart w:id="0" w:name="_Ref104794203"/>
      <w:r w:rsidRPr="00401EEE">
        <w:lastRenderedPageBreak/>
        <w:t>Introduction</w:t>
      </w:r>
      <w:bookmarkEnd w:id="0"/>
      <w:r w:rsidR="0097145C">
        <w:t xml:space="preserve"> </w:t>
      </w:r>
    </w:p>
    <w:p w14:paraId="6A2D0FCF" w14:textId="3FD3DF49" w:rsidR="0097145C" w:rsidRDefault="00BD2CC0" w:rsidP="0097145C">
      <w:pPr>
        <w:ind w:firstLine="0"/>
        <w:rPr>
          <w:lang w:val="en-US"/>
        </w:rPr>
      </w:pPr>
      <w:r>
        <w:rPr>
          <w:lang w:val="en-US"/>
        </w:rPr>
        <w:t xml:space="preserve">Organic pollutants are ubiquitous in the environment. </w:t>
      </w:r>
      <w:r w:rsidR="0097145C">
        <w:rPr>
          <w:lang w:val="en-US"/>
        </w:rPr>
        <w:t xml:space="preserve">There are many pollutants in waste from synthetic chemical addition to products and they leach and end up in wastewater. Persistent organic pollutants (POPs) are problematic due to their persistence, </w:t>
      </w:r>
      <w:r w:rsidR="00600C9D">
        <w:rPr>
          <w:lang w:val="en-US"/>
        </w:rPr>
        <w:t>bioaccumulation,</w:t>
      </w:r>
      <w:r w:rsidR="0097145C">
        <w:rPr>
          <w:lang w:val="en-US"/>
        </w:rPr>
        <w:t xml:space="preserve"> and toxicity in the environment. </w:t>
      </w:r>
      <w:r>
        <w:rPr>
          <w:lang w:val="en-US"/>
        </w:rPr>
        <w:t xml:space="preserve">Find ways to safely treat waste that contains problematic compounds. </w:t>
      </w:r>
      <w:r w:rsidR="00006263">
        <w:rPr>
          <w:lang w:val="en-US"/>
        </w:rPr>
        <w:t xml:space="preserve">Elevated concentrations in humans of dioxins and PCBs, long-term effects. </w:t>
      </w:r>
    </w:p>
    <w:p w14:paraId="613F82DE" w14:textId="1EF590AE" w:rsidR="0097145C" w:rsidRDefault="0097145C" w:rsidP="0097145C">
      <w:pPr>
        <w:rPr>
          <w:lang w:val="en-US"/>
        </w:rPr>
      </w:pPr>
      <w:r>
        <w:rPr>
          <w:lang w:val="en-US"/>
        </w:rPr>
        <w:t>Polychlorinated dibenzo p-dioxins and dibenzofurans (PCDD/Fs</w:t>
      </w:r>
      <w:r w:rsidR="00120C71">
        <w:rPr>
          <w:lang w:val="en-US"/>
        </w:rPr>
        <w:t>), commonly referred to as dioxins,</w:t>
      </w:r>
      <w:r>
        <w:rPr>
          <w:lang w:val="en-US"/>
        </w:rPr>
        <w:t xml:space="preserve"> are a group of planar tricyclic aromatic compounds that form non-intentionally during the production of chlorinated compounds or during combustion processes. Dioxins are carcinogenic </w:t>
      </w:r>
      <w:r w:rsidR="00120C71">
        <w:rPr>
          <w:lang w:val="en-US"/>
        </w:rPr>
        <w:t xml:space="preserve">and </w:t>
      </w:r>
      <w:r>
        <w:rPr>
          <w:lang w:val="en-US"/>
        </w:rPr>
        <w:t xml:space="preserve">potent. </w:t>
      </w:r>
    </w:p>
    <w:p w14:paraId="15843416" w14:textId="5BD7A3BF" w:rsidR="0097145C" w:rsidRDefault="0097145C" w:rsidP="0097145C">
      <w:pPr>
        <w:pStyle w:val="ListParagraph"/>
        <w:numPr>
          <w:ilvl w:val="1"/>
          <w:numId w:val="3"/>
        </w:numPr>
        <w:rPr>
          <w:lang w:val="en-US"/>
        </w:rPr>
      </w:pPr>
      <w:r>
        <w:rPr>
          <w:lang w:val="en-US"/>
        </w:rPr>
        <w:t>8 homologue groups according to the numbers of chlorine atoms present</w:t>
      </w:r>
    </w:p>
    <w:p w14:paraId="53917B42" w14:textId="77777777" w:rsidR="0097145C" w:rsidRDefault="0097145C" w:rsidP="0097145C">
      <w:pPr>
        <w:ind w:firstLine="0"/>
        <w:rPr>
          <w:lang w:val="en-US"/>
        </w:rPr>
      </w:pPr>
      <w:r w:rsidRPr="00654416">
        <w:rPr>
          <w:lang w:val="en-US"/>
        </w:rPr>
        <w:t>Polychlorinated biphenyl</w:t>
      </w:r>
      <w:r>
        <w:rPr>
          <w:lang w:val="en-US"/>
        </w:rPr>
        <w:t>s</w:t>
      </w:r>
      <w:r w:rsidRPr="00654416">
        <w:rPr>
          <w:lang w:val="en-US"/>
        </w:rPr>
        <w:t xml:space="preserve"> (PCB</w:t>
      </w:r>
      <w:r>
        <w:rPr>
          <w:lang w:val="en-US"/>
        </w:rPr>
        <w:t>s</w:t>
      </w:r>
      <w:r w:rsidRPr="00654416">
        <w:rPr>
          <w:lang w:val="en-US"/>
        </w:rPr>
        <w:t>)</w:t>
      </w:r>
      <w:r>
        <w:rPr>
          <w:lang w:val="en-US"/>
        </w:rPr>
        <w:t xml:space="preserve"> are non-</w:t>
      </w:r>
      <w:proofErr w:type="gramStart"/>
      <w:r>
        <w:rPr>
          <w:lang w:val="en-US"/>
        </w:rPr>
        <w:t>planar</w:t>
      </w:r>
      <w:proofErr w:type="gramEnd"/>
    </w:p>
    <w:p w14:paraId="0F328026" w14:textId="77777777" w:rsidR="0097145C" w:rsidRDefault="0097145C" w:rsidP="0097145C">
      <w:pPr>
        <w:pStyle w:val="ListParagraph"/>
        <w:numPr>
          <w:ilvl w:val="1"/>
          <w:numId w:val="3"/>
        </w:numPr>
        <w:rPr>
          <w:lang w:val="en-US"/>
        </w:rPr>
      </w:pPr>
      <w:r>
        <w:rPr>
          <w:lang w:val="en-US"/>
        </w:rPr>
        <w:t xml:space="preserve">Commercial production began in 1929 by chlorination of biphenyl, 10 available positions for </w:t>
      </w:r>
      <w:proofErr w:type="gramStart"/>
      <w:r>
        <w:rPr>
          <w:lang w:val="en-US"/>
        </w:rPr>
        <w:t>chlorination</w:t>
      </w:r>
      <w:proofErr w:type="gramEnd"/>
    </w:p>
    <w:p w14:paraId="1F6AFE3C" w14:textId="77777777" w:rsidR="0097145C" w:rsidRDefault="0097145C" w:rsidP="0097145C">
      <w:pPr>
        <w:pStyle w:val="ListParagraph"/>
        <w:numPr>
          <w:ilvl w:val="1"/>
          <w:numId w:val="3"/>
        </w:numPr>
        <w:rPr>
          <w:lang w:val="en-US"/>
        </w:rPr>
      </w:pPr>
      <w:r>
        <w:rPr>
          <w:lang w:val="en-US"/>
        </w:rPr>
        <w:t>Commercial utility of PCBs:</w:t>
      </w:r>
    </w:p>
    <w:p w14:paraId="66A801C3" w14:textId="77777777" w:rsidR="0097145C" w:rsidRDefault="0097145C" w:rsidP="0097145C">
      <w:pPr>
        <w:pStyle w:val="ListParagraph"/>
        <w:numPr>
          <w:ilvl w:val="2"/>
          <w:numId w:val="3"/>
        </w:numPr>
        <w:rPr>
          <w:lang w:val="en-US"/>
        </w:rPr>
      </w:pPr>
      <w:r>
        <w:rPr>
          <w:lang w:val="en-US"/>
        </w:rPr>
        <w:t>Strong chemical and physical stability</w:t>
      </w:r>
    </w:p>
    <w:p w14:paraId="565877FF" w14:textId="77777777" w:rsidR="0097145C" w:rsidRDefault="0097145C" w:rsidP="0097145C">
      <w:pPr>
        <w:pStyle w:val="ListParagraph"/>
        <w:numPr>
          <w:ilvl w:val="2"/>
          <w:numId w:val="3"/>
        </w:numPr>
        <w:rPr>
          <w:lang w:val="en-US"/>
        </w:rPr>
      </w:pPr>
      <w:r>
        <w:rPr>
          <w:lang w:val="en-US"/>
        </w:rPr>
        <w:t>Electrical resistance</w:t>
      </w:r>
    </w:p>
    <w:p w14:paraId="1B004988" w14:textId="77777777" w:rsidR="0097145C" w:rsidRDefault="0097145C" w:rsidP="0097145C">
      <w:pPr>
        <w:pStyle w:val="ListParagraph"/>
        <w:numPr>
          <w:ilvl w:val="2"/>
          <w:numId w:val="3"/>
        </w:numPr>
        <w:rPr>
          <w:lang w:val="en-US"/>
        </w:rPr>
      </w:pPr>
      <w:r>
        <w:rPr>
          <w:lang w:val="en-US"/>
        </w:rPr>
        <w:t>Low volatility</w:t>
      </w:r>
    </w:p>
    <w:p w14:paraId="7AB1C6A0" w14:textId="1A8086C3" w:rsidR="0097145C" w:rsidRPr="0097145C" w:rsidRDefault="0097145C" w:rsidP="0097145C">
      <w:pPr>
        <w:pStyle w:val="ListParagraph"/>
        <w:numPr>
          <w:ilvl w:val="2"/>
          <w:numId w:val="3"/>
        </w:numPr>
        <w:rPr>
          <w:lang w:val="en-US"/>
        </w:rPr>
      </w:pPr>
      <w:r>
        <w:rPr>
          <w:lang w:val="en-US"/>
        </w:rPr>
        <w:t xml:space="preserve">Resistance to degradation at high temperatures </w:t>
      </w:r>
    </w:p>
    <w:p w14:paraId="0BCEE558" w14:textId="77777777" w:rsidR="0097145C" w:rsidRDefault="0097145C" w:rsidP="0097145C">
      <w:pPr>
        <w:pStyle w:val="ListParagraph"/>
        <w:numPr>
          <w:ilvl w:val="0"/>
          <w:numId w:val="3"/>
        </w:numPr>
        <w:rPr>
          <w:lang w:val="en-US"/>
        </w:rPr>
      </w:pPr>
      <w:r w:rsidRPr="00654416">
        <w:rPr>
          <w:lang w:val="en-US"/>
        </w:rPr>
        <w:t>Polycyclic aromatic hydrocarbons (PAH)</w:t>
      </w:r>
    </w:p>
    <w:p w14:paraId="1B412109" w14:textId="77777777" w:rsidR="0097145C" w:rsidRDefault="0097145C" w:rsidP="0097145C">
      <w:pPr>
        <w:pStyle w:val="ListParagraph"/>
        <w:numPr>
          <w:ilvl w:val="1"/>
          <w:numId w:val="3"/>
        </w:numPr>
        <w:rPr>
          <w:lang w:val="en-US"/>
        </w:rPr>
      </w:pPr>
      <w:r>
        <w:rPr>
          <w:lang w:val="en-US"/>
        </w:rPr>
        <w:t>Carcinogens/mutagens</w:t>
      </w:r>
    </w:p>
    <w:p w14:paraId="2C9D155C" w14:textId="77777777" w:rsidR="0097145C" w:rsidRDefault="0097145C" w:rsidP="0097145C">
      <w:pPr>
        <w:pStyle w:val="ListParagraph"/>
        <w:numPr>
          <w:ilvl w:val="1"/>
          <w:numId w:val="3"/>
        </w:numPr>
        <w:rPr>
          <w:lang w:val="en-US"/>
        </w:rPr>
      </w:pPr>
      <w:r>
        <w:rPr>
          <w:lang w:val="en-US"/>
        </w:rPr>
        <w:t>Product of incomplete combustion</w:t>
      </w:r>
    </w:p>
    <w:p w14:paraId="25B9ECF2" w14:textId="77777777" w:rsidR="0097145C" w:rsidRPr="0097145C" w:rsidRDefault="0097145C" w:rsidP="0097145C">
      <w:pPr>
        <w:ind w:firstLine="0"/>
        <w:rPr>
          <w:lang w:val="en-US"/>
        </w:rPr>
      </w:pPr>
    </w:p>
    <w:p w14:paraId="2739B69F" w14:textId="44AC1E45" w:rsidR="00CC4FE9" w:rsidRDefault="00CC4FE9" w:rsidP="00CC4FE9">
      <w:pPr>
        <w:pStyle w:val="ListParagraph"/>
        <w:numPr>
          <w:ilvl w:val="0"/>
          <w:numId w:val="3"/>
        </w:numPr>
        <w:rPr>
          <w:lang w:val="en-US"/>
        </w:rPr>
      </w:pPr>
      <w:r>
        <w:rPr>
          <w:lang w:val="en-US"/>
        </w:rPr>
        <w:t xml:space="preserve">Organic pollutants in sewage sludge, </w:t>
      </w:r>
      <w:proofErr w:type="gramStart"/>
      <w:r>
        <w:rPr>
          <w:lang w:val="en-US"/>
        </w:rPr>
        <w:t>mobility</w:t>
      </w:r>
      <w:proofErr w:type="gramEnd"/>
      <w:r>
        <w:rPr>
          <w:lang w:val="en-US"/>
        </w:rPr>
        <w:t xml:space="preserve"> and accumulation</w:t>
      </w:r>
    </w:p>
    <w:p w14:paraId="1A122392" w14:textId="7913A831" w:rsidR="00BD2CC0" w:rsidRDefault="00BD2CC0" w:rsidP="00CC4FE9">
      <w:pPr>
        <w:pStyle w:val="ListParagraph"/>
        <w:numPr>
          <w:ilvl w:val="0"/>
          <w:numId w:val="3"/>
        </w:numPr>
        <w:rPr>
          <w:lang w:val="en-US"/>
        </w:rPr>
      </w:pPr>
      <w:r>
        <w:rPr>
          <w:lang w:val="en-US"/>
        </w:rPr>
        <w:lastRenderedPageBreak/>
        <w:t>Agricultural use of sludge</w:t>
      </w:r>
    </w:p>
    <w:p w14:paraId="02286793" w14:textId="7D7CA411" w:rsidR="00BD2CC0" w:rsidRDefault="00BD2CC0" w:rsidP="00CC4FE9">
      <w:pPr>
        <w:pStyle w:val="ListParagraph"/>
        <w:numPr>
          <w:ilvl w:val="0"/>
          <w:numId w:val="3"/>
        </w:numPr>
        <w:rPr>
          <w:lang w:val="en-US"/>
        </w:rPr>
      </w:pPr>
      <w:r>
        <w:rPr>
          <w:lang w:val="en-US"/>
        </w:rPr>
        <w:t xml:space="preserve">Treatment methods, issues with combustion PAHs, derivatives. </w:t>
      </w:r>
    </w:p>
    <w:p w14:paraId="14A9520B" w14:textId="77777777" w:rsidR="00DE06E4" w:rsidRPr="00DE06E4" w:rsidRDefault="00DE06E4" w:rsidP="00DE06E4">
      <w:pPr>
        <w:autoSpaceDE w:val="0"/>
        <w:autoSpaceDN w:val="0"/>
        <w:adjustRightInd w:val="0"/>
        <w:spacing w:line="240" w:lineRule="auto"/>
        <w:ind w:firstLine="0"/>
        <w:rPr>
          <w:rFonts w:ascii="AdvOT863180fb" w:eastAsiaTheme="minorHAnsi" w:hAnsi="AdvOT863180fb" w:cs="AdvOT863180fb"/>
          <w:sz w:val="16"/>
          <w:szCs w:val="16"/>
          <w:lang w:val="en-US" w:eastAsia="en-US"/>
        </w:rPr>
      </w:pPr>
      <w:r w:rsidRPr="00DE06E4">
        <w:rPr>
          <w:rFonts w:ascii="AdvOT863180fb" w:eastAsiaTheme="minorHAnsi" w:hAnsi="AdvOT863180fb" w:cs="AdvOT863180fb"/>
          <w:sz w:val="16"/>
          <w:szCs w:val="16"/>
          <w:lang w:val="en-US" w:eastAsia="en-US"/>
        </w:rPr>
        <w:t>the studies on the effect of</w:t>
      </w:r>
    </w:p>
    <w:p w14:paraId="35011B5D" w14:textId="2518F0BE" w:rsidR="00DE06E4" w:rsidRPr="00AA088B" w:rsidRDefault="00DE06E4" w:rsidP="00AA088B">
      <w:pPr>
        <w:autoSpaceDE w:val="0"/>
        <w:autoSpaceDN w:val="0"/>
        <w:adjustRightInd w:val="0"/>
        <w:spacing w:line="240" w:lineRule="auto"/>
        <w:ind w:firstLine="0"/>
        <w:rPr>
          <w:rFonts w:ascii="AdvOT863180fb" w:eastAsiaTheme="minorHAnsi" w:hAnsi="AdvOT863180fb" w:cs="AdvOT863180fb"/>
          <w:sz w:val="16"/>
          <w:szCs w:val="16"/>
          <w:lang w:val="en-US" w:eastAsia="en-US"/>
        </w:rPr>
      </w:pPr>
      <w:r w:rsidRPr="00DE06E4">
        <w:rPr>
          <w:rFonts w:ascii="AdvOT863180fb" w:eastAsiaTheme="minorHAnsi" w:hAnsi="AdvOT863180fb" w:cs="AdvOT863180fb"/>
          <w:sz w:val="16"/>
          <w:szCs w:val="16"/>
          <w:lang w:val="en-US" w:eastAsia="en-US"/>
        </w:rPr>
        <w:t>sludge pyrolysis on the removal of other than PAH organic pollutants</w:t>
      </w:r>
      <w:r w:rsidR="00AA088B">
        <w:rPr>
          <w:rFonts w:ascii="AdvOT863180fb" w:eastAsiaTheme="minorHAnsi" w:hAnsi="AdvOT863180fb" w:cs="AdvOT863180fb"/>
          <w:sz w:val="16"/>
          <w:szCs w:val="16"/>
          <w:lang w:val="en-US" w:eastAsia="en-US"/>
        </w:rPr>
        <w:t xml:space="preserve"> </w:t>
      </w:r>
      <w:r w:rsidRPr="00AA088B">
        <w:rPr>
          <w:rFonts w:ascii="AdvOT863180fb" w:eastAsiaTheme="minorHAnsi" w:hAnsi="AdvOT863180fb" w:cs="AdvOT863180fb"/>
          <w:sz w:val="16"/>
          <w:szCs w:val="16"/>
          <w:lang w:val="en-US" w:eastAsia="en-US"/>
        </w:rPr>
        <w:t>are scarce. Regarding</w:t>
      </w:r>
    </w:p>
    <w:p w14:paraId="31AF12BE" w14:textId="5F5D392E" w:rsidR="00BD2CC0" w:rsidRDefault="00BD2CC0" w:rsidP="00CC4FE9">
      <w:pPr>
        <w:pStyle w:val="ListParagraph"/>
        <w:numPr>
          <w:ilvl w:val="0"/>
          <w:numId w:val="3"/>
        </w:numPr>
        <w:rPr>
          <w:lang w:val="en-US"/>
        </w:rPr>
      </w:pPr>
      <w:r>
        <w:rPr>
          <w:lang w:val="en-US"/>
        </w:rPr>
        <w:t>Municipal waste incineration</w:t>
      </w:r>
      <w:r w:rsidR="008B7646">
        <w:rPr>
          <w:lang w:val="en-US"/>
        </w:rPr>
        <w:t xml:space="preserve">, standard at &gt;1000 degrees as waste handling strategy for dealing with hazardous contaminated waste streams. Modern waste incinerators are equipped with scrubbers to remove potentially contaminated particles from the </w:t>
      </w:r>
      <w:proofErr w:type="gramStart"/>
      <w:r w:rsidR="008B7646">
        <w:rPr>
          <w:lang w:val="en-US"/>
        </w:rPr>
        <w:t>exhaust</w:t>
      </w:r>
      <w:proofErr w:type="gramEnd"/>
    </w:p>
    <w:p w14:paraId="54EBC98F" w14:textId="38A62675" w:rsidR="00CC4FE9" w:rsidRDefault="00CC4FE9" w:rsidP="00CC4FE9">
      <w:pPr>
        <w:pStyle w:val="ListParagraph"/>
        <w:numPr>
          <w:ilvl w:val="0"/>
          <w:numId w:val="3"/>
        </w:numPr>
        <w:rPr>
          <w:lang w:val="en-US"/>
        </w:rPr>
      </w:pPr>
      <w:r>
        <w:rPr>
          <w:lang w:val="en-US"/>
        </w:rPr>
        <w:t xml:space="preserve">Use of sewage sludge soil application but restricted due to contents of organic pollutants, nutrient enrichment: ban on direct sewage sludge soil </w:t>
      </w:r>
      <w:proofErr w:type="gramStart"/>
      <w:r>
        <w:rPr>
          <w:lang w:val="en-US"/>
        </w:rPr>
        <w:t>application</w:t>
      </w:r>
      <w:proofErr w:type="gramEnd"/>
      <w:r>
        <w:rPr>
          <w:lang w:val="en-US"/>
        </w:rPr>
        <w:t xml:space="preserve"> </w:t>
      </w:r>
    </w:p>
    <w:p w14:paraId="591E1E49" w14:textId="48E0940D" w:rsidR="00240848" w:rsidRPr="00240848" w:rsidRDefault="00240848" w:rsidP="00240848">
      <w:pPr>
        <w:pStyle w:val="ListParagraph"/>
        <w:numPr>
          <w:ilvl w:val="1"/>
          <w:numId w:val="3"/>
        </w:numPr>
        <w:rPr>
          <w:lang w:val="en-US"/>
        </w:rPr>
      </w:pPr>
      <w:r>
        <w:rPr>
          <w:lang w:val="en-US"/>
        </w:rPr>
        <w:t xml:space="preserve">STRUBIAS report: sewage sludge banned from the list of prohibited EU fertilizing products </w:t>
      </w:r>
      <w:proofErr w:type="gramStart"/>
      <w:r>
        <w:rPr>
          <w:lang w:val="en-US"/>
        </w:rPr>
        <w:t>and also</w:t>
      </w:r>
      <w:proofErr w:type="gramEnd"/>
      <w:r>
        <w:rPr>
          <w:lang w:val="en-US"/>
        </w:rPr>
        <w:t xml:space="preserve"> banned as feedstock to produce pyrolysis and gasification materials in 2019 due to lack of data on fate or organic pollutants </w:t>
      </w:r>
      <w:sdt>
        <w:sdtPr>
          <w:rPr>
            <w:color w:val="000000"/>
            <w:lang w:val="en-US"/>
          </w:rPr>
          <w:tag w:val="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196611990"/>
          <w:placeholder>
            <w:docPart w:val="DefaultPlaceholder_-1854013440"/>
          </w:placeholder>
        </w:sdtPr>
        <w:sdtEndPr/>
        <w:sdtContent>
          <w:r w:rsidR="007E4089" w:rsidRPr="007E4089">
            <w:rPr>
              <w:color w:val="000000"/>
              <w:lang w:val="en-US"/>
            </w:rPr>
            <w:t>(</w:t>
          </w:r>
          <w:proofErr w:type="spellStart"/>
          <w:r w:rsidR="007E4089" w:rsidRPr="007E4089">
            <w:rPr>
              <w:color w:val="000000"/>
              <w:lang w:val="en-US"/>
            </w:rPr>
            <w:t>Moško</w:t>
          </w:r>
          <w:proofErr w:type="spellEnd"/>
          <w:r w:rsidR="007E4089" w:rsidRPr="007E4089">
            <w:rPr>
              <w:color w:val="000000"/>
              <w:lang w:val="en-US"/>
            </w:rPr>
            <w:t xml:space="preserve"> et al., 2021)</w:t>
          </w:r>
        </w:sdtContent>
      </w:sdt>
      <w:r>
        <w:rPr>
          <w:color w:val="000000"/>
          <w:lang w:val="en-US"/>
        </w:rPr>
        <w:t xml:space="preserve"> started to close this knowledge gap. </w:t>
      </w:r>
    </w:p>
    <w:p w14:paraId="0B9E2ADC" w14:textId="37DCD3B3" w:rsidR="00240848" w:rsidRPr="00240848" w:rsidRDefault="00240848" w:rsidP="00240848">
      <w:pPr>
        <w:pStyle w:val="ListParagraph"/>
        <w:numPr>
          <w:ilvl w:val="1"/>
          <w:numId w:val="3"/>
        </w:numPr>
        <w:rPr>
          <w:lang w:val="en-US"/>
        </w:rPr>
      </w:pPr>
      <w:r>
        <w:rPr>
          <w:lang w:val="en-US"/>
        </w:rPr>
        <w:t>STUBIAS report is hesitant about pyrolysis and gasification being a treatment method for removal of organic pollutants</w:t>
      </w:r>
      <w:sdt>
        <w:sdtPr>
          <w:rPr>
            <w:color w:val="000000"/>
            <w:lang w:val="en-US"/>
          </w:rPr>
          <w:tag w:val="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
          <w:id w:val="981280388"/>
          <w:placeholder>
            <w:docPart w:val="DefaultPlaceholder_-1854013440"/>
          </w:placeholder>
        </w:sdtPr>
        <w:sdtEndPr/>
        <w:sdtContent>
          <w:r w:rsidR="007E4089" w:rsidRPr="007E4089">
            <w:rPr>
              <w:color w:val="000000"/>
              <w:lang w:val="en-US"/>
            </w:rPr>
            <w:t>(Huygens et al., 2019)</w:t>
          </w:r>
        </w:sdtContent>
      </w:sdt>
      <w:r>
        <w:rPr>
          <w:color w:val="000000"/>
          <w:lang w:val="en-US"/>
        </w:rPr>
        <w:t>. But largely based on hydrothermal carbonization (HTC) which is conducted at low-temperature (180-250 ˚C).</w:t>
      </w:r>
    </w:p>
    <w:p w14:paraId="4423FE7E" w14:textId="06BAAE88" w:rsidR="00240848" w:rsidRPr="00CC4FE9" w:rsidRDefault="00240848" w:rsidP="00240848">
      <w:pPr>
        <w:pStyle w:val="ListParagraph"/>
        <w:numPr>
          <w:ilvl w:val="0"/>
          <w:numId w:val="3"/>
        </w:numPr>
        <w:rPr>
          <w:lang w:val="en-US"/>
        </w:rPr>
      </w:pPr>
      <w:r>
        <w:rPr>
          <w:lang w:val="en-US"/>
        </w:rPr>
        <w:t xml:space="preserve">Pyrolysis is a potentially sustainable way to treat sewage sludge, especially for sludges with a low content of heavy metals. </w:t>
      </w:r>
    </w:p>
    <w:p w14:paraId="6B391D5F" w14:textId="570E54FB" w:rsidR="001C0D8C" w:rsidRDefault="001C0D8C" w:rsidP="0078661B">
      <w:pPr>
        <w:pStyle w:val="ListParagraph"/>
        <w:numPr>
          <w:ilvl w:val="1"/>
          <w:numId w:val="3"/>
        </w:numPr>
        <w:rPr>
          <w:lang w:val="en-US"/>
        </w:rPr>
      </w:pPr>
      <w:r>
        <w:rPr>
          <w:lang w:val="en-US"/>
        </w:rPr>
        <w:t xml:space="preserve">Relation between temperature and PAH content, difference to leaching. </w:t>
      </w:r>
    </w:p>
    <w:p w14:paraId="452F7A57" w14:textId="21612B4D" w:rsidR="00577FC2" w:rsidRPr="00577FC2" w:rsidRDefault="00577FC2" w:rsidP="00577FC2">
      <w:pPr>
        <w:rPr>
          <w:lang w:val="en-US"/>
        </w:rPr>
      </w:pPr>
      <w:r>
        <w:rPr>
          <w:lang w:val="en-US"/>
        </w:rPr>
        <w:t xml:space="preserve">Sørmo 2020 </w:t>
      </w:r>
      <w:proofErr w:type="spellStart"/>
      <w:r>
        <w:rPr>
          <w:lang w:val="en-US"/>
        </w:rPr>
        <w:t>pyreg</w:t>
      </w:r>
      <w:proofErr w:type="spellEnd"/>
      <w:r>
        <w:rPr>
          <w:lang w:val="en-US"/>
        </w:rPr>
        <w:t xml:space="preserve">: </w:t>
      </w:r>
    </w:p>
    <w:p w14:paraId="65AA6F9B" w14:textId="77777777" w:rsidR="00577FC2" w:rsidRP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The European Biochar Certi</w:t>
      </w:r>
      <w:r w:rsidRPr="00577FC2">
        <w:rPr>
          <w:rFonts w:ascii="AdvTT5235d5a9+fb" w:eastAsiaTheme="minorHAnsi" w:hAnsi="AdvTT5235d5a9+fb" w:cs="AdvTT5235d5a9+fb"/>
          <w:color w:val="000000"/>
          <w:sz w:val="16"/>
          <w:szCs w:val="16"/>
          <w:lang w:val="en-US" w:eastAsia="en-US"/>
        </w:rPr>
        <w:t>fi</w:t>
      </w:r>
      <w:r w:rsidRPr="00577FC2">
        <w:rPr>
          <w:rFonts w:ascii="AdvTT5235d5a9" w:eastAsiaTheme="minorHAnsi" w:hAnsi="AdvTT5235d5a9" w:cs="AdvTT5235d5a9"/>
          <w:color w:val="000000"/>
          <w:sz w:val="16"/>
          <w:szCs w:val="16"/>
          <w:lang w:val="en-US" w:eastAsia="en-US"/>
        </w:rPr>
        <w:t>cate speci</w:t>
      </w:r>
      <w:r w:rsidRPr="00577FC2">
        <w:rPr>
          <w:rFonts w:ascii="AdvTT5235d5a9+fb" w:eastAsiaTheme="minorHAnsi" w:hAnsi="AdvTT5235d5a9+fb" w:cs="AdvTT5235d5a9+fb"/>
          <w:color w:val="000000"/>
          <w:sz w:val="16"/>
          <w:szCs w:val="16"/>
          <w:lang w:val="en-US" w:eastAsia="en-US"/>
        </w:rPr>
        <w:t>fi</w:t>
      </w:r>
      <w:r w:rsidRPr="00577FC2">
        <w:rPr>
          <w:rFonts w:ascii="AdvTT5235d5a9" w:eastAsiaTheme="minorHAnsi" w:hAnsi="AdvTT5235d5a9" w:cs="AdvTT5235d5a9"/>
          <w:color w:val="000000"/>
          <w:sz w:val="16"/>
          <w:szCs w:val="16"/>
          <w:lang w:val="en-US" w:eastAsia="en-US"/>
        </w:rPr>
        <w:t xml:space="preserve">es contaminant </w:t>
      </w:r>
      <w:proofErr w:type="gramStart"/>
      <w:r w:rsidRPr="00577FC2">
        <w:rPr>
          <w:rFonts w:ascii="AdvTT5235d5a9" w:eastAsiaTheme="minorHAnsi" w:hAnsi="AdvTT5235d5a9" w:cs="AdvTT5235d5a9"/>
          <w:color w:val="000000"/>
          <w:sz w:val="16"/>
          <w:szCs w:val="16"/>
          <w:lang w:val="en-US" w:eastAsia="en-US"/>
        </w:rPr>
        <w:t>threshold</w:t>
      </w:r>
      <w:proofErr w:type="gramEnd"/>
    </w:p>
    <w:p w14:paraId="568875C2" w14:textId="77777777" w:rsidR="00577FC2" w:rsidRP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levels in biochar for agricultural soil improvement (</w:t>
      </w:r>
      <w:r w:rsidRPr="00577FC2">
        <w:rPr>
          <w:rFonts w:ascii="AdvTT5235d5a9" w:eastAsiaTheme="minorHAnsi" w:hAnsi="AdvTT5235d5a9" w:cs="AdvTT5235d5a9"/>
          <w:color w:val="0000FF"/>
          <w:sz w:val="16"/>
          <w:szCs w:val="16"/>
          <w:lang w:val="en-US" w:eastAsia="en-US"/>
        </w:rPr>
        <w:t>EBC, 2012</w:t>
      </w:r>
      <w:r w:rsidRPr="00577FC2">
        <w:rPr>
          <w:rFonts w:ascii="AdvTT5235d5a9" w:eastAsiaTheme="minorHAnsi" w:hAnsi="AdvTT5235d5a9" w:cs="AdvTT5235d5a9"/>
          <w:color w:val="000000"/>
          <w:sz w:val="16"/>
          <w:szCs w:val="16"/>
          <w:lang w:val="en-US" w:eastAsia="en-US"/>
        </w:rPr>
        <w:t>). These</w:t>
      </w:r>
    </w:p>
    <w:p w14:paraId="4C1A7542" w14:textId="77777777" w:rsid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eastAsia="en-US"/>
        </w:rPr>
      </w:pPr>
      <w:r w:rsidRPr="00577FC2">
        <w:rPr>
          <w:rFonts w:ascii="AdvTT5235d5a9" w:eastAsiaTheme="minorHAnsi" w:hAnsi="AdvTT5235d5a9" w:cs="AdvTT5235d5a9"/>
          <w:color w:val="000000"/>
          <w:sz w:val="16"/>
          <w:szCs w:val="16"/>
          <w:lang w:val="en-US" w:eastAsia="en-US"/>
        </w:rPr>
        <w:t xml:space="preserve">threshold levels are all based on total content in the solid phase. </w:t>
      </w:r>
      <w:proofErr w:type="spellStart"/>
      <w:r>
        <w:rPr>
          <w:rFonts w:ascii="AdvTT5235d5a9" w:eastAsiaTheme="minorHAnsi" w:hAnsi="AdvTT5235d5a9" w:cs="AdvTT5235d5a9"/>
          <w:color w:val="000000"/>
          <w:sz w:val="16"/>
          <w:szCs w:val="16"/>
          <w:lang w:eastAsia="en-US"/>
        </w:rPr>
        <w:t>Meanwhile</w:t>
      </w:r>
      <w:proofErr w:type="spellEnd"/>
      <w:r>
        <w:rPr>
          <w:rFonts w:ascii="AdvTT5235d5a9" w:eastAsiaTheme="minorHAnsi" w:hAnsi="AdvTT5235d5a9" w:cs="AdvTT5235d5a9"/>
          <w:color w:val="000000"/>
          <w:sz w:val="16"/>
          <w:szCs w:val="16"/>
          <w:lang w:eastAsia="en-US"/>
        </w:rPr>
        <w:t>,</w:t>
      </w:r>
    </w:p>
    <w:p w14:paraId="2E114064" w14:textId="77777777" w:rsid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eastAsia="en-US"/>
        </w:rPr>
      </w:pPr>
      <w:r>
        <w:rPr>
          <w:rFonts w:ascii="AdvTT5235d5a9" w:eastAsiaTheme="minorHAnsi" w:hAnsi="AdvTT5235d5a9" w:cs="AdvTT5235d5a9"/>
          <w:color w:val="000000"/>
          <w:sz w:val="16"/>
          <w:szCs w:val="16"/>
          <w:lang w:eastAsia="en-US"/>
        </w:rPr>
        <w:t xml:space="preserve">to </w:t>
      </w:r>
      <w:proofErr w:type="spellStart"/>
      <w:r>
        <w:rPr>
          <w:rFonts w:ascii="AdvTT5235d5a9" w:eastAsiaTheme="minorHAnsi" w:hAnsi="AdvTT5235d5a9" w:cs="AdvTT5235d5a9"/>
          <w:color w:val="000000"/>
          <w:sz w:val="16"/>
          <w:szCs w:val="16"/>
          <w:lang w:eastAsia="en-US"/>
        </w:rPr>
        <w:t>give</w:t>
      </w:r>
      <w:proofErr w:type="spellEnd"/>
      <w:r>
        <w:rPr>
          <w:rFonts w:ascii="AdvTT5235d5a9" w:eastAsiaTheme="minorHAnsi" w:hAnsi="AdvTT5235d5a9" w:cs="AdvTT5235d5a9"/>
          <w:color w:val="000000"/>
          <w:sz w:val="16"/>
          <w:szCs w:val="16"/>
          <w:lang w:eastAsia="en-US"/>
        </w:rPr>
        <w:t xml:space="preserve"> an </w:t>
      </w:r>
      <w:proofErr w:type="spellStart"/>
      <w:r>
        <w:rPr>
          <w:rFonts w:ascii="AdvTT5235d5a9" w:eastAsiaTheme="minorHAnsi" w:hAnsi="AdvTT5235d5a9" w:cs="AdvTT5235d5a9"/>
          <w:color w:val="000000"/>
          <w:sz w:val="16"/>
          <w:szCs w:val="16"/>
          <w:lang w:eastAsia="en-US"/>
        </w:rPr>
        <w:t>accurate</w:t>
      </w:r>
      <w:proofErr w:type="spellEnd"/>
      <w:r>
        <w:rPr>
          <w:rFonts w:ascii="AdvTT5235d5a9" w:eastAsiaTheme="minorHAnsi" w:hAnsi="AdvTT5235d5a9" w:cs="AdvTT5235d5a9"/>
          <w:color w:val="000000"/>
          <w:sz w:val="16"/>
          <w:szCs w:val="16"/>
          <w:lang w:eastAsia="en-US"/>
        </w:rPr>
        <w:t xml:space="preserve"> </w:t>
      </w:r>
      <w:proofErr w:type="spellStart"/>
      <w:r>
        <w:rPr>
          <w:rFonts w:ascii="AdvTT5235d5a9" w:eastAsiaTheme="minorHAnsi" w:hAnsi="AdvTT5235d5a9" w:cs="AdvTT5235d5a9"/>
          <w:color w:val="000000"/>
          <w:sz w:val="16"/>
          <w:szCs w:val="16"/>
          <w:lang w:eastAsia="en-US"/>
        </w:rPr>
        <w:t>assessment</w:t>
      </w:r>
      <w:proofErr w:type="spellEnd"/>
      <w:r>
        <w:rPr>
          <w:rFonts w:ascii="AdvTT5235d5a9" w:eastAsiaTheme="minorHAnsi" w:hAnsi="AdvTT5235d5a9" w:cs="AdvTT5235d5a9"/>
          <w:color w:val="000000"/>
          <w:sz w:val="16"/>
          <w:szCs w:val="16"/>
          <w:lang w:eastAsia="en-US"/>
        </w:rPr>
        <w:t xml:space="preserve"> </w:t>
      </w:r>
      <w:proofErr w:type="spellStart"/>
      <w:r>
        <w:rPr>
          <w:rFonts w:ascii="AdvTT5235d5a9" w:eastAsiaTheme="minorHAnsi" w:hAnsi="AdvTT5235d5a9" w:cs="AdvTT5235d5a9"/>
          <w:color w:val="000000"/>
          <w:sz w:val="16"/>
          <w:szCs w:val="16"/>
          <w:lang w:eastAsia="en-US"/>
        </w:rPr>
        <w:t>of</w:t>
      </w:r>
      <w:proofErr w:type="spellEnd"/>
      <w:r>
        <w:rPr>
          <w:rFonts w:ascii="AdvTT5235d5a9" w:eastAsiaTheme="minorHAnsi" w:hAnsi="AdvTT5235d5a9" w:cs="AdvTT5235d5a9"/>
          <w:color w:val="000000"/>
          <w:sz w:val="16"/>
          <w:szCs w:val="16"/>
          <w:lang w:eastAsia="en-US"/>
        </w:rPr>
        <w:t xml:space="preserve"> risk, </w:t>
      </w:r>
      <w:proofErr w:type="spellStart"/>
      <w:r>
        <w:rPr>
          <w:rFonts w:ascii="AdvTT5235d5a9" w:eastAsiaTheme="minorHAnsi" w:hAnsi="AdvTT5235d5a9" w:cs="AdvTT5235d5a9"/>
          <w:color w:val="000000"/>
          <w:sz w:val="16"/>
          <w:szCs w:val="16"/>
          <w:lang w:eastAsia="en-US"/>
        </w:rPr>
        <w:t>bioavailable</w:t>
      </w:r>
      <w:proofErr w:type="spellEnd"/>
      <w:r>
        <w:rPr>
          <w:rFonts w:ascii="AdvTT5235d5a9" w:eastAsiaTheme="minorHAnsi" w:hAnsi="AdvTT5235d5a9" w:cs="AdvTT5235d5a9"/>
          <w:color w:val="000000"/>
          <w:sz w:val="16"/>
          <w:szCs w:val="16"/>
          <w:lang w:eastAsia="en-US"/>
        </w:rPr>
        <w:t xml:space="preserve"> </w:t>
      </w:r>
      <w:proofErr w:type="spellStart"/>
      <w:r>
        <w:rPr>
          <w:rFonts w:ascii="AdvTT5235d5a9" w:eastAsiaTheme="minorHAnsi" w:hAnsi="AdvTT5235d5a9" w:cs="AdvTT5235d5a9"/>
          <w:color w:val="000000"/>
          <w:sz w:val="16"/>
          <w:szCs w:val="16"/>
          <w:lang w:eastAsia="en-US"/>
        </w:rPr>
        <w:t>concentrations</w:t>
      </w:r>
      <w:proofErr w:type="spellEnd"/>
    </w:p>
    <w:p w14:paraId="777C052B" w14:textId="66E006E1" w:rsidR="00577FC2" w:rsidRPr="006B161B" w:rsidRDefault="00577FC2" w:rsidP="00577FC2">
      <w:pPr>
        <w:pStyle w:val="ListParagraph"/>
        <w:numPr>
          <w:ilvl w:val="0"/>
          <w:numId w:val="3"/>
        </w:numPr>
        <w:rPr>
          <w:lang w:val="en-US"/>
        </w:rPr>
      </w:pPr>
      <w:r w:rsidRPr="00577FC2">
        <w:rPr>
          <w:rFonts w:ascii="AdvTT5235d5a9" w:eastAsiaTheme="minorHAnsi" w:hAnsi="AdvTT5235d5a9" w:cs="AdvTT5235d5a9"/>
          <w:color w:val="000000"/>
          <w:sz w:val="16"/>
          <w:szCs w:val="16"/>
          <w:lang w:val="en-US" w:eastAsia="en-US"/>
        </w:rPr>
        <w:t>should be considered (</w:t>
      </w:r>
      <w:r w:rsidRPr="00577FC2">
        <w:rPr>
          <w:rFonts w:ascii="AdvTT5235d5a9" w:eastAsiaTheme="minorHAnsi" w:hAnsi="AdvTT5235d5a9" w:cs="AdvTT5235d5a9"/>
          <w:color w:val="0000FF"/>
          <w:sz w:val="16"/>
          <w:szCs w:val="16"/>
          <w:lang w:val="en-US" w:eastAsia="en-US"/>
        </w:rPr>
        <w:t>Reichenberg and Mayer, 2006</w:t>
      </w:r>
      <w:r w:rsidRPr="00577FC2">
        <w:rPr>
          <w:rFonts w:ascii="AdvTT5235d5a9" w:eastAsiaTheme="minorHAnsi" w:hAnsi="AdvTT5235d5a9" w:cs="AdvTT5235d5a9"/>
          <w:color w:val="000000"/>
          <w:sz w:val="16"/>
          <w:szCs w:val="16"/>
          <w:lang w:val="en-US" w:eastAsia="en-US"/>
        </w:rPr>
        <w:t>).</w:t>
      </w:r>
    </w:p>
    <w:p w14:paraId="0217F112" w14:textId="0168AF22" w:rsidR="006B161B" w:rsidRPr="006B161B" w:rsidRDefault="00AA088B" w:rsidP="006B161B">
      <w:pPr>
        <w:rPr>
          <w:lang w:val="en-US"/>
        </w:rPr>
      </w:pPr>
      <w:sdt>
        <w:sdtPr>
          <w:rPr>
            <w:color w:val="000000"/>
            <w:lang w:val="en-US"/>
          </w:rPr>
          <w:tag w:val="MENDELEY_CITATION_v3_eyJjaXRhdGlvbklEIjoiTUVOREVMRVlfQ0lUQVRJT05fZmQ3Y2ZmYmMtODBkOC00YmIyLTgwNTktMGI5YTRkZGJmZjgw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1151671977"/>
          <w:placeholder>
            <w:docPart w:val="8D29B17E29FA42668444326CD9825462"/>
          </w:placeholder>
        </w:sdtPr>
        <w:sdtEndPr/>
        <w:sdtContent>
          <w:proofErr w:type="spellStart"/>
          <w:r w:rsidR="007E4089" w:rsidRPr="007E4089">
            <w:rPr>
              <w:color w:val="000000"/>
              <w:lang w:val="en-US"/>
            </w:rPr>
            <w:t>Moško</w:t>
          </w:r>
          <w:proofErr w:type="spellEnd"/>
          <w:r w:rsidR="007E4089" w:rsidRPr="007E4089">
            <w:rPr>
              <w:color w:val="000000"/>
              <w:lang w:val="en-US"/>
            </w:rPr>
            <w:t xml:space="preserve"> et al. (2021)</w:t>
          </w:r>
        </w:sdtContent>
      </w:sdt>
      <w:r w:rsidR="006B161B" w:rsidRPr="006B161B">
        <w:rPr>
          <w:color w:val="000000"/>
          <w:lang w:val="en-US"/>
        </w:rPr>
        <w:t xml:space="preserve"> </w:t>
      </w:r>
      <w:r w:rsidR="006B161B">
        <w:rPr>
          <w:color w:val="000000"/>
          <w:lang w:val="en-US"/>
        </w:rPr>
        <w:t>addressed the</w:t>
      </w:r>
      <w:r w:rsidR="006B161B" w:rsidRPr="006B161B">
        <w:rPr>
          <w:color w:val="000000"/>
          <w:lang w:val="en-US"/>
        </w:rPr>
        <w:t xml:space="preserve"> </w:t>
      </w:r>
      <w:r w:rsidR="006B161B">
        <w:rPr>
          <w:color w:val="000000"/>
          <w:lang w:val="en-US"/>
        </w:rPr>
        <w:t xml:space="preserve">knowledge gap on the </w:t>
      </w:r>
      <w:r w:rsidR="006B161B" w:rsidRPr="006B161B">
        <w:rPr>
          <w:color w:val="000000"/>
          <w:lang w:val="en-US"/>
        </w:rPr>
        <w:t>l</w:t>
      </w:r>
      <w:r w:rsidR="006B161B">
        <w:rPr>
          <w:color w:val="000000"/>
          <w:lang w:val="en-US"/>
        </w:rPr>
        <w:t xml:space="preserve">ack of data on the fate of organic pollutants </w:t>
      </w:r>
      <w:r w:rsidR="004261AC">
        <w:rPr>
          <w:color w:val="000000"/>
          <w:lang w:val="en-US"/>
        </w:rPr>
        <w:t>(PAHs, PCBs</w:t>
      </w:r>
      <w:r w:rsidR="00252BFA">
        <w:rPr>
          <w:color w:val="000000"/>
          <w:lang w:val="en-US"/>
        </w:rPr>
        <w:t>, PPCPs) and heavy metals</w:t>
      </w:r>
      <w:r w:rsidR="004261AC">
        <w:rPr>
          <w:color w:val="000000"/>
          <w:lang w:val="en-US"/>
        </w:rPr>
        <w:t xml:space="preserve">, </w:t>
      </w:r>
      <w:r w:rsidR="006B161B">
        <w:rPr>
          <w:color w:val="000000"/>
          <w:lang w:val="en-US"/>
        </w:rPr>
        <w:t>during pyrolysis.</w:t>
      </w:r>
      <w:r w:rsidR="004261AC">
        <w:rPr>
          <w:color w:val="000000"/>
          <w:lang w:val="en-US"/>
        </w:rPr>
        <w:t xml:space="preserve"> </w:t>
      </w:r>
      <w:proofErr w:type="spellStart"/>
      <w:r w:rsidR="00252BFA">
        <w:rPr>
          <w:color w:val="000000"/>
          <w:lang w:val="en-US"/>
        </w:rPr>
        <w:t>Mosko</w:t>
      </w:r>
      <w:proofErr w:type="spellEnd"/>
      <w:r w:rsidR="00252BFA">
        <w:rPr>
          <w:color w:val="000000"/>
          <w:lang w:val="en-US"/>
        </w:rPr>
        <w:t xml:space="preserve"> studied </w:t>
      </w:r>
      <w:r w:rsidR="00252BFA">
        <w:rPr>
          <w:color w:val="000000"/>
          <w:lang w:val="en-US"/>
        </w:rPr>
        <w:lastRenderedPageBreak/>
        <w:t>removal of organic pollutants and heavy metals during pyrolysis of sewage sludge in lab-scale experiments.</w:t>
      </w:r>
      <w:r w:rsidR="006B161B">
        <w:rPr>
          <w:color w:val="000000"/>
          <w:lang w:val="en-US"/>
        </w:rPr>
        <w:t xml:space="preserve"> </w:t>
      </w:r>
      <w:r w:rsidR="00252BFA">
        <w:rPr>
          <w:color w:val="000000"/>
          <w:lang w:val="en-US"/>
        </w:rPr>
        <w:t xml:space="preserve">This study does the same but in pilot scale and </w:t>
      </w:r>
      <w:proofErr w:type="spellStart"/>
      <w:r w:rsidR="00252BFA">
        <w:rPr>
          <w:color w:val="000000"/>
          <w:lang w:val="en-US"/>
        </w:rPr>
        <w:t>analyzes</w:t>
      </w:r>
      <w:r w:rsidR="008B7646">
        <w:rPr>
          <w:color w:val="000000"/>
          <w:lang w:val="en-US"/>
        </w:rPr>
        <w:t>all</w:t>
      </w:r>
      <w:proofErr w:type="spellEnd"/>
      <w:r w:rsidR="008B7646">
        <w:rPr>
          <w:color w:val="000000"/>
          <w:lang w:val="en-US"/>
        </w:rPr>
        <w:t xml:space="preserve"> pyrolysis products (exhaust, </w:t>
      </w:r>
      <w:proofErr w:type="gramStart"/>
      <w:r w:rsidR="008B7646">
        <w:rPr>
          <w:color w:val="000000"/>
          <w:lang w:val="en-US"/>
        </w:rPr>
        <w:t>oil</w:t>
      </w:r>
      <w:proofErr w:type="gramEnd"/>
      <w:r w:rsidR="008B7646">
        <w:rPr>
          <w:color w:val="000000"/>
          <w:lang w:val="en-US"/>
        </w:rPr>
        <w:t xml:space="preserve"> and biochar). </w:t>
      </w:r>
      <w:r w:rsidR="006B161B">
        <w:rPr>
          <w:color w:val="000000"/>
          <w:lang w:val="en-US"/>
        </w:rPr>
        <w:t xml:space="preserve">Recent work by </w:t>
      </w:r>
      <w:sdt>
        <w:sdtPr>
          <w:rPr>
            <w:color w:val="000000"/>
            <w:lang w:val="en-US"/>
          </w:rPr>
          <w:tag w:val="MENDELEY_CITATION_v3_eyJjaXRhdGlvbklEIjoiTUVOREVMRVlfQ0lUQVRJT05fNjc2YTdlMjItMGFjOS00NTA5LWJhZDctY2IzOTNmMjNmY2R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2120131841"/>
          <w:placeholder>
            <w:docPart w:val="DefaultPlaceholder_-1854013440"/>
          </w:placeholder>
        </w:sdtPr>
        <w:sdtEndPr/>
        <w:sdtContent>
          <w:r w:rsidR="007E4089" w:rsidRPr="007E4089">
            <w:rPr>
              <w:color w:val="000000"/>
              <w:lang w:val="en-US"/>
            </w:rPr>
            <w:t>(Sørmo et al., n.d.)</w:t>
          </w:r>
        </w:sdtContent>
      </w:sdt>
      <w:r w:rsidR="006B161B">
        <w:rPr>
          <w:color w:val="000000"/>
          <w:lang w:val="en-US"/>
        </w:rPr>
        <w:t xml:space="preserve"> released the first decomposition data and emission factors for PFAS compounds from waste fractions during pyrolysis. In this study, the same waste feedstocks were </w:t>
      </w:r>
      <w:r w:rsidR="004261AC">
        <w:rPr>
          <w:color w:val="000000"/>
          <w:lang w:val="en-US"/>
        </w:rPr>
        <w:t xml:space="preserve">studied for dioxins, PCBs and PAHs using the same pyrolysis reactor. </w:t>
      </w:r>
    </w:p>
    <w:p w14:paraId="1B0D279D" w14:textId="1CF5DE01" w:rsidR="006D1BB5" w:rsidRPr="00100B80" w:rsidRDefault="006F6573" w:rsidP="00401EEE">
      <w:pPr>
        <w:pStyle w:val="Heading1"/>
      </w:pPr>
      <w:r>
        <w:t>Materials and m</w:t>
      </w:r>
      <w:r w:rsidR="006D1BB5" w:rsidRPr="00100B80">
        <w:t>ethods</w:t>
      </w:r>
    </w:p>
    <w:p w14:paraId="1493F7FC" w14:textId="4216D603" w:rsidR="008B4B13" w:rsidRDefault="00E15BE6" w:rsidP="00401EEE">
      <w:pPr>
        <w:pStyle w:val="Heading2"/>
      </w:pPr>
      <w:r>
        <w:t>Chemicals and materials</w:t>
      </w:r>
    </w:p>
    <w:p w14:paraId="011D0C6E" w14:textId="57EF348B" w:rsidR="00417B31" w:rsidRPr="00417B31" w:rsidRDefault="00417B31" w:rsidP="00120C71">
      <w:pPr>
        <w:ind w:firstLine="0"/>
        <w:rPr>
          <w:lang w:val="en-US"/>
        </w:rPr>
      </w:pPr>
      <w:r w:rsidRPr="00417B31">
        <w:rPr>
          <w:lang w:val="en-US"/>
        </w:rPr>
        <w:t xml:space="preserve">Whatman® Glass fiber filters (GFF) and 153 Amberlite® XAD-2® </w:t>
      </w:r>
      <w:r>
        <w:rPr>
          <w:lang w:val="en-US"/>
        </w:rPr>
        <w:t>were acquired</w:t>
      </w:r>
      <w:r w:rsidRPr="00417B31">
        <w:rPr>
          <w:lang w:val="en-US"/>
        </w:rPr>
        <w:t xml:space="preserve"> from Merck (Darmstadt, Germany)</w:t>
      </w:r>
      <w:r>
        <w:rPr>
          <w:lang w:val="en-US"/>
        </w:rPr>
        <w:t xml:space="preserve">, </w:t>
      </w:r>
      <w:r w:rsidRPr="00417B31">
        <w:rPr>
          <w:highlight w:val="yellow"/>
          <w:lang w:val="en-US"/>
        </w:rPr>
        <w:t>what about PUF?</w:t>
      </w:r>
    </w:p>
    <w:p w14:paraId="2E367C97" w14:textId="4EC3BA1B" w:rsidR="00E15BE6" w:rsidRDefault="00E15BE6" w:rsidP="00401EEE">
      <w:pPr>
        <w:pStyle w:val="Heading2"/>
      </w:pPr>
      <w:r>
        <w:t xml:space="preserve">Contaminated organic waste </w:t>
      </w:r>
      <w:proofErr w:type="gramStart"/>
      <w:r>
        <w:t>fractions</w:t>
      </w:r>
      <w:proofErr w:type="gramEnd"/>
    </w:p>
    <w:p w14:paraId="45C78C41" w14:textId="4590E4FD" w:rsidR="00E15BE6" w:rsidRDefault="00E15BE6" w:rsidP="00417B31">
      <w:pPr>
        <w:pStyle w:val="Heading3"/>
        <w:spacing w:before="0"/>
        <w:rPr>
          <w:lang w:val="en-US"/>
        </w:rPr>
      </w:pPr>
      <w:r>
        <w:rPr>
          <w:lang w:val="en-US"/>
        </w:rPr>
        <w:t>Waste fraction descriptions</w:t>
      </w:r>
    </w:p>
    <w:p w14:paraId="62AD980C" w14:textId="76E5E390" w:rsidR="00B97611" w:rsidRPr="00B97611" w:rsidRDefault="00B97611" w:rsidP="00B97611">
      <w:pPr>
        <w:ind w:firstLine="0"/>
        <w:rPr>
          <w:lang w:val="en-US"/>
        </w:rPr>
      </w:pPr>
      <w:r>
        <w:rPr>
          <w:lang w:val="en-US"/>
        </w:rPr>
        <w:t>Seven contaminated waste materials, and one reference material (CWC), were investigated in this study (</w:t>
      </w:r>
      <w:r>
        <w:rPr>
          <w:lang w:val="en-US"/>
        </w:rPr>
        <w:fldChar w:fldCharType="begin"/>
      </w:r>
      <w:r>
        <w:rPr>
          <w:lang w:val="en-US"/>
        </w:rPr>
        <w:instrText xml:space="preserve"> REF _Ref128042408 \h </w:instrText>
      </w:r>
      <w:r>
        <w:rPr>
          <w:lang w:val="en-US"/>
        </w:rPr>
      </w:r>
      <w:r>
        <w:rPr>
          <w:lang w:val="en-US"/>
        </w:rPr>
        <w:fldChar w:fldCharType="separate"/>
      </w:r>
      <w:r w:rsidR="00F36692" w:rsidRPr="00E15BE6">
        <w:rPr>
          <w:lang w:val="en-US"/>
        </w:rPr>
        <w:t xml:space="preserve">Table </w:t>
      </w:r>
      <w:r w:rsidR="00F36692">
        <w:rPr>
          <w:noProof/>
          <w:lang w:val="en-US"/>
        </w:rPr>
        <w:t>1</w:t>
      </w:r>
      <w:r>
        <w:rPr>
          <w:lang w:val="en-US"/>
        </w:rPr>
        <w:fldChar w:fldCharType="end"/>
      </w:r>
      <w:r>
        <w:rPr>
          <w:lang w:val="en-US"/>
        </w:rPr>
        <w:t>). The waste materials included four sludge-based fee</w:t>
      </w:r>
      <w:r w:rsidR="0097695A">
        <w:rPr>
          <w:lang w:val="en-US"/>
        </w:rPr>
        <w:t>dstocks</w:t>
      </w:r>
      <w:r>
        <w:rPr>
          <w:lang w:val="en-US"/>
        </w:rPr>
        <w:t xml:space="preserve"> (DSS-1, DSS-2, and LSS), one reject from biogas production from food waste (FWR), and two wood-based feedstocks (GW and WT). Based on literature, the waste fractions investigated were all expected to contain different dioxins and PCBs, as well as some PAHs, however, the PAHs </w:t>
      </w:r>
      <w:r w:rsidR="0097695A">
        <w:rPr>
          <w:lang w:val="en-US"/>
        </w:rPr>
        <w:t>were</w:t>
      </w:r>
      <w:r>
        <w:rPr>
          <w:lang w:val="en-US"/>
        </w:rPr>
        <w:t xml:space="preserve"> expected to form during thermal treatment.</w:t>
      </w:r>
    </w:p>
    <w:p w14:paraId="76F7372D" w14:textId="31AFD42D" w:rsidR="00E15BE6" w:rsidRDefault="00E15BE6" w:rsidP="00E15BE6">
      <w:pPr>
        <w:pStyle w:val="Heading3"/>
        <w:rPr>
          <w:lang w:val="en-US"/>
        </w:rPr>
      </w:pPr>
      <w:r>
        <w:rPr>
          <w:lang w:val="en-US"/>
        </w:rPr>
        <w:t>Bulk sampling and pre-treatment before pyrolysis</w:t>
      </w:r>
    </w:p>
    <w:p w14:paraId="416BA242" w14:textId="70C0EBCF" w:rsidR="0097695A" w:rsidRPr="0097695A" w:rsidRDefault="0097695A" w:rsidP="0097695A">
      <w:pPr>
        <w:ind w:firstLine="0"/>
        <w:rPr>
          <w:lang w:val="en-US"/>
        </w:rPr>
      </w:pPr>
      <w:r>
        <w:rPr>
          <w:lang w:val="en-US"/>
        </w:rPr>
        <w:t xml:space="preserve">Each feedstock was subsampled, dried and pelletized </w:t>
      </w:r>
      <w:r w:rsidR="00E217F7">
        <w:rPr>
          <w:lang w:val="en-US"/>
        </w:rPr>
        <w:t xml:space="preserve">(length 40 mm, radius 8 mm) </w:t>
      </w:r>
      <w:r>
        <w:rPr>
          <w:lang w:val="en-US"/>
        </w:rPr>
        <w:t xml:space="preserve">before pyrolysis according to the methods described in </w:t>
      </w:r>
      <w:r w:rsidRPr="0097695A">
        <w:rPr>
          <w:color w:val="000000"/>
          <w:lang w:val="en-US"/>
        </w:rPr>
        <w:t>Sørmo et al.,</w:t>
      </w:r>
      <w:r>
        <w:rPr>
          <w:lang w:val="en-US"/>
        </w:rPr>
        <w:t xml:space="preserve"> </w:t>
      </w:r>
      <w:sdt>
        <w:sdtPr>
          <w:rPr>
            <w:color w:val="000000"/>
            <w:lang w:val="en-US"/>
          </w:rPr>
          <w:tag w:val="MENDELEY_CITATION_v3_eyJjaXRhdGlvbklEIjoiTUVOREVMRVlfQ0lUQVRJT05fMjA2OTZjMmYtZjhjOS00MjQxLWIwYTYtNTkxYTQwYzZkYmU4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720647381"/>
          <w:placeholder>
            <w:docPart w:val="DefaultPlaceholder_-1854013440"/>
          </w:placeholder>
        </w:sdtPr>
        <w:sdtEndPr/>
        <w:sdtContent>
          <w:r w:rsidR="007E4089" w:rsidRPr="007E4089">
            <w:rPr>
              <w:color w:val="000000"/>
              <w:lang w:val="en-US"/>
            </w:rPr>
            <w:t>(n.d.)</w:t>
          </w:r>
        </w:sdtContent>
      </w:sdt>
      <w:r w:rsidR="00E217F7">
        <w:rPr>
          <w:color w:val="000000"/>
          <w:lang w:val="en-US"/>
        </w:rPr>
        <w:t>.</w:t>
      </w:r>
    </w:p>
    <w:p w14:paraId="01D8D5F2" w14:textId="77777777" w:rsidR="00120C71" w:rsidRDefault="00120C71">
      <w:pPr>
        <w:spacing w:after="160"/>
        <w:ind w:firstLine="0"/>
        <w:rPr>
          <w:i/>
          <w:iCs/>
          <w:color w:val="000000" w:themeColor="text1"/>
          <w:szCs w:val="18"/>
          <w:lang w:val="en-US"/>
        </w:rPr>
      </w:pPr>
      <w:bookmarkStart w:id="1" w:name="_Ref128042408"/>
      <w:r>
        <w:rPr>
          <w:lang w:val="en-US"/>
        </w:rPr>
        <w:br w:type="page"/>
      </w:r>
    </w:p>
    <w:p w14:paraId="3A8ED316" w14:textId="2600A579" w:rsidR="00E15BE6" w:rsidRPr="00E15BE6" w:rsidRDefault="00E15BE6" w:rsidP="00E15BE6">
      <w:pPr>
        <w:pStyle w:val="Caption"/>
        <w:keepNext/>
        <w:rPr>
          <w:lang w:val="en-US"/>
        </w:rPr>
      </w:pPr>
      <w:r w:rsidRPr="00E15BE6">
        <w:rPr>
          <w:lang w:val="en-US"/>
        </w:rPr>
        <w:lastRenderedPageBreak/>
        <w:t xml:space="preserve">Table </w:t>
      </w:r>
      <w:r w:rsidR="005D74C4">
        <w:rPr>
          <w:lang w:val="en-US"/>
        </w:rPr>
        <w:fldChar w:fldCharType="begin"/>
      </w:r>
      <w:r w:rsidR="005D74C4">
        <w:rPr>
          <w:lang w:val="en-US"/>
        </w:rPr>
        <w:instrText xml:space="preserve"> SEQ Table \* ARABIC </w:instrText>
      </w:r>
      <w:r w:rsidR="005D74C4">
        <w:rPr>
          <w:lang w:val="en-US"/>
        </w:rPr>
        <w:fldChar w:fldCharType="separate"/>
      </w:r>
      <w:r w:rsidR="00F36692">
        <w:rPr>
          <w:noProof/>
          <w:lang w:val="en-US"/>
        </w:rPr>
        <w:t>1</w:t>
      </w:r>
      <w:r w:rsidR="005D74C4">
        <w:rPr>
          <w:lang w:val="en-US"/>
        </w:rPr>
        <w:fldChar w:fldCharType="end"/>
      </w:r>
      <w:bookmarkEnd w:id="1"/>
      <w:r w:rsidR="002B607F">
        <w:rPr>
          <w:lang w:val="en-US"/>
        </w:rPr>
        <w:t>.</w:t>
      </w:r>
      <w:r w:rsidRPr="00E15BE6">
        <w:rPr>
          <w:lang w:val="en-US"/>
        </w:rPr>
        <w:t xml:space="preserve"> Description of the w</w:t>
      </w:r>
      <w:r>
        <w:rPr>
          <w:lang w:val="en-US"/>
        </w:rPr>
        <w:t xml:space="preserve">aste material feedstocks studied, conditions for their respective pyrolysis treatments, and sampling information. </w:t>
      </w:r>
    </w:p>
    <w:tbl>
      <w:tblPr>
        <w:tblStyle w:val="TableGrid0"/>
        <w:tblW w:w="0" w:type="auto"/>
        <w:tblLook w:val="04A0" w:firstRow="1" w:lastRow="0" w:firstColumn="1" w:lastColumn="0" w:noHBand="0" w:noVBand="1"/>
      </w:tblPr>
      <w:tblGrid>
        <w:gridCol w:w="1182"/>
        <w:gridCol w:w="841"/>
        <w:gridCol w:w="2985"/>
        <w:gridCol w:w="1337"/>
        <w:gridCol w:w="1069"/>
        <w:gridCol w:w="939"/>
        <w:gridCol w:w="933"/>
      </w:tblGrid>
      <w:tr w:rsidR="00C32D2A" w:rsidRPr="00C32D2A" w14:paraId="4ABDA360" w14:textId="77777777" w:rsidTr="00C32D2A">
        <w:trPr>
          <w:trHeight w:val="300"/>
        </w:trPr>
        <w:tc>
          <w:tcPr>
            <w:tcW w:w="0" w:type="auto"/>
            <w:vAlign w:val="center"/>
            <w:hideMark/>
          </w:tcPr>
          <w:p w14:paraId="3B003E01" w14:textId="77777777" w:rsidR="00C32D2A" w:rsidRPr="00C32D2A" w:rsidRDefault="00C32D2A" w:rsidP="00C32D2A">
            <w:pPr>
              <w:pStyle w:val="Tabell"/>
              <w:rPr>
                <w:b/>
                <w:bCs/>
                <w:sz w:val="18"/>
                <w:szCs w:val="18"/>
              </w:rPr>
            </w:pPr>
            <w:r w:rsidRPr="00C32D2A">
              <w:rPr>
                <w:b/>
                <w:bCs/>
                <w:sz w:val="18"/>
                <w:szCs w:val="18"/>
                <w:lang w:val="en-US"/>
              </w:rPr>
              <w:t>Feedstock</w:t>
            </w:r>
          </w:p>
        </w:tc>
        <w:tc>
          <w:tcPr>
            <w:tcW w:w="0" w:type="auto"/>
            <w:vAlign w:val="center"/>
            <w:hideMark/>
          </w:tcPr>
          <w:p w14:paraId="135776C5" w14:textId="77777777" w:rsidR="00C32D2A" w:rsidRPr="00C32D2A" w:rsidRDefault="00C32D2A" w:rsidP="00C32D2A">
            <w:pPr>
              <w:pStyle w:val="Tabell"/>
              <w:rPr>
                <w:b/>
                <w:bCs/>
                <w:sz w:val="18"/>
                <w:szCs w:val="18"/>
              </w:rPr>
            </w:pPr>
            <w:r w:rsidRPr="00C32D2A">
              <w:rPr>
                <w:b/>
                <w:bCs/>
                <w:sz w:val="18"/>
                <w:szCs w:val="18"/>
                <w:lang w:val="en-US"/>
              </w:rPr>
              <w:t>Abbrev.</w:t>
            </w:r>
          </w:p>
        </w:tc>
        <w:tc>
          <w:tcPr>
            <w:tcW w:w="0" w:type="auto"/>
            <w:vAlign w:val="center"/>
            <w:hideMark/>
          </w:tcPr>
          <w:p w14:paraId="1D742535" w14:textId="77777777" w:rsidR="00C32D2A" w:rsidRPr="00C32D2A" w:rsidRDefault="00C32D2A" w:rsidP="00C32D2A">
            <w:pPr>
              <w:pStyle w:val="Tabell"/>
              <w:rPr>
                <w:b/>
                <w:bCs/>
                <w:sz w:val="18"/>
                <w:szCs w:val="18"/>
              </w:rPr>
            </w:pPr>
            <w:r w:rsidRPr="00C32D2A">
              <w:rPr>
                <w:b/>
                <w:bCs/>
                <w:sz w:val="18"/>
                <w:szCs w:val="18"/>
                <w:lang w:val="en-US"/>
              </w:rPr>
              <w:t>Description</w:t>
            </w:r>
          </w:p>
        </w:tc>
        <w:tc>
          <w:tcPr>
            <w:tcW w:w="0" w:type="auto"/>
            <w:vAlign w:val="center"/>
            <w:hideMark/>
          </w:tcPr>
          <w:p w14:paraId="0BC41A3B" w14:textId="77777777" w:rsidR="00C32D2A" w:rsidRPr="00C32D2A" w:rsidRDefault="00C32D2A" w:rsidP="00C32D2A">
            <w:pPr>
              <w:pStyle w:val="Tabell"/>
              <w:rPr>
                <w:b/>
                <w:bCs/>
                <w:sz w:val="18"/>
                <w:szCs w:val="18"/>
              </w:rPr>
            </w:pPr>
            <w:r w:rsidRPr="00C32D2A">
              <w:rPr>
                <w:b/>
                <w:bCs/>
                <w:sz w:val="18"/>
                <w:szCs w:val="18"/>
                <w:lang w:val="en-US"/>
              </w:rPr>
              <w:t>Pyrolysis temperatures (˚C)</w:t>
            </w:r>
          </w:p>
        </w:tc>
        <w:tc>
          <w:tcPr>
            <w:tcW w:w="0" w:type="auto"/>
            <w:vAlign w:val="center"/>
            <w:hideMark/>
          </w:tcPr>
          <w:p w14:paraId="7D2EF0D8" w14:textId="77777777" w:rsidR="00C32D2A" w:rsidRPr="00C32D2A" w:rsidRDefault="00C32D2A" w:rsidP="00C32D2A">
            <w:pPr>
              <w:pStyle w:val="Tabell"/>
              <w:rPr>
                <w:b/>
                <w:bCs/>
                <w:sz w:val="18"/>
                <w:szCs w:val="18"/>
              </w:rPr>
            </w:pPr>
            <w:r w:rsidRPr="00C32D2A">
              <w:rPr>
                <w:b/>
                <w:bCs/>
                <w:sz w:val="18"/>
                <w:szCs w:val="18"/>
                <w:lang w:val="en-US"/>
              </w:rPr>
              <w:t>Pyrolysis residence time (min)</w:t>
            </w:r>
          </w:p>
        </w:tc>
        <w:tc>
          <w:tcPr>
            <w:tcW w:w="0" w:type="auto"/>
            <w:vAlign w:val="center"/>
            <w:hideMark/>
          </w:tcPr>
          <w:p w14:paraId="0CDA7D24" w14:textId="77777777" w:rsidR="00C32D2A" w:rsidRPr="00C32D2A" w:rsidRDefault="00C32D2A" w:rsidP="00C32D2A">
            <w:pPr>
              <w:pStyle w:val="Tabell"/>
              <w:rPr>
                <w:b/>
                <w:bCs/>
                <w:sz w:val="18"/>
                <w:szCs w:val="18"/>
              </w:rPr>
            </w:pPr>
            <w:r w:rsidRPr="00C32D2A">
              <w:rPr>
                <w:b/>
                <w:bCs/>
                <w:sz w:val="18"/>
                <w:szCs w:val="18"/>
                <w:lang w:val="en-US"/>
              </w:rPr>
              <w:t>Solid phases sampled</w:t>
            </w:r>
          </w:p>
        </w:tc>
        <w:tc>
          <w:tcPr>
            <w:tcW w:w="0" w:type="auto"/>
            <w:hideMark/>
          </w:tcPr>
          <w:p w14:paraId="34FF8C7F" w14:textId="77777777" w:rsidR="00C32D2A" w:rsidRPr="00C32D2A" w:rsidRDefault="00C32D2A" w:rsidP="00C32D2A">
            <w:pPr>
              <w:pStyle w:val="Tabell"/>
              <w:rPr>
                <w:b/>
                <w:bCs/>
                <w:sz w:val="18"/>
                <w:szCs w:val="18"/>
              </w:rPr>
            </w:pPr>
            <w:r w:rsidRPr="00C32D2A">
              <w:rPr>
                <w:b/>
                <w:bCs/>
                <w:sz w:val="18"/>
                <w:szCs w:val="18"/>
                <w:lang w:val="en-US"/>
              </w:rPr>
              <w:t>Flue gas sampled</w:t>
            </w:r>
          </w:p>
        </w:tc>
      </w:tr>
      <w:tr w:rsidR="00C32D2A" w:rsidRPr="00C32D2A" w14:paraId="52B9EC1B" w14:textId="77777777" w:rsidTr="00C32D2A">
        <w:trPr>
          <w:trHeight w:val="900"/>
        </w:trPr>
        <w:tc>
          <w:tcPr>
            <w:tcW w:w="0" w:type="auto"/>
            <w:hideMark/>
          </w:tcPr>
          <w:p w14:paraId="6E4E4B40" w14:textId="77777777" w:rsidR="00C32D2A" w:rsidRPr="00C32D2A" w:rsidRDefault="00C32D2A" w:rsidP="00C32D2A">
            <w:pPr>
              <w:pStyle w:val="Tabell"/>
              <w:rPr>
                <w:sz w:val="18"/>
                <w:szCs w:val="18"/>
              </w:rPr>
            </w:pPr>
            <w:r w:rsidRPr="00C32D2A">
              <w:rPr>
                <w:sz w:val="18"/>
                <w:szCs w:val="18"/>
              </w:rPr>
              <w:t>Digested sewage sludge</w:t>
            </w:r>
          </w:p>
        </w:tc>
        <w:tc>
          <w:tcPr>
            <w:tcW w:w="0" w:type="auto"/>
            <w:hideMark/>
          </w:tcPr>
          <w:p w14:paraId="4CA9CE82" w14:textId="77777777" w:rsidR="00C32D2A" w:rsidRPr="00C32D2A" w:rsidRDefault="00C32D2A" w:rsidP="00C32D2A">
            <w:pPr>
              <w:pStyle w:val="Tabell"/>
              <w:rPr>
                <w:sz w:val="18"/>
                <w:szCs w:val="18"/>
              </w:rPr>
            </w:pPr>
            <w:r w:rsidRPr="00C32D2A">
              <w:rPr>
                <w:sz w:val="18"/>
                <w:szCs w:val="18"/>
              </w:rPr>
              <w:t>DSS-1</w:t>
            </w:r>
          </w:p>
        </w:tc>
        <w:tc>
          <w:tcPr>
            <w:tcW w:w="0" w:type="auto"/>
            <w:hideMark/>
          </w:tcPr>
          <w:p w14:paraId="29643F99" w14:textId="77777777" w:rsidR="00C32D2A" w:rsidRPr="00C32D2A" w:rsidRDefault="00C32D2A" w:rsidP="00C32D2A">
            <w:pPr>
              <w:pStyle w:val="Tabell"/>
              <w:rPr>
                <w:sz w:val="18"/>
                <w:szCs w:val="18"/>
                <w:lang w:val="en-US"/>
              </w:rPr>
            </w:pPr>
            <w:r w:rsidRPr="00C32D2A">
              <w:rPr>
                <w:sz w:val="18"/>
                <w:szCs w:val="18"/>
                <w:lang w:val="en-US"/>
              </w:rPr>
              <w:t>Sewage sludge and food waste pre-treated with thermal hydrolysis (170 ˚C) followed by anaerobic digestion for biogas production</w:t>
            </w:r>
          </w:p>
        </w:tc>
        <w:tc>
          <w:tcPr>
            <w:tcW w:w="0" w:type="auto"/>
            <w:hideMark/>
          </w:tcPr>
          <w:p w14:paraId="05E8996B" w14:textId="77777777" w:rsidR="00C32D2A" w:rsidRPr="00C32D2A" w:rsidRDefault="00C32D2A" w:rsidP="00C32D2A">
            <w:pPr>
              <w:pStyle w:val="Tabell"/>
              <w:rPr>
                <w:sz w:val="18"/>
                <w:szCs w:val="18"/>
              </w:rPr>
            </w:pPr>
            <w:r w:rsidRPr="00C32D2A">
              <w:rPr>
                <w:sz w:val="18"/>
                <w:szCs w:val="18"/>
              </w:rPr>
              <w:t>500, 600, 700 and 750</w:t>
            </w:r>
          </w:p>
        </w:tc>
        <w:tc>
          <w:tcPr>
            <w:tcW w:w="0" w:type="auto"/>
            <w:hideMark/>
          </w:tcPr>
          <w:p w14:paraId="47524043" w14:textId="77777777" w:rsidR="00C32D2A" w:rsidRPr="00C32D2A" w:rsidRDefault="00C32D2A" w:rsidP="00C32D2A">
            <w:pPr>
              <w:pStyle w:val="Tabell"/>
              <w:rPr>
                <w:sz w:val="18"/>
                <w:szCs w:val="18"/>
              </w:rPr>
            </w:pPr>
            <w:r w:rsidRPr="00C32D2A">
              <w:rPr>
                <w:sz w:val="18"/>
                <w:szCs w:val="18"/>
              </w:rPr>
              <w:t>20</w:t>
            </w:r>
          </w:p>
        </w:tc>
        <w:tc>
          <w:tcPr>
            <w:tcW w:w="0" w:type="auto"/>
            <w:hideMark/>
          </w:tcPr>
          <w:p w14:paraId="3978327E" w14:textId="77777777" w:rsidR="00C32D2A" w:rsidRPr="00C32D2A" w:rsidRDefault="00C32D2A" w:rsidP="00C32D2A">
            <w:pPr>
              <w:pStyle w:val="Tabell"/>
              <w:rPr>
                <w:sz w:val="18"/>
                <w:szCs w:val="18"/>
              </w:rPr>
            </w:pPr>
            <w:r w:rsidRPr="00C32D2A">
              <w:rPr>
                <w:sz w:val="18"/>
                <w:szCs w:val="18"/>
              </w:rPr>
              <w:t>Yes</w:t>
            </w:r>
          </w:p>
        </w:tc>
        <w:tc>
          <w:tcPr>
            <w:tcW w:w="0" w:type="auto"/>
            <w:hideMark/>
          </w:tcPr>
          <w:p w14:paraId="5335D1AE" w14:textId="6E5C2668" w:rsidR="00C32D2A" w:rsidRPr="00C32D2A" w:rsidRDefault="00C32D2A" w:rsidP="00C32D2A">
            <w:pPr>
              <w:pStyle w:val="Tabell"/>
              <w:rPr>
                <w:sz w:val="18"/>
                <w:szCs w:val="18"/>
              </w:rPr>
            </w:pPr>
            <w:r w:rsidRPr="00C32D2A">
              <w:rPr>
                <w:sz w:val="18"/>
                <w:szCs w:val="18"/>
              </w:rPr>
              <w:t>Yes (except 750 ˚C)</w:t>
            </w:r>
          </w:p>
        </w:tc>
      </w:tr>
      <w:tr w:rsidR="00C32D2A" w:rsidRPr="00C32D2A" w14:paraId="15E133E1" w14:textId="77777777" w:rsidTr="00C32D2A">
        <w:trPr>
          <w:trHeight w:val="600"/>
        </w:trPr>
        <w:tc>
          <w:tcPr>
            <w:tcW w:w="0" w:type="auto"/>
            <w:hideMark/>
          </w:tcPr>
          <w:p w14:paraId="41A3B73A" w14:textId="77777777" w:rsidR="00C32D2A" w:rsidRPr="00C32D2A" w:rsidRDefault="00C32D2A" w:rsidP="00C32D2A">
            <w:pPr>
              <w:pStyle w:val="Tabell"/>
              <w:rPr>
                <w:sz w:val="18"/>
                <w:szCs w:val="18"/>
              </w:rPr>
            </w:pPr>
            <w:r w:rsidRPr="00C32D2A">
              <w:rPr>
                <w:sz w:val="18"/>
                <w:szCs w:val="18"/>
              </w:rPr>
              <w:t>Digested sewage sludge</w:t>
            </w:r>
          </w:p>
        </w:tc>
        <w:tc>
          <w:tcPr>
            <w:tcW w:w="0" w:type="auto"/>
            <w:hideMark/>
          </w:tcPr>
          <w:p w14:paraId="40B909BB" w14:textId="77777777" w:rsidR="00C32D2A" w:rsidRPr="00C32D2A" w:rsidRDefault="00C32D2A" w:rsidP="00C32D2A">
            <w:pPr>
              <w:pStyle w:val="Tabell"/>
              <w:rPr>
                <w:sz w:val="18"/>
                <w:szCs w:val="18"/>
              </w:rPr>
            </w:pPr>
            <w:r w:rsidRPr="00C32D2A">
              <w:rPr>
                <w:sz w:val="18"/>
                <w:szCs w:val="18"/>
              </w:rPr>
              <w:t>DSS-2</w:t>
            </w:r>
          </w:p>
        </w:tc>
        <w:tc>
          <w:tcPr>
            <w:tcW w:w="0" w:type="auto"/>
            <w:hideMark/>
          </w:tcPr>
          <w:p w14:paraId="15B726B9" w14:textId="77777777" w:rsidR="00C32D2A" w:rsidRPr="00C32D2A" w:rsidRDefault="00C32D2A" w:rsidP="00C32D2A">
            <w:pPr>
              <w:pStyle w:val="Tabell"/>
              <w:rPr>
                <w:sz w:val="18"/>
                <w:szCs w:val="18"/>
                <w:lang w:val="en-US"/>
              </w:rPr>
            </w:pPr>
            <w:r w:rsidRPr="00C32D2A">
              <w:rPr>
                <w:sz w:val="18"/>
                <w:szCs w:val="18"/>
                <w:lang w:val="en-US"/>
              </w:rPr>
              <w:t>Sewage sludge treated by anaerobic digestion for biogas production</w:t>
            </w:r>
          </w:p>
        </w:tc>
        <w:tc>
          <w:tcPr>
            <w:tcW w:w="0" w:type="auto"/>
            <w:hideMark/>
          </w:tcPr>
          <w:p w14:paraId="2E554E3E" w14:textId="77777777" w:rsidR="00C32D2A" w:rsidRPr="00C32D2A" w:rsidRDefault="00C32D2A" w:rsidP="00C32D2A">
            <w:pPr>
              <w:pStyle w:val="Tabell"/>
              <w:rPr>
                <w:sz w:val="18"/>
                <w:szCs w:val="18"/>
              </w:rPr>
            </w:pPr>
            <w:r w:rsidRPr="00C32D2A">
              <w:rPr>
                <w:sz w:val="18"/>
                <w:szCs w:val="18"/>
              </w:rPr>
              <w:t>500, 600, 700 and 800</w:t>
            </w:r>
          </w:p>
        </w:tc>
        <w:tc>
          <w:tcPr>
            <w:tcW w:w="0" w:type="auto"/>
            <w:hideMark/>
          </w:tcPr>
          <w:p w14:paraId="19A75B7F" w14:textId="77777777" w:rsidR="00C32D2A" w:rsidRPr="00C32D2A" w:rsidRDefault="00C32D2A" w:rsidP="00C32D2A">
            <w:pPr>
              <w:pStyle w:val="Tabell"/>
              <w:rPr>
                <w:sz w:val="18"/>
                <w:szCs w:val="18"/>
              </w:rPr>
            </w:pPr>
            <w:r w:rsidRPr="00C32D2A">
              <w:rPr>
                <w:sz w:val="18"/>
                <w:szCs w:val="18"/>
              </w:rPr>
              <w:t>20</w:t>
            </w:r>
          </w:p>
        </w:tc>
        <w:tc>
          <w:tcPr>
            <w:tcW w:w="0" w:type="auto"/>
            <w:hideMark/>
          </w:tcPr>
          <w:p w14:paraId="446DC8BD" w14:textId="77777777" w:rsidR="00C32D2A" w:rsidRPr="00C32D2A" w:rsidRDefault="00C32D2A" w:rsidP="00C32D2A">
            <w:pPr>
              <w:pStyle w:val="Tabell"/>
              <w:rPr>
                <w:sz w:val="18"/>
                <w:szCs w:val="18"/>
              </w:rPr>
            </w:pPr>
            <w:r w:rsidRPr="00C32D2A">
              <w:rPr>
                <w:sz w:val="18"/>
                <w:szCs w:val="18"/>
              </w:rPr>
              <w:t>Yes</w:t>
            </w:r>
          </w:p>
        </w:tc>
        <w:tc>
          <w:tcPr>
            <w:tcW w:w="0" w:type="auto"/>
            <w:hideMark/>
          </w:tcPr>
          <w:p w14:paraId="42BADDF1" w14:textId="77777777" w:rsidR="00C32D2A" w:rsidRPr="00C32D2A" w:rsidRDefault="00C32D2A" w:rsidP="00C32D2A">
            <w:pPr>
              <w:pStyle w:val="Tabell"/>
              <w:rPr>
                <w:sz w:val="18"/>
                <w:szCs w:val="18"/>
              </w:rPr>
            </w:pPr>
            <w:r w:rsidRPr="00C32D2A">
              <w:rPr>
                <w:sz w:val="18"/>
                <w:szCs w:val="18"/>
              </w:rPr>
              <w:t>Yes</w:t>
            </w:r>
          </w:p>
        </w:tc>
      </w:tr>
      <w:tr w:rsidR="0097695A" w:rsidRPr="00C32D2A" w14:paraId="783A84B2" w14:textId="77777777" w:rsidTr="00C32D2A">
        <w:trPr>
          <w:trHeight w:val="900"/>
        </w:trPr>
        <w:tc>
          <w:tcPr>
            <w:tcW w:w="0" w:type="auto"/>
          </w:tcPr>
          <w:p w14:paraId="09AABEC7" w14:textId="4DB3012A" w:rsidR="0097695A" w:rsidRPr="00C32D2A" w:rsidRDefault="0097695A" w:rsidP="0097695A">
            <w:pPr>
              <w:pStyle w:val="Tabell"/>
              <w:rPr>
                <w:sz w:val="18"/>
                <w:szCs w:val="18"/>
              </w:rPr>
            </w:pPr>
            <w:proofErr w:type="spellStart"/>
            <w:r w:rsidRPr="00C32D2A">
              <w:rPr>
                <w:sz w:val="18"/>
                <w:szCs w:val="18"/>
              </w:rPr>
              <w:t>Limed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tcPr>
          <w:p w14:paraId="76659728" w14:textId="67408132" w:rsidR="0097695A" w:rsidRPr="00C32D2A" w:rsidRDefault="0097695A" w:rsidP="0097695A">
            <w:pPr>
              <w:pStyle w:val="Tabell"/>
              <w:rPr>
                <w:sz w:val="18"/>
                <w:szCs w:val="18"/>
              </w:rPr>
            </w:pPr>
            <w:r w:rsidRPr="00C32D2A">
              <w:rPr>
                <w:sz w:val="18"/>
                <w:szCs w:val="18"/>
              </w:rPr>
              <w:t>LSS</w:t>
            </w:r>
          </w:p>
        </w:tc>
        <w:tc>
          <w:tcPr>
            <w:tcW w:w="0" w:type="auto"/>
          </w:tcPr>
          <w:p w14:paraId="3264C295" w14:textId="30A94C4F" w:rsidR="0097695A" w:rsidRPr="00C32D2A" w:rsidRDefault="0097695A" w:rsidP="0097695A">
            <w:pPr>
              <w:pStyle w:val="Tabell"/>
              <w:rPr>
                <w:sz w:val="18"/>
                <w:szCs w:val="18"/>
                <w:lang w:val="en-US"/>
              </w:rPr>
            </w:pPr>
            <w:r w:rsidRPr="00C32D2A">
              <w:rPr>
                <w:sz w:val="18"/>
                <w:szCs w:val="18"/>
                <w:lang w:val="en-US"/>
              </w:rPr>
              <w:t>Sewage sludge treated by anaerobic digestion for biogas production, then stabilized/hygenized by addition of lime (39%)</w:t>
            </w:r>
          </w:p>
        </w:tc>
        <w:tc>
          <w:tcPr>
            <w:tcW w:w="0" w:type="auto"/>
          </w:tcPr>
          <w:p w14:paraId="5E899B14" w14:textId="1F2615C0" w:rsidR="0097695A" w:rsidRPr="00C32D2A" w:rsidRDefault="0097695A" w:rsidP="0097695A">
            <w:pPr>
              <w:pStyle w:val="Tabell"/>
              <w:rPr>
                <w:sz w:val="18"/>
                <w:szCs w:val="18"/>
                <w:lang w:val="en-US"/>
              </w:rPr>
            </w:pPr>
            <w:r w:rsidRPr="00C32D2A">
              <w:rPr>
                <w:sz w:val="18"/>
                <w:szCs w:val="18"/>
              </w:rPr>
              <w:t>600 and 7</w:t>
            </w:r>
            <w:r w:rsidR="00A54C49">
              <w:rPr>
                <w:sz w:val="18"/>
                <w:szCs w:val="18"/>
              </w:rPr>
              <w:t>0</w:t>
            </w:r>
            <w:r w:rsidRPr="00C32D2A">
              <w:rPr>
                <w:sz w:val="18"/>
                <w:szCs w:val="18"/>
              </w:rPr>
              <w:t>0</w:t>
            </w:r>
          </w:p>
        </w:tc>
        <w:tc>
          <w:tcPr>
            <w:tcW w:w="0" w:type="auto"/>
          </w:tcPr>
          <w:p w14:paraId="600F3D02" w14:textId="7F1A8BA7" w:rsidR="0097695A" w:rsidRPr="00C32D2A" w:rsidRDefault="0097695A" w:rsidP="0097695A">
            <w:pPr>
              <w:pStyle w:val="Tabell"/>
              <w:rPr>
                <w:sz w:val="18"/>
                <w:szCs w:val="18"/>
                <w:lang w:val="en-US"/>
              </w:rPr>
            </w:pPr>
            <w:r w:rsidRPr="00C32D2A">
              <w:rPr>
                <w:sz w:val="18"/>
                <w:szCs w:val="18"/>
              </w:rPr>
              <w:t>20</w:t>
            </w:r>
          </w:p>
        </w:tc>
        <w:tc>
          <w:tcPr>
            <w:tcW w:w="0" w:type="auto"/>
          </w:tcPr>
          <w:p w14:paraId="43A46166" w14:textId="386C7BAE" w:rsidR="0097695A" w:rsidRPr="00C32D2A" w:rsidRDefault="0097695A" w:rsidP="0097695A">
            <w:pPr>
              <w:pStyle w:val="Tabell"/>
              <w:rPr>
                <w:sz w:val="18"/>
                <w:szCs w:val="18"/>
              </w:rPr>
            </w:pPr>
            <w:r w:rsidRPr="00C32D2A">
              <w:rPr>
                <w:sz w:val="18"/>
                <w:szCs w:val="18"/>
              </w:rPr>
              <w:t>Yes</w:t>
            </w:r>
          </w:p>
        </w:tc>
        <w:tc>
          <w:tcPr>
            <w:tcW w:w="0" w:type="auto"/>
          </w:tcPr>
          <w:p w14:paraId="14396092" w14:textId="34D19F59" w:rsidR="0097695A" w:rsidRPr="00C32D2A" w:rsidRDefault="0097695A" w:rsidP="0097695A">
            <w:pPr>
              <w:pStyle w:val="Tabell"/>
              <w:rPr>
                <w:sz w:val="18"/>
                <w:szCs w:val="18"/>
              </w:rPr>
            </w:pPr>
            <w:r w:rsidRPr="00C32D2A">
              <w:rPr>
                <w:sz w:val="18"/>
                <w:szCs w:val="18"/>
              </w:rPr>
              <w:t>Yes</w:t>
            </w:r>
          </w:p>
        </w:tc>
      </w:tr>
      <w:tr w:rsidR="0097695A" w:rsidRPr="00C32D2A" w14:paraId="5A2E3182" w14:textId="77777777" w:rsidTr="0097695A">
        <w:trPr>
          <w:trHeight w:val="600"/>
        </w:trPr>
        <w:tc>
          <w:tcPr>
            <w:tcW w:w="0" w:type="auto"/>
          </w:tcPr>
          <w:p w14:paraId="00694293" w14:textId="2C49581D" w:rsidR="0097695A" w:rsidRPr="0097695A" w:rsidRDefault="0097695A" w:rsidP="0097695A">
            <w:pPr>
              <w:pStyle w:val="Tabell"/>
              <w:rPr>
                <w:sz w:val="18"/>
                <w:szCs w:val="18"/>
                <w:lang w:val="en-US"/>
              </w:rPr>
            </w:pPr>
            <w:r w:rsidRPr="00C32D2A">
              <w:rPr>
                <w:sz w:val="18"/>
                <w:szCs w:val="18"/>
                <w:lang w:val="en-US"/>
              </w:rPr>
              <w:t>Food waste reject from biogas production</w:t>
            </w:r>
          </w:p>
        </w:tc>
        <w:tc>
          <w:tcPr>
            <w:tcW w:w="0" w:type="auto"/>
          </w:tcPr>
          <w:p w14:paraId="612BA96A" w14:textId="14C6171F" w:rsidR="0097695A" w:rsidRPr="00C32D2A" w:rsidRDefault="0097695A" w:rsidP="0097695A">
            <w:pPr>
              <w:pStyle w:val="Tabell"/>
              <w:rPr>
                <w:sz w:val="18"/>
                <w:szCs w:val="18"/>
              </w:rPr>
            </w:pPr>
            <w:r w:rsidRPr="00C32D2A">
              <w:rPr>
                <w:sz w:val="18"/>
                <w:szCs w:val="18"/>
              </w:rPr>
              <w:t>FWR</w:t>
            </w:r>
          </w:p>
        </w:tc>
        <w:tc>
          <w:tcPr>
            <w:tcW w:w="0" w:type="auto"/>
          </w:tcPr>
          <w:p w14:paraId="630F2132" w14:textId="0E71B7C9" w:rsidR="0097695A" w:rsidRPr="00C32D2A" w:rsidRDefault="0097695A" w:rsidP="0097695A">
            <w:pPr>
              <w:pStyle w:val="Tabell"/>
              <w:rPr>
                <w:sz w:val="18"/>
                <w:szCs w:val="18"/>
                <w:lang w:val="en-US"/>
              </w:rPr>
            </w:pPr>
            <w:r w:rsidRPr="00C32D2A">
              <w:rPr>
                <w:sz w:val="18"/>
                <w:szCs w:val="18"/>
                <w:lang w:val="en-US"/>
              </w:rPr>
              <w:t>The rejected fraction of food waste before biogas production. Consists of material that does not pass the initial sieving process that removes plastics and other items that are too large or non-digestible</w:t>
            </w:r>
          </w:p>
        </w:tc>
        <w:tc>
          <w:tcPr>
            <w:tcW w:w="0" w:type="auto"/>
          </w:tcPr>
          <w:p w14:paraId="567973A6" w14:textId="3BA46459" w:rsidR="0097695A" w:rsidRPr="00C32D2A" w:rsidRDefault="0097695A" w:rsidP="0097695A">
            <w:pPr>
              <w:pStyle w:val="Tabell"/>
              <w:rPr>
                <w:sz w:val="18"/>
                <w:szCs w:val="18"/>
              </w:rPr>
            </w:pPr>
            <w:r w:rsidRPr="00C32D2A">
              <w:rPr>
                <w:sz w:val="18"/>
                <w:szCs w:val="18"/>
              </w:rPr>
              <w:t>600 and 800</w:t>
            </w:r>
          </w:p>
        </w:tc>
        <w:tc>
          <w:tcPr>
            <w:tcW w:w="0" w:type="auto"/>
          </w:tcPr>
          <w:p w14:paraId="0C568425" w14:textId="2CAA8B5E" w:rsidR="0097695A" w:rsidRPr="00C32D2A" w:rsidRDefault="0097695A" w:rsidP="0097695A">
            <w:pPr>
              <w:pStyle w:val="Tabell"/>
              <w:rPr>
                <w:sz w:val="18"/>
                <w:szCs w:val="18"/>
              </w:rPr>
            </w:pPr>
            <w:r w:rsidRPr="00C32D2A">
              <w:rPr>
                <w:sz w:val="18"/>
                <w:szCs w:val="18"/>
              </w:rPr>
              <w:t>20</w:t>
            </w:r>
          </w:p>
        </w:tc>
        <w:tc>
          <w:tcPr>
            <w:tcW w:w="0" w:type="auto"/>
          </w:tcPr>
          <w:p w14:paraId="6E1834F0" w14:textId="25B1513E" w:rsidR="0097695A" w:rsidRPr="00C32D2A" w:rsidRDefault="0097695A" w:rsidP="0097695A">
            <w:pPr>
              <w:pStyle w:val="Tabell"/>
              <w:rPr>
                <w:sz w:val="18"/>
                <w:szCs w:val="18"/>
              </w:rPr>
            </w:pPr>
            <w:r w:rsidRPr="00C32D2A">
              <w:rPr>
                <w:sz w:val="18"/>
                <w:szCs w:val="18"/>
              </w:rPr>
              <w:t>Yes</w:t>
            </w:r>
          </w:p>
        </w:tc>
        <w:tc>
          <w:tcPr>
            <w:tcW w:w="0" w:type="auto"/>
          </w:tcPr>
          <w:p w14:paraId="31B3CF8D" w14:textId="1E8684ED" w:rsidR="0097695A" w:rsidRPr="00C32D2A" w:rsidRDefault="0097695A" w:rsidP="0097695A">
            <w:pPr>
              <w:pStyle w:val="Tabell"/>
              <w:rPr>
                <w:sz w:val="18"/>
                <w:szCs w:val="18"/>
              </w:rPr>
            </w:pPr>
            <w:r w:rsidRPr="00C32D2A">
              <w:rPr>
                <w:sz w:val="18"/>
                <w:szCs w:val="18"/>
              </w:rPr>
              <w:t>Yes</w:t>
            </w:r>
          </w:p>
        </w:tc>
      </w:tr>
      <w:tr w:rsidR="0097695A" w:rsidRPr="00C32D2A" w14:paraId="636A8E0A" w14:textId="77777777" w:rsidTr="00C32D2A">
        <w:trPr>
          <w:trHeight w:val="900"/>
        </w:trPr>
        <w:tc>
          <w:tcPr>
            <w:tcW w:w="0" w:type="auto"/>
            <w:hideMark/>
          </w:tcPr>
          <w:p w14:paraId="30D3E7BB" w14:textId="77777777" w:rsidR="0097695A" w:rsidRPr="00C32D2A" w:rsidRDefault="0097695A" w:rsidP="0097695A">
            <w:pPr>
              <w:pStyle w:val="Tabell"/>
              <w:rPr>
                <w:sz w:val="18"/>
                <w:szCs w:val="18"/>
              </w:rPr>
            </w:pPr>
            <w:r w:rsidRPr="00C32D2A">
              <w:rPr>
                <w:sz w:val="18"/>
                <w:szCs w:val="18"/>
              </w:rPr>
              <w:t>Garden waste</w:t>
            </w:r>
          </w:p>
        </w:tc>
        <w:tc>
          <w:tcPr>
            <w:tcW w:w="0" w:type="auto"/>
            <w:hideMark/>
          </w:tcPr>
          <w:p w14:paraId="4C6DB797" w14:textId="77777777" w:rsidR="0097695A" w:rsidRPr="00C32D2A" w:rsidRDefault="0097695A" w:rsidP="0097695A">
            <w:pPr>
              <w:pStyle w:val="Tabell"/>
              <w:rPr>
                <w:sz w:val="18"/>
                <w:szCs w:val="18"/>
              </w:rPr>
            </w:pPr>
            <w:r w:rsidRPr="00C32D2A">
              <w:rPr>
                <w:sz w:val="18"/>
                <w:szCs w:val="18"/>
              </w:rPr>
              <w:t>GW</w:t>
            </w:r>
          </w:p>
        </w:tc>
        <w:tc>
          <w:tcPr>
            <w:tcW w:w="0" w:type="auto"/>
            <w:hideMark/>
          </w:tcPr>
          <w:p w14:paraId="282900B6" w14:textId="77777777" w:rsidR="0097695A" w:rsidRPr="00C32D2A" w:rsidRDefault="0097695A" w:rsidP="0097695A">
            <w:pPr>
              <w:pStyle w:val="Tabell"/>
              <w:rPr>
                <w:sz w:val="18"/>
                <w:szCs w:val="18"/>
                <w:lang w:val="en-US"/>
              </w:rPr>
            </w:pPr>
            <w:r w:rsidRPr="00C32D2A">
              <w:rPr>
                <w:sz w:val="18"/>
                <w:szCs w:val="18"/>
                <w:lang w:val="en-US"/>
              </w:rPr>
              <w:t xml:space="preserve">Gardening waste from private housholds and businesses. Fraction includes twigs, leaves, </w:t>
            </w:r>
            <w:proofErr w:type="gramStart"/>
            <w:r w:rsidRPr="00C32D2A">
              <w:rPr>
                <w:sz w:val="18"/>
                <w:szCs w:val="18"/>
                <w:lang w:val="en-US"/>
              </w:rPr>
              <w:t>roots</w:t>
            </w:r>
            <w:proofErr w:type="gramEnd"/>
            <w:r w:rsidRPr="00C32D2A">
              <w:rPr>
                <w:sz w:val="18"/>
                <w:szCs w:val="18"/>
                <w:lang w:val="en-US"/>
              </w:rPr>
              <w:t xml:space="preserve"> and some sand/gravel</w:t>
            </w:r>
          </w:p>
        </w:tc>
        <w:tc>
          <w:tcPr>
            <w:tcW w:w="0" w:type="auto"/>
            <w:hideMark/>
          </w:tcPr>
          <w:p w14:paraId="480D0C53" w14:textId="77777777" w:rsidR="0097695A" w:rsidRPr="00C32D2A" w:rsidRDefault="0097695A" w:rsidP="0097695A">
            <w:pPr>
              <w:pStyle w:val="Tabell"/>
              <w:rPr>
                <w:sz w:val="18"/>
                <w:szCs w:val="18"/>
              </w:rPr>
            </w:pPr>
            <w:r w:rsidRPr="00C32D2A">
              <w:rPr>
                <w:sz w:val="18"/>
                <w:szCs w:val="18"/>
              </w:rPr>
              <w:t>500, 600 and 800</w:t>
            </w:r>
          </w:p>
        </w:tc>
        <w:tc>
          <w:tcPr>
            <w:tcW w:w="0" w:type="auto"/>
            <w:hideMark/>
          </w:tcPr>
          <w:p w14:paraId="379EAD8F" w14:textId="77777777" w:rsidR="0097695A" w:rsidRPr="00C32D2A" w:rsidRDefault="0097695A" w:rsidP="0097695A">
            <w:pPr>
              <w:pStyle w:val="Tabell"/>
              <w:rPr>
                <w:sz w:val="18"/>
                <w:szCs w:val="18"/>
              </w:rPr>
            </w:pPr>
            <w:r w:rsidRPr="00C32D2A">
              <w:rPr>
                <w:sz w:val="18"/>
                <w:szCs w:val="18"/>
              </w:rPr>
              <w:t>20</w:t>
            </w:r>
          </w:p>
        </w:tc>
        <w:tc>
          <w:tcPr>
            <w:tcW w:w="0" w:type="auto"/>
            <w:hideMark/>
          </w:tcPr>
          <w:p w14:paraId="5D7525E2" w14:textId="77777777" w:rsidR="0097695A" w:rsidRPr="00C32D2A" w:rsidRDefault="0097695A" w:rsidP="0097695A">
            <w:pPr>
              <w:pStyle w:val="Tabell"/>
              <w:rPr>
                <w:sz w:val="18"/>
                <w:szCs w:val="18"/>
              </w:rPr>
            </w:pPr>
            <w:r w:rsidRPr="00C32D2A">
              <w:rPr>
                <w:sz w:val="18"/>
                <w:szCs w:val="18"/>
              </w:rPr>
              <w:t>Yes</w:t>
            </w:r>
          </w:p>
        </w:tc>
        <w:tc>
          <w:tcPr>
            <w:tcW w:w="0" w:type="auto"/>
            <w:hideMark/>
          </w:tcPr>
          <w:p w14:paraId="723B2E42" w14:textId="249FF0B4" w:rsidR="0097695A" w:rsidRPr="00C32D2A" w:rsidRDefault="0097695A" w:rsidP="0097695A">
            <w:pPr>
              <w:pStyle w:val="Tabell"/>
              <w:rPr>
                <w:sz w:val="18"/>
                <w:szCs w:val="18"/>
              </w:rPr>
            </w:pPr>
            <w:proofErr w:type="spellStart"/>
            <w:r w:rsidRPr="00C32D2A">
              <w:rPr>
                <w:sz w:val="18"/>
                <w:szCs w:val="18"/>
              </w:rPr>
              <w:t>Yes</w:t>
            </w:r>
            <w:proofErr w:type="spellEnd"/>
            <w:r w:rsidRPr="00C32D2A">
              <w:rPr>
                <w:sz w:val="18"/>
                <w:szCs w:val="18"/>
              </w:rPr>
              <w:t xml:space="preserve"> (500 and 800 ˚C)</w:t>
            </w:r>
          </w:p>
        </w:tc>
      </w:tr>
      <w:tr w:rsidR="0097695A" w:rsidRPr="00C32D2A" w14:paraId="7270CD07" w14:textId="77777777" w:rsidTr="00C32D2A">
        <w:trPr>
          <w:trHeight w:val="1200"/>
        </w:trPr>
        <w:tc>
          <w:tcPr>
            <w:tcW w:w="0" w:type="auto"/>
            <w:hideMark/>
          </w:tcPr>
          <w:p w14:paraId="09D7FD6A" w14:textId="77777777" w:rsidR="0097695A" w:rsidRPr="00C32D2A" w:rsidRDefault="0097695A" w:rsidP="0097695A">
            <w:pPr>
              <w:pStyle w:val="Tabell"/>
              <w:rPr>
                <w:sz w:val="18"/>
                <w:szCs w:val="18"/>
              </w:rPr>
            </w:pPr>
            <w:r w:rsidRPr="00C32D2A">
              <w:rPr>
                <w:sz w:val="18"/>
                <w:szCs w:val="18"/>
              </w:rPr>
              <w:t>Waste timber</w:t>
            </w:r>
          </w:p>
        </w:tc>
        <w:tc>
          <w:tcPr>
            <w:tcW w:w="0" w:type="auto"/>
            <w:hideMark/>
          </w:tcPr>
          <w:p w14:paraId="3E216E93" w14:textId="77777777" w:rsidR="0097695A" w:rsidRPr="00C32D2A" w:rsidRDefault="0097695A" w:rsidP="0097695A">
            <w:pPr>
              <w:pStyle w:val="Tabell"/>
              <w:rPr>
                <w:sz w:val="18"/>
                <w:szCs w:val="18"/>
              </w:rPr>
            </w:pPr>
            <w:r w:rsidRPr="00C32D2A">
              <w:rPr>
                <w:sz w:val="18"/>
                <w:szCs w:val="18"/>
              </w:rPr>
              <w:t>WT</w:t>
            </w:r>
          </w:p>
        </w:tc>
        <w:tc>
          <w:tcPr>
            <w:tcW w:w="0" w:type="auto"/>
            <w:hideMark/>
          </w:tcPr>
          <w:p w14:paraId="239BD78B" w14:textId="77777777" w:rsidR="0097695A" w:rsidRPr="00C32D2A" w:rsidRDefault="0097695A" w:rsidP="0097695A">
            <w:pPr>
              <w:pStyle w:val="Tabell"/>
              <w:rPr>
                <w:sz w:val="18"/>
                <w:szCs w:val="18"/>
                <w:lang w:val="en-US"/>
              </w:rPr>
            </w:pPr>
            <w:r w:rsidRPr="00C32D2A">
              <w:rPr>
                <w:sz w:val="18"/>
                <w:szCs w:val="18"/>
                <w:lang w:val="en-US"/>
              </w:rPr>
              <w:t>Discarded wood products and objects from private housholds, businesses and construction/demolition (no chemically impregnated wood)</w:t>
            </w:r>
          </w:p>
        </w:tc>
        <w:tc>
          <w:tcPr>
            <w:tcW w:w="0" w:type="auto"/>
            <w:hideMark/>
          </w:tcPr>
          <w:p w14:paraId="2CA8B6AE" w14:textId="77777777" w:rsidR="0097695A" w:rsidRPr="00C32D2A" w:rsidRDefault="0097695A" w:rsidP="0097695A">
            <w:pPr>
              <w:pStyle w:val="Tabell"/>
              <w:rPr>
                <w:sz w:val="18"/>
                <w:szCs w:val="18"/>
              </w:rPr>
            </w:pPr>
            <w:r w:rsidRPr="00C32D2A">
              <w:rPr>
                <w:sz w:val="18"/>
                <w:szCs w:val="18"/>
              </w:rPr>
              <w:t>500, 600, 700 and 800</w:t>
            </w:r>
          </w:p>
        </w:tc>
        <w:tc>
          <w:tcPr>
            <w:tcW w:w="0" w:type="auto"/>
            <w:hideMark/>
          </w:tcPr>
          <w:p w14:paraId="5F74FA1D" w14:textId="77777777" w:rsidR="0097695A" w:rsidRPr="00C32D2A" w:rsidRDefault="0097695A" w:rsidP="0097695A">
            <w:pPr>
              <w:pStyle w:val="Tabell"/>
              <w:rPr>
                <w:sz w:val="18"/>
                <w:szCs w:val="18"/>
              </w:rPr>
            </w:pPr>
            <w:r w:rsidRPr="00C32D2A">
              <w:rPr>
                <w:sz w:val="18"/>
                <w:szCs w:val="18"/>
              </w:rPr>
              <w:t>20</w:t>
            </w:r>
          </w:p>
        </w:tc>
        <w:tc>
          <w:tcPr>
            <w:tcW w:w="0" w:type="auto"/>
            <w:hideMark/>
          </w:tcPr>
          <w:p w14:paraId="25AC20A0" w14:textId="77777777" w:rsidR="0097695A" w:rsidRPr="00C32D2A" w:rsidRDefault="0097695A" w:rsidP="0097695A">
            <w:pPr>
              <w:pStyle w:val="Tabell"/>
              <w:rPr>
                <w:sz w:val="18"/>
                <w:szCs w:val="18"/>
              </w:rPr>
            </w:pPr>
            <w:r w:rsidRPr="00C32D2A">
              <w:rPr>
                <w:sz w:val="18"/>
                <w:szCs w:val="18"/>
              </w:rPr>
              <w:t>Yes</w:t>
            </w:r>
          </w:p>
        </w:tc>
        <w:tc>
          <w:tcPr>
            <w:tcW w:w="0" w:type="auto"/>
            <w:hideMark/>
          </w:tcPr>
          <w:p w14:paraId="576C57CA" w14:textId="77777777" w:rsidR="0097695A" w:rsidRPr="00C32D2A" w:rsidRDefault="0097695A" w:rsidP="0097695A">
            <w:pPr>
              <w:pStyle w:val="Tabell"/>
              <w:rPr>
                <w:sz w:val="18"/>
                <w:szCs w:val="18"/>
              </w:rPr>
            </w:pPr>
            <w:r w:rsidRPr="00C32D2A">
              <w:rPr>
                <w:sz w:val="18"/>
                <w:szCs w:val="18"/>
              </w:rPr>
              <w:t>Yes</w:t>
            </w:r>
          </w:p>
        </w:tc>
      </w:tr>
      <w:tr w:rsidR="0097695A" w:rsidRPr="00C32D2A" w14:paraId="691292F7" w14:textId="77777777" w:rsidTr="0097695A">
        <w:trPr>
          <w:trHeight w:val="690"/>
        </w:trPr>
        <w:tc>
          <w:tcPr>
            <w:tcW w:w="0" w:type="auto"/>
          </w:tcPr>
          <w:p w14:paraId="66DD3BC1" w14:textId="42F23CA1" w:rsidR="0097695A" w:rsidRPr="00C32D2A" w:rsidRDefault="0097695A" w:rsidP="0097695A">
            <w:pPr>
              <w:pStyle w:val="Tabell"/>
              <w:rPr>
                <w:sz w:val="18"/>
                <w:szCs w:val="18"/>
              </w:rPr>
            </w:pPr>
            <w:r>
              <w:rPr>
                <w:sz w:val="18"/>
                <w:szCs w:val="18"/>
              </w:rPr>
              <w:t>W</w:t>
            </w:r>
            <w:r w:rsidRPr="00C32D2A">
              <w:rPr>
                <w:sz w:val="18"/>
                <w:szCs w:val="18"/>
              </w:rPr>
              <w:t>ood chips</w:t>
            </w:r>
          </w:p>
        </w:tc>
        <w:tc>
          <w:tcPr>
            <w:tcW w:w="0" w:type="auto"/>
          </w:tcPr>
          <w:p w14:paraId="504A43F0" w14:textId="620CC487" w:rsidR="0097695A" w:rsidRPr="00C32D2A" w:rsidRDefault="0097695A" w:rsidP="0097695A">
            <w:pPr>
              <w:pStyle w:val="Tabell"/>
              <w:rPr>
                <w:sz w:val="18"/>
                <w:szCs w:val="18"/>
              </w:rPr>
            </w:pPr>
            <w:r w:rsidRPr="00C32D2A">
              <w:rPr>
                <w:sz w:val="18"/>
                <w:szCs w:val="18"/>
              </w:rPr>
              <w:t>CWC</w:t>
            </w:r>
          </w:p>
        </w:tc>
        <w:tc>
          <w:tcPr>
            <w:tcW w:w="0" w:type="auto"/>
          </w:tcPr>
          <w:p w14:paraId="4C1D2C72" w14:textId="1EDC594B" w:rsidR="0097695A" w:rsidRPr="00C32D2A" w:rsidRDefault="0097695A" w:rsidP="0097695A">
            <w:pPr>
              <w:pStyle w:val="Tabell"/>
              <w:rPr>
                <w:sz w:val="18"/>
                <w:szCs w:val="18"/>
                <w:lang w:val="en-US"/>
              </w:rPr>
            </w:pPr>
            <w:r w:rsidRPr="00C32D2A">
              <w:rPr>
                <w:sz w:val="18"/>
                <w:szCs w:val="18"/>
                <w:lang w:val="en-US"/>
              </w:rPr>
              <w:t>Pellets produced from pine and spruce wood chips from forestry/logging</w:t>
            </w:r>
          </w:p>
        </w:tc>
        <w:tc>
          <w:tcPr>
            <w:tcW w:w="0" w:type="auto"/>
          </w:tcPr>
          <w:p w14:paraId="163EFE96" w14:textId="065A5B74" w:rsidR="0097695A" w:rsidRPr="00C32D2A" w:rsidRDefault="0097695A" w:rsidP="0097695A">
            <w:pPr>
              <w:pStyle w:val="Tabell"/>
              <w:rPr>
                <w:sz w:val="18"/>
                <w:szCs w:val="18"/>
              </w:rPr>
            </w:pPr>
            <w:r w:rsidRPr="00C32D2A">
              <w:rPr>
                <w:sz w:val="18"/>
                <w:szCs w:val="18"/>
              </w:rPr>
              <w:t>500, 600, 700 and 750</w:t>
            </w:r>
          </w:p>
        </w:tc>
        <w:tc>
          <w:tcPr>
            <w:tcW w:w="0" w:type="auto"/>
          </w:tcPr>
          <w:p w14:paraId="09B98CEC" w14:textId="53733660" w:rsidR="0097695A" w:rsidRPr="00C32D2A" w:rsidRDefault="0097695A" w:rsidP="0097695A">
            <w:pPr>
              <w:pStyle w:val="Tabell"/>
              <w:rPr>
                <w:sz w:val="18"/>
                <w:szCs w:val="18"/>
              </w:rPr>
            </w:pPr>
            <w:r w:rsidRPr="00C32D2A">
              <w:rPr>
                <w:sz w:val="18"/>
                <w:szCs w:val="18"/>
              </w:rPr>
              <w:t>20</w:t>
            </w:r>
          </w:p>
        </w:tc>
        <w:tc>
          <w:tcPr>
            <w:tcW w:w="0" w:type="auto"/>
          </w:tcPr>
          <w:p w14:paraId="2E5FF7B4" w14:textId="05F9D46D" w:rsidR="0097695A" w:rsidRPr="00C32D2A" w:rsidRDefault="0097695A" w:rsidP="0097695A">
            <w:pPr>
              <w:pStyle w:val="Tabell"/>
              <w:rPr>
                <w:sz w:val="18"/>
                <w:szCs w:val="18"/>
              </w:rPr>
            </w:pPr>
            <w:r w:rsidRPr="00C32D2A">
              <w:rPr>
                <w:sz w:val="18"/>
                <w:szCs w:val="18"/>
              </w:rPr>
              <w:t>Yes</w:t>
            </w:r>
          </w:p>
        </w:tc>
        <w:tc>
          <w:tcPr>
            <w:tcW w:w="0" w:type="auto"/>
          </w:tcPr>
          <w:p w14:paraId="32AE702F" w14:textId="5C56FB04" w:rsidR="0097695A" w:rsidRPr="00C32D2A" w:rsidRDefault="0097695A" w:rsidP="0097695A">
            <w:pPr>
              <w:pStyle w:val="Tabell"/>
              <w:rPr>
                <w:sz w:val="18"/>
                <w:szCs w:val="18"/>
              </w:rPr>
            </w:pPr>
            <w:r w:rsidRPr="00C32D2A">
              <w:rPr>
                <w:sz w:val="18"/>
                <w:szCs w:val="18"/>
              </w:rPr>
              <w:t>No</w:t>
            </w:r>
          </w:p>
        </w:tc>
      </w:tr>
    </w:tbl>
    <w:p w14:paraId="6CC05A21" w14:textId="1FC3CAE1" w:rsidR="005D74C4" w:rsidRPr="00EF0077" w:rsidRDefault="005D74C4" w:rsidP="00EF0077">
      <w:pPr>
        <w:pStyle w:val="Heading2"/>
        <w:spacing w:before="360"/>
      </w:pPr>
      <w:r>
        <w:t>Pyrolysis</w:t>
      </w:r>
    </w:p>
    <w:p w14:paraId="4BDD8451" w14:textId="307479A0" w:rsidR="00E217F7" w:rsidRPr="00E217F7" w:rsidRDefault="00E217F7" w:rsidP="009B3805">
      <w:pPr>
        <w:ind w:firstLine="0"/>
        <w:rPr>
          <w:lang w:val="en-US"/>
        </w:rPr>
      </w:pPr>
      <w:r>
        <w:rPr>
          <w:lang w:val="en-US"/>
        </w:rPr>
        <w:t xml:space="preserve">The feedstock pellets were pyrolyzed using a medium scale Biogreen® pyrolysis unit (2-10 kg biochar/hr) built by ETIA Ecotechnologies using the technology and operational conditions (temperatures and residence times, </w:t>
      </w:r>
      <w:r>
        <w:rPr>
          <w:lang w:val="en-US"/>
        </w:rPr>
        <w:fldChar w:fldCharType="begin"/>
      </w:r>
      <w:r>
        <w:rPr>
          <w:lang w:val="en-US"/>
        </w:rPr>
        <w:instrText xml:space="preserve"> REF _Ref128042408 \h </w:instrText>
      </w:r>
      <w:r>
        <w:rPr>
          <w:lang w:val="en-US"/>
        </w:rPr>
      </w:r>
      <w:r>
        <w:rPr>
          <w:lang w:val="en-US"/>
        </w:rPr>
        <w:fldChar w:fldCharType="separate"/>
      </w:r>
      <w:r w:rsidR="00F36692" w:rsidRPr="00E15BE6">
        <w:rPr>
          <w:lang w:val="en-US"/>
        </w:rPr>
        <w:t xml:space="preserve">Table </w:t>
      </w:r>
      <w:r w:rsidR="00F36692">
        <w:rPr>
          <w:noProof/>
          <w:lang w:val="en-US"/>
        </w:rPr>
        <w:t>1</w:t>
      </w:r>
      <w:r>
        <w:rPr>
          <w:lang w:val="en-US"/>
        </w:rPr>
        <w:fldChar w:fldCharType="end"/>
      </w:r>
      <w:r>
        <w:rPr>
          <w:lang w:val="en-US"/>
        </w:rPr>
        <w:t xml:space="preserve">) specified in </w:t>
      </w:r>
      <w:r w:rsidRPr="0097695A">
        <w:rPr>
          <w:color w:val="000000"/>
          <w:lang w:val="en-US"/>
        </w:rPr>
        <w:t>Sørmo et al.,</w:t>
      </w:r>
      <w:r>
        <w:rPr>
          <w:lang w:val="en-US"/>
        </w:rPr>
        <w:t xml:space="preserve"> </w:t>
      </w:r>
      <w:sdt>
        <w:sdtPr>
          <w:rPr>
            <w:color w:val="000000"/>
            <w:lang w:val="en-US"/>
          </w:rPr>
          <w:tag w:val="MENDELEY_CITATION_v3_eyJjaXRhdGlvbklEIjoiTUVOREVMRVlfQ0lUQVRJT05fM2Q0ZTEyMmMtY2FhOC00YWExLThiNWQtNDhmZGVjZWQ4MmQ5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515665281"/>
          <w:placeholder>
            <w:docPart w:val="37586E67482846BC93F7481F0C2C03C0"/>
          </w:placeholder>
        </w:sdtPr>
        <w:sdtEndPr/>
        <w:sdtContent>
          <w:r w:rsidR="007E4089" w:rsidRPr="007E4089">
            <w:rPr>
              <w:color w:val="000000"/>
              <w:lang w:val="en-US"/>
            </w:rPr>
            <w:t>(n.d.)</w:t>
          </w:r>
        </w:sdtContent>
      </w:sdt>
      <w:r>
        <w:rPr>
          <w:color w:val="000000"/>
          <w:lang w:val="en-US"/>
        </w:rPr>
        <w:t>.</w:t>
      </w:r>
      <w:r w:rsidR="00C25A6E">
        <w:rPr>
          <w:color w:val="000000"/>
          <w:lang w:val="en-US"/>
        </w:rPr>
        <w:t xml:space="preserve"> </w:t>
      </w:r>
      <w:r>
        <w:rPr>
          <w:color w:val="000000"/>
          <w:lang w:val="en-US"/>
        </w:rPr>
        <w:t xml:space="preserve">The pyrolysis gas was channeled into a condenser unit where pyrolysis oil was collected through a liquid lock while the syngas was led further to a combustion chamber where it was combusted with propane at 800-900 ˚C before being released as exhaust through a chimney. </w:t>
      </w:r>
      <w:r w:rsidR="00C25A6E">
        <w:rPr>
          <w:color w:val="000000"/>
          <w:lang w:val="en-US"/>
        </w:rPr>
        <w:t xml:space="preserve">Gas emission measurements </w:t>
      </w:r>
      <w:r w:rsidR="00EF0077">
        <w:rPr>
          <w:color w:val="000000"/>
          <w:lang w:val="en-US"/>
        </w:rPr>
        <w:t xml:space="preserve">and samples </w:t>
      </w:r>
      <w:r w:rsidR="00C25A6E">
        <w:rPr>
          <w:color w:val="000000"/>
          <w:lang w:val="en-US"/>
        </w:rPr>
        <w:t>were collected from the chimney</w:t>
      </w:r>
      <w:r w:rsidR="00EF0077">
        <w:rPr>
          <w:color w:val="000000"/>
          <w:lang w:val="en-US"/>
        </w:rPr>
        <w:t xml:space="preserve"> during stable temperature conditions. </w:t>
      </w:r>
    </w:p>
    <w:p w14:paraId="0D503C0C" w14:textId="14DB1935" w:rsidR="005D74C4" w:rsidRDefault="005D74C4" w:rsidP="00401EEE">
      <w:pPr>
        <w:pStyle w:val="Heading2"/>
      </w:pPr>
      <w:r>
        <w:lastRenderedPageBreak/>
        <w:t>Sampling and emission measurements</w:t>
      </w:r>
    </w:p>
    <w:p w14:paraId="3462C33F" w14:textId="740DC298" w:rsidR="005D74C4" w:rsidRDefault="005D74C4" w:rsidP="005D74C4">
      <w:pPr>
        <w:pStyle w:val="Heading3"/>
        <w:rPr>
          <w:lang w:val="en-US"/>
        </w:rPr>
      </w:pPr>
      <w:r>
        <w:rPr>
          <w:lang w:val="en-US"/>
        </w:rPr>
        <w:t>Solids sampling</w:t>
      </w:r>
    </w:p>
    <w:p w14:paraId="66C51D3C" w14:textId="6297DA9D" w:rsidR="00035527" w:rsidRDefault="003B2DC4" w:rsidP="00EF0077">
      <w:pPr>
        <w:ind w:firstLine="0"/>
        <w:rPr>
          <w:lang w:val="en-US"/>
        </w:rPr>
      </w:pPr>
      <w:r>
        <w:rPr>
          <w:lang w:val="en-US"/>
        </w:rPr>
        <w:t>Solids s</w:t>
      </w:r>
      <w:r w:rsidR="00EF0077">
        <w:rPr>
          <w:lang w:val="en-US"/>
        </w:rPr>
        <w:t>ampling and sample preparation (feedstock, biochar</w:t>
      </w:r>
      <w:r w:rsidR="00120C71">
        <w:rPr>
          <w:lang w:val="en-US"/>
        </w:rPr>
        <w:t>,</w:t>
      </w:r>
      <w:r w:rsidR="00EF0077">
        <w:rPr>
          <w:lang w:val="en-US"/>
        </w:rPr>
        <w:t xml:space="preserve"> and oil) were conducted according to the procedures described in </w:t>
      </w:r>
      <w:r w:rsidR="00EF0077" w:rsidRPr="0097695A">
        <w:rPr>
          <w:color w:val="000000"/>
          <w:lang w:val="en-US"/>
        </w:rPr>
        <w:t>Sørmo et al.,</w:t>
      </w:r>
      <w:r w:rsidR="00EF0077">
        <w:rPr>
          <w:lang w:val="en-US"/>
        </w:rPr>
        <w:t xml:space="preserve"> </w:t>
      </w:r>
      <w:sdt>
        <w:sdtPr>
          <w:rPr>
            <w:color w:val="000000"/>
            <w:lang w:val="en-US"/>
          </w:rPr>
          <w:tag w:val="MENDELEY_CITATION_v3_eyJjaXRhdGlvbklEIjoiTUVOREVMRVlfQ0lUQVRJT05fZWFlN2I4MzYtMTcxOC00MTZkLWIxZTYtMWJlMjcwMmIyMDUy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825810471"/>
          <w:placeholder>
            <w:docPart w:val="326A8A1E2BF342DBA9AB465C1F704BAB"/>
          </w:placeholder>
        </w:sdtPr>
        <w:sdtEndPr/>
        <w:sdtContent>
          <w:r w:rsidR="007E4089" w:rsidRPr="007E4089">
            <w:rPr>
              <w:color w:val="000000"/>
              <w:lang w:val="en-US"/>
            </w:rPr>
            <w:t>(n.d.)</w:t>
          </w:r>
        </w:sdtContent>
      </w:sdt>
      <w:r w:rsidR="00EF0077">
        <w:rPr>
          <w:color w:val="000000"/>
          <w:lang w:val="en-US"/>
        </w:rPr>
        <w:t xml:space="preserve">. Samples ready for chemical characterization consisted of feedstock pellets, </w:t>
      </w:r>
      <w:proofErr w:type="gramStart"/>
      <w:r w:rsidR="00EF0077">
        <w:rPr>
          <w:color w:val="000000"/>
          <w:lang w:val="en-US"/>
        </w:rPr>
        <w:t>dried</w:t>
      </w:r>
      <w:proofErr w:type="gramEnd"/>
      <w:r w:rsidR="00EF0077">
        <w:rPr>
          <w:color w:val="000000"/>
          <w:lang w:val="en-US"/>
        </w:rPr>
        <w:t xml:space="preserve"> and crushed (D &lt; 1 mm) biochar and pyrolysis oil </w:t>
      </w:r>
      <w:r>
        <w:rPr>
          <w:color w:val="000000"/>
          <w:lang w:val="en-US"/>
        </w:rPr>
        <w:t xml:space="preserve">that was vigorously shaken to homogenize the </w:t>
      </w:r>
      <w:r w:rsidR="00EF0077">
        <w:rPr>
          <w:color w:val="000000"/>
          <w:lang w:val="en-US"/>
        </w:rPr>
        <w:t>oil and water phase</w:t>
      </w:r>
      <w:r>
        <w:rPr>
          <w:color w:val="000000"/>
          <w:lang w:val="en-US"/>
        </w:rPr>
        <w:t xml:space="preserve">. </w:t>
      </w:r>
      <w:r w:rsidR="00A54C49">
        <w:rPr>
          <w:color w:val="000000"/>
          <w:lang w:val="en-US"/>
        </w:rPr>
        <w:t xml:space="preserve">Biochar samples were </w:t>
      </w:r>
      <w:r w:rsidR="00035527">
        <w:rPr>
          <w:color w:val="000000"/>
          <w:lang w:val="en-US"/>
        </w:rPr>
        <w:t xml:space="preserve">characterized </w:t>
      </w:r>
      <w:r w:rsidR="00A54C49">
        <w:rPr>
          <w:color w:val="000000"/>
          <w:lang w:val="en-US"/>
        </w:rPr>
        <w:t>for all pyrolysis treatments (</w:t>
      </w:r>
      <w:r w:rsidR="00A54C49">
        <w:rPr>
          <w:lang w:val="en-US"/>
        </w:rPr>
        <w:fldChar w:fldCharType="begin"/>
      </w:r>
      <w:r w:rsidR="00A54C49">
        <w:rPr>
          <w:lang w:val="en-US"/>
        </w:rPr>
        <w:instrText xml:space="preserve"> REF _Ref128042408 \h </w:instrText>
      </w:r>
      <w:r w:rsidR="00A54C49">
        <w:rPr>
          <w:lang w:val="en-US"/>
        </w:rPr>
      </w:r>
      <w:r w:rsidR="00A54C49">
        <w:rPr>
          <w:lang w:val="en-US"/>
        </w:rPr>
        <w:fldChar w:fldCharType="separate"/>
      </w:r>
      <w:r w:rsidR="00F36692" w:rsidRPr="00E15BE6">
        <w:rPr>
          <w:lang w:val="en-US"/>
        </w:rPr>
        <w:t xml:space="preserve">Table </w:t>
      </w:r>
      <w:r w:rsidR="00F36692">
        <w:rPr>
          <w:noProof/>
          <w:lang w:val="en-US"/>
        </w:rPr>
        <w:t>1</w:t>
      </w:r>
      <w:r w:rsidR="00A54C49">
        <w:rPr>
          <w:lang w:val="en-US"/>
        </w:rPr>
        <w:fldChar w:fldCharType="end"/>
      </w:r>
      <w:r w:rsidR="00A54C49">
        <w:rPr>
          <w:lang w:val="en-US"/>
        </w:rPr>
        <w:t>)</w:t>
      </w:r>
      <w:r w:rsidR="00035527">
        <w:rPr>
          <w:lang w:val="en-US"/>
        </w:rPr>
        <w:t xml:space="preserve">. </w:t>
      </w:r>
      <w:r w:rsidR="00BB378D">
        <w:rPr>
          <w:lang w:val="en-US"/>
        </w:rPr>
        <w:t>Pyrolysis oil was characterized only for CWC and DSS-1-600, 700 and</w:t>
      </w:r>
      <w:r w:rsidR="00BB378D" w:rsidRPr="00734922">
        <w:rPr>
          <w:color w:val="000000" w:themeColor="text1"/>
          <w:lang w:val="en-US"/>
        </w:rPr>
        <w:t xml:space="preserve"> 800 </w:t>
      </w:r>
      <w:r w:rsidR="00BB378D" w:rsidRPr="00BB378D">
        <w:rPr>
          <w:lang w:val="en-US"/>
        </w:rPr>
        <w:t>˚C</w:t>
      </w:r>
      <w:r w:rsidR="00BB378D">
        <w:rPr>
          <w:lang w:val="en-US"/>
        </w:rPr>
        <w:t>.</w:t>
      </w:r>
    </w:p>
    <w:p w14:paraId="4EEF2D57" w14:textId="4738D01C" w:rsidR="00EF0077" w:rsidRPr="00035527" w:rsidRDefault="00035527" w:rsidP="00035527">
      <w:pPr>
        <w:rPr>
          <w:lang w:val="en-US"/>
        </w:rPr>
      </w:pPr>
      <w:r>
        <w:rPr>
          <w:lang w:val="en-US"/>
        </w:rPr>
        <w:t>Biochar yields (Y</w:t>
      </w:r>
      <w:r>
        <w:rPr>
          <w:vertAlign w:val="subscript"/>
          <w:lang w:val="en-US"/>
        </w:rPr>
        <w:t>biochar</w:t>
      </w:r>
      <w:r>
        <w:rPr>
          <w:lang w:val="en-US"/>
        </w:rPr>
        <w:t xml:space="preserve"> %) at each treatment temperature were obtained from the </w:t>
      </w:r>
      <w:r w:rsidRPr="0097695A">
        <w:rPr>
          <w:color w:val="000000"/>
          <w:lang w:val="en-US"/>
        </w:rPr>
        <w:t>Sørmo et al.,</w:t>
      </w:r>
      <w:r>
        <w:rPr>
          <w:lang w:val="en-US"/>
        </w:rPr>
        <w:t xml:space="preserve"> </w:t>
      </w:r>
      <w:sdt>
        <w:sdtPr>
          <w:rPr>
            <w:color w:val="000000"/>
            <w:lang w:val="en-US"/>
          </w:rPr>
          <w:tag w:val="MENDELEY_CITATION_v3_eyJjaXRhdGlvbklEIjoiTUVOREVMRVlfQ0lUQVRJT05fNmJkYWIzMTItYTVjNy00NmYxLTkzMDctYjcxY2NkMjUwNzc2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226222784"/>
          <w:placeholder>
            <w:docPart w:val="593A0D719EB8447B8F12FF8BAA59C1F3"/>
          </w:placeholder>
        </w:sdtPr>
        <w:sdtEndPr/>
        <w:sdtContent>
          <w:r w:rsidR="007E4089" w:rsidRPr="007E4089">
            <w:rPr>
              <w:color w:val="000000"/>
              <w:lang w:val="en-US"/>
            </w:rPr>
            <w:t>(n.d.)</w:t>
          </w:r>
        </w:sdtContent>
      </w:sdt>
      <w:r>
        <w:rPr>
          <w:color w:val="000000"/>
          <w:lang w:val="en-US"/>
        </w:rPr>
        <w:t xml:space="preserve"> study, where </w:t>
      </w:r>
      <w:r>
        <w:rPr>
          <w:lang w:val="en-US"/>
        </w:rPr>
        <w:t>Y</w:t>
      </w:r>
      <w:r>
        <w:rPr>
          <w:vertAlign w:val="subscript"/>
          <w:lang w:val="en-US"/>
        </w:rPr>
        <w:t>biochar</w:t>
      </w:r>
      <w:r>
        <w:rPr>
          <w:lang w:val="en-US"/>
        </w:rPr>
        <w:t xml:space="preserve"> % was defined as the rate of biochar produced divided by the feedstock feeding rate over the </w:t>
      </w:r>
      <w:proofErr w:type="gramStart"/>
      <w:r>
        <w:rPr>
          <w:lang w:val="en-US"/>
        </w:rPr>
        <w:t>time period</w:t>
      </w:r>
      <w:proofErr w:type="gramEnd"/>
      <w:r>
        <w:rPr>
          <w:lang w:val="en-US"/>
        </w:rPr>
        <w:t xml:space="preserve"> with stable conditions.  </w:t>
      </w:r>
    </w:p>
    <w:p w14:paraId="7789B88F" w14:textId="3B275B54" w:rsidR="005D74C4" w:rsidRDefault="005D74C4" w:rsidP="005D74C4">
      <w:pPr>
        <w:pStyle w:val="Heading3"/>
        <w:rPr>
          <w:lang w:val="en-US"/>
        </w:rPr>
      </w:pPr>
      <w:r>
        <w:rPr>
          <w:lang w:val="en-US"/>
        </w:rPr>
        <w:t>Gas emission sampling</w:t>
      </w:r>
    </w:p>
    <w:p w14:paraId="6FE76DAB" w14:textId="773F84DE" w:rsidR="003B2DC4" w:rsidRPr="003B2DC4" w:rsidRDefault="003B2DC4" w:rsidP="003B2DC4">
      <w:pPr>
        <w:ind w:firstLine="0"/>
        <w:rPr>
          <w:lang w:val="en-US"/>
        </w:rPr>
      </w:pPr>
      <w:r>
        <w:rPr>
          <w:lang w:val="en-US"/>
        </w:rPr>
        <w:t xml:space="preserve">Exhaust gas and aerosols were sampled according to the procedure described in </w:t>
      </w:r>
      <w:r w:rsidRPr="0097695A">
        <w:rPr>
          <w:color w:val="000000"/>
          <w:lang w:val="en-US"/>
        </w:rPr>
        <w:t>Sørmo et al.,</w:t>
      </w:r>
      <w:r>
        <w:rPr>
          <w:lang w:val="en-US"/>
        </w:rPr>
        <w:t xml:space="preserve"> </w:t>
      </w:r>
      <w:sdt>
        <w:sdtPr>
          <w:rPr>
            <w:color w:val="000000"/>
            <w:lang w:val="en-US"/>
          </w:rPr>
          <w:tag w:val="MENDELEY_CITATION_v3_eyJjaXRhdGlvbklEIjoiTUVOREVMRVlfQ0lUQVRJT05fN2VkMWRhMjgtMjhjNy00OGY1LTg0ODUtYmQwNWZiNjJmNjIw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445853746"/>
          <w:placeholder>
            <w:docPart w:val="F84B07E0110242FE8B55AE8419E33521"/>
          </w:placeholder>
        </w:sdtPr>
        <w:sdtEndPr/>
        <w:sdtContent>
          <w:r w:rsidR="007E4089" w:rsidRPr="007E4089">
            <w:rPr>
              <w:color w:val="000000"/>
              <w:lang w:val="en-US"/>
            </w:rPr>
            <w:t>(n.d.)</w:t>
          </w:r>
        </w:sdtContent>
      </w:sdt>
      <w:r>
        <w:rPr>
          <w:color w:val="000000"/>
          <w:lang w:val="en-US"/>
        </w:rPr>
        <w:t xml:space="preserve">. Gas measurements were collected for sewage sludge feedstocks, </w:t>
      </w:r>
      <w:r w:rsidR="009B3805">
        <w:rPr>
          <w:color w:val="000000"/>
          <w:lang w:val="en-US"/>
        </w:rPr>
        <w:t xml:space="preserve">except for </w:t>
      </w:r>
      <w:r>
        <w:rPr>
          <w:color w:val="000000"/>
          <w:lang w:val="en-US"/>
        </w:rPr>
        <w:t xml:space="preserve">CWC (all treatments), DSS-1 (750 ˚C treatment), and GW (600 ˚C treatment). </w:t>
      </w:r>
      <w:r w:rsidR="00035527">
        <w:rPr>
          <w:color w:val="000000"/>
          <w:lang w:val="en-US"/>
        </w:rPr>
        <w:t>A glass fiber filter (GFF) was used for aerosol collection (0.45 µm), followed by an XAD-2 sorbent for gas phase contaminants</w:t>
      </w:r>
      <w:r w:rsidR="00BB378D">
        <w:rPr>
          <w:color w:val="000000"/>
          <w:lang w:val="en-US"/>
        </w:rPr>
        <w:t xml:space="preserve"> from the sludge-based feedstocks, and a PUF sorbent for the wood-based feedstocks. </w:t>
      </w:r>
    </w:p>
    <w:p w14:paraId="0C328607" w14:textId="558D2EED" w:rsidR="005D74C4" w:rsidRDefault="005D74C4" w:rsidP="00401EEE">
      <w:pPr>
        <w:pStyle w:val="Heading2"/>
      </w:pPr>
      <w:r>
        <w:t>Sample preparation and instrumental analysis</w:t>
      </w:r>
    </w:p>
    <w:p w14:paraId="201BCB51" w14:textId="06DCEC41" w:rsidR="005D74C4" w:rsidRDefault="005D74C4" w:rsidP="005D74C4">
      <w:pPr>
        <w:pStyle w:val="Heading3"/>
        <w:rPr>
          <w:lang w:val="en-US"/>
        </w:rPr>
      </w:pPr>
      <w:r>
        <w:rPr>
          <w:lang w:val="en-US"/>
        </w:rPr>
        <w:t>PAH</w:t>
      </w:r>
      <w:r w:rsidR="00522695">
        <w:rPr>
          <w:lang w:val="en-US"/>
        </w:rPr>
        <w:t xml:space="preserve">, dioxin, </w:t>
      </w:r>
      <w:r>
        <w:rPr>
          <w:lang w:val="en-US"/>
        </w:rPr>
        <w:t>and PCB analysis</w:t>
      </w:r>
    </w:p>
    <w:p w14:paraId="646037CD" w14:textId="59761F61" w:rsidR="00417B31" w:rsidRPr="00417B31" w:rsidRDefault="00417B31" w:rsidP="00120C71">
      <w:pPr>
        <w:ind w:firstLine="0"/>
        <w:rPr>
          <w:lang w:val="en-US"/>
        </w:rPr>
      </w:pPr>
      <w:r w:rsidRPr="00417B31">
        <w:rPr>
          <w:highlight w:val="yellow"/>
          <w:lang w:val="en-US"/>
        </w:rPr>
        <w:t>PAH, dioxin</w:t>
      </w:r>
      <w:r w:rsidR="00120C71">
        <w:rPr>
          <w:highlight w:val="yellow"/>
          <w:lang w:val="en-US"/>
        </w:rPr>
        <w:t>,</w:t>
      </w:r>
      <w:r w:rsidRPr="00417B31">
        <w:rPr>
          <w:highlight w:val="yellow"/>
          <w:lang w:val="en-US"/>
        </w:rPr>
        <w:t xml:space="preserve"> and PCB extraction methods.</w:t>
      </w:r>
      <w:r>
        <w:rPr>
          <w:lang w:val="en-US"/>
        </w:rPr>
        <w:t xml:space="preserve"> </w:t>
      </w:r>
    </w:p>
    <w:p w14:paraId="376B4619" w14:textId="168279E6" w:rsidR="005D74C4" w:rsidRDefault="005D74C4" w:rsidP="00401EEE">
      <w:pPr>
        <w:pStyle w:val="Heading2"/>
      </w:pPr>
      <w:r>
        <w:lastRenderedPageBreak/>
        <w:t>Quality control and assurance</w:t>
      </w:r>
    </w:p>
    <w:p w14:paraId="268B2D12" w14:textId="3A1641A3" w:rsidR="00522695" w:rsidRPr="00522695" w:rsidRDefault="00417B31" w:rsidP="00522695">
      <w:pPr>
        <w:ind w:firstLine="0"/>
        <w:rPr>
          <w:lang w:val="en-US"/>
        </w:rPr>
      </w:pPr>
      <w:r>
        <w:rPr>
          <w:lang w:val="en-US"/>
        </w:rPr>
        <w:t>Procedural blanks for PUF, XAD and GFF were taken to analyze background contamination at the pyrolysis plant. PAHs were measured in triplicate and dioxins were analyzed from si</w:t>
      </w:r>
      <w:r w:rsidR="00522695">
        <w:rPr>
          <w:lang w:val="en-US"/>
        </w:rPr>
        <w:t>ngle measurements</w:t>
      </w:r>
      <w:r>
        <w:rPr>
          <w:lang w:val="en-US"/>
        </w:rPr>
        <w:t xml:space="preserve">. </w:t>
      </w:r>
      <w:r w:rsidR="00522695">
        <w:rPr>
          <w:lang w:val="en-US"/>
        </w:rPr>
        <w:t xml:space="preserve">Samples were analyzed in triplicate for feedstocks and biochar, </w:t>
      </w:r>
      <w:r>
        <w:rPr>
          <w:lang w:val="en-US"/>
        </w:rPr>
        <w:t xml:space="preserve">duplicate for GFF, </w:t>
      </w:r>
      <w:r w:rsidR="00522695">
        <w:rPr>
          <w:lang w:val="en-US"/>
        </w:rPr>
        <w:t xml:space="preserve">and single measurements for XAD, PUF and pyrolysis oil. </w:t>
      </w:r>
    </w:p>
    <w:p w14:paraId="540A8D06" w14:textId="7AD7860F" w:rsidR="00A45938" w:rsidRDefault="00A45938" w:rsidP="00401EEE">
      <w:pPr>
        <w:pStyle w:val="Heading2"/>
      </w:pPr>
      <w:r w:rsidRPr="00100B80">
        <w:t>Data analysis</w:t>
      </w:r>
    </w:p>
    <w:p w14:paraId="08ACAF1B" w14:textId="6334950A" w:rsidR="00121F67" w:rsidRDefault="00121F67" w:rsidP="00121F67">
      <w:pPr>
        <w:ind w:firstLine="0"/>
        <w:rPr>
          <w:lang w:val="en-US"/>
        </w:rPr>
      </w:pPr>
      <w:r>
        <w:rPr>
          <w:lang w:val="en-US"/>
        </w:rPr>
        <w:t xml:space="preserve">For statistical analyses, LOQ/2 was used in cases where </w:t>
      </w:r>
      <w:r w:rsidR="00417B31">
        <w:rPr>
          <w:lang w:val="en-US"/>
        </w:rPr>
        <w:t>one</w:t>
      </w:r>
      <w:r>
        <w:rPr>
          <w:lang w:val="en-US"/>
        </w:rPr>
        <w:t xml:space="preserve"> or two of the replicate data points were &lt; LOQ. </w:t>
      </w:r>
    </w:p>
    <w:p w14:paraId="393EF85E" w14:textId="37E5DF1A" w:rsidR="005D74C4" w:rsidRDefault="005D74C4" w:rsidP="005D74C4">
      <w:pPr>
        <w:rPr>
          <w:lang w:val="en-US"/>
        </w:rPr>
      </w:pPr>
      <w:r>
        <w:rPr>
          <w:lang w:val="en-US"/>
        </w:rPr>
        <w:t>Removal efficiency (RE):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5D74C4" w14:paraId="1E7F1F6F" w14:textId="77777777" w:rsidTr="005D74C4">
        <w:tc>
          <w:tcPr>
            <w:tcW w:w="7933" w:type="dxa"/>
          </w:tcPr>
          <w:p w14:paraId="01509EC3" w14:textId="1EA53818" w:rsidR="005D74C4" w:rsidRDefault="005D74C4" w:rsidP="005D74C4">
            <w:pPr>
              <w:ind w:firstLine="0"/>
              <w:rPr>
                <w:lang w:val="en-US"/>
              </w:rPr>
            </w:pPr>
            <m:oMathPara>
              <m:oMath>
                <m:r>
                  <w:rPr>
                    <w:rFonts w:ascii="Cambria Math" w:hAnsi="Cambria Math"/>
                    <w:lang w:val="en-US"/>
                  </w:rPr>
                  <m:t xml:space="preserve">RE </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biochar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biochar</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feedstock</m:t>
                            </m:r>
                          </m:sub>
                        </m:sSub>
                      </m:den>
                    </m:f>
                  </m:e>
                </m:d>
              </m:oMath>
            </m:oMathPara>
          </w:p>
        </w:tc>
        <w:tc>
          <w:tcPr>
            <w:tcW w:w="1127" w:type="dxa"/>
            <w:vAlign w:val="center"/>
          </w:tcPr>
          <w:p w14:paraId="0CE73F96" w14:textId="01B5C052" w:rsidR="005D74C4" w:rsidRDefault="005D74C4" w:rsidP="005D74C4">
            <w:pPr>
              <w:pStyle w:val="Equation"/>
            </w:pPr>
            <w:bookmarkStart w:id="2" w:name="_Ref126761653"/>
            <w:bookmarkStart w:id="3" w:name="_Ref126761645"/>
            <w:r>
              <w:t>(</w:t>
            </w:r>
            <w:r w:rsidRPr="005D74C4">
              <w:t xml:space="preserve">Eq. </w:t>
            </w:r>
            <w:r>
              <w:fldChar w:fldCharType="begin"/>
            </w:r>
            <w:r w:rsidRPr="005D74C4">
              <w:instrText xml:space="preserve"> SEQ Eq. \* ARABIC </w:instrText>
            </w:r>
            <w:r>
              <w:fldChar w:fldCharType="separate"/>
            </w:r>
            <w:r w:rsidR="00F36692">
              <w:rPr>
                <w:noProof/>
              </w:rPr>
              <w:t>1</w:t>
            </w:r>
            <w:r>
              <w:fldChar w:fldCharType="end"/>
            </w:r>
            <w:bookmarkEnd w:id="2"/>
            <w:r>
              <w:t>)</w:t>
            </w:r>
            <w:bookmarkEnd w:id="3"/>
          </w:p>
        </w:tc>
      </w:tr>
    </w:tbl>
    <w:p w14:paraId="23C49462" w14:textId="6A203673" w:rsidR="005D74C4" w:rsidRDefault="00D64F24" w:rsidP="00D64F24">
      <w:pPr>
        <w:ind w:firstLine="0"/>
        <w:rPr>
          <w:lang w:val="en-US"/>
        </w:rPr>
      </w:pPr>
      <w:r w:rsidRPr="00D64F24">
        <w:rPr>
          <w:lang w:val="en-US"/>
        </w:rPr>
        <w:t>where C</w:t>
      </w:r>
      <w:r w:rsidRPr="00D64F24">
        <w:rPr>
          <w:vertAlign w:val="subscript"/>
          <w:lang w:val="en-US"/>
        </w:rPr>
        <w:t>biochar</w:t>
      </w:r>
      <w:r w:rsidRPr="00D64F24">
        <w:rPr>
          <w:lang w:val="en-US"/>
        </w:rPr>
        <w:t xml:space="preserve"> is the </w:t>
      </w:r>
      <w:r w:rsidR="00734CC8">
        <w:rPr>
          <w:lang w:val="en-US"/>
        </w:rPr>
        <w:t xml:space="preserve">pollutant </w:t>
      </w:r>
      <w:r w:rsidRPr="00D64F24">
        <w:rPr>
          <w:lang w:val="en-US"/>
        </w:rPr>
        <w:t>concentration</w:t>
      </w:r>
      <w:r w:rsidR="00734CC8">
        <w:rPr>
          <w:lang w:val="en-US"/>
        </w:rPr>
        <w:t xml:space="preserve"> </w:t>
      </w:r>
      <w:r w:rsidRPr="00D64F24">
        <w:rPr>
          <w:lang w:val="en-US"/>
        </w:rPr>
        <w:t>(ng g</w:t>
      </w:r>
      <w:r w:rsidRPr="00D64F24">
        <w:rPr>
          <w:vertAlign w:val="superscript"/>
          <w:lang w:val="en-US"/>
        </w:rPr>
        <w:t>-1</w:t>
      </w:r>
      <w:r w:rsidRPr="00D64F24">
        <w:rPr>
          <w:lang w:val="en-US"/>
        </w:rPr>
        <w:t xml:space="preserve">) in </w:t>
      </w:r>
      <w:r w:rsidR="00734CC8">
        <w:rPr>
          <w:lang w:val="en-US"/>
        </w:rPr>
        <w:t>the</w:t>
      </w:r>
      <w:r w:rsidRPr="00D64F24">
        <w:rPr>
          <w:lang w:val="en-US"/>
        </w:rPr>
        <w:t xml:space="preserve"> biochar produced at a given pyrolysis</w:t>
      </w:r>
      <w:r>
        <w:rPr>
          <w:lang w:val="en-US"/>
        </w:rPr>
        <w:t xml:space="preserve"> </w:t>
      </w:r>
      <w:r w:rsidRPr="00D64F24">
        <w:rPr>
          <w:lang w:val="en-US"/>
        </w:rPr>
        <w:t>temperature, C</w:t>
      </w:r>
      <w:r w:rsidRPr="00D64F24">
        <w:rPr>
          <w:vertAlign w:val="subscript"/>
          <w:lang w:val="en-US"/>
        </w:rPr>
        <w:t>feedstock</w:t>
      </w:r>
      <w:r w:rsidRPr="00D64F24">
        <w:rPr>
          <w:lang w:val="en-US"/>
        </w:rPr>
        <w:t xml:space="preserve"> is the </w:t>
      </w:r>
      <w:r w:rsidR="00734CC8">
        <w:rPr>
          <w:lang w:val="en-US"/>
        </w:rPr>
        <w:t xml:space="preserve">pollutant </w:t>
      </w:r>
      <w:r w:rsidRPr="00D64F24">
        <w:rPr>
          <w:lang w:val="en-US"/>
        </w:rPr>
        <w:t>concentration (ng g</w:t>
      </w:r>
      <w:r w:rsidRPr="00D64F24">
        <w:rPr>
          <w:vertAlign w:val="superscript"/>
          <w:lang w:val="en-US"/>
        </w:rPr>
        <w:t>-1</w:t>
      </w:r>
      <w:r w:rsidRPr="00D64F24">
        <w:rPr>
          <w:lang w:val="en-US"/>
        </w:rPr>
        <w:t>) in the feedstock and Y</w:t>
      </w:r>
      <w:r w:rsidRPr="00D64F24">
        <w:rPr>
          <w:vertAlign w:val="subscript"/>
          <w:lang w:val="en-US"/>
        </w:rPr>
        <w:t>biochar</w:t>
      </w:r>
      <w:r w:rsidRPr="00D64F24">
        <w:rPr>
          <w:lang w:val="en-US"/>
        </w:rPr>
        <w:t xml:space="preserve"> is the yield </w:t>
      </w:r>
      <w:r>
        <w:rPr>
          <w:lang w:val="en-US"/>
        </w:rPr>
        <w:fldChar w:fldCharType="begin"/>
      </w:r>
      <w:r>
        <w:rPr>
          <w:lang w:val="en-US"/>
        </w:rPr>
        <w:instrText xml:space="preserve"> REF _Ref126761645 \h </w:instrText>
      </w:r>
      <w:r>
        <w:rPr>
          <w:lang w:val="en-US"/>
        </w:rPr>
      </w:r>
      <w:r>
        <w:rPr>
          <w:lang w:val="en-US"/>
        </w:rPr>
        <w:fldChar w:fldCharType="separate"/>
      </w:r>
      <w:r w:rsidR="00F36692" w:rsidRPr="00F36692">
        <w:rPr>
          <w:lang w:val="en-US"/>
        </w:rPr>
        <w:t xml:space="preserve">(Eq. </w:t>
      </w:r>
      <w:r w:rsidR="00F36692" w:rsidRPr="00F36692">
        <w:rPr>
          <w:noProof/>
          <w:lang w:val="en-US"/>
        </w:rPr>
        <w:t>1</w:t>
      </w:r>
      <w:r w:rsidR="00F36692" w:rsidRPr="00F36692">
        <w:rPr>
          <w:lang w:val="en-US"/>
        </w:rPr>
        <w:t>)</w:t>
      </w:r>
      <w:r>
        <w:rPr>
          <w:lang w:val="en-US"/>
        </w:rPr>
        <w:fldChar w:fldCharType="end"/>
      </w:r>
      <w:r>
        <w:rPr>
          <w:lang w:val="en-US"/>
        </w:rPr>
        <w:fldChar w:fldCharType="begin"/>
      </w:r>
      <w:r>
        <w:rPr>
          <w:lang w:val="en-US"/>
        </w:rPr>
        <w:instrText xml:space="preserve"> REF _Ref126761653 \h </w:instrText>
      </w:r>
      <w:r>
        <w:rPr>
          <w:lang w:val="en-US"/>
        </w:rPr>
      </w:r>
      <w:r>
        <w:rPr>
          <w:lang w:val="en-US"/>
        </w:rPr>
        <w:fldChar w:fldCharType="separate"/>
      </w:r>
      <w:r w:rsidR="00F36692" w:rsidRPr="00F36692">
        <w:rPr>
          <w:lang w:val="en-US"/>
        </w:rPr>
        <w:t xml:space="preserve">(Eq. </w:t>
      </w:r>
      <w:r w:rsidR="00F36692" w:rsidRPr="00F36692">
        <w:rPr>
          <w:noProof/>
          <w:lang w:val="en-US"/>
        </w:rPr>
        <w:t>1</w:t>
      </w:r>
      <w:r>
        <w:rPr>
          <w:lang w:val="en-US"/>
        </w:rPr>
        <w:fldChar w:fldCharType="end"/>
      </w:r>
      <w:r w:rsidRPr="00D64F24">
        <w:rPr>
          <w:lang w:val="en-US"/>
        </w:rPr>
        <w:t>) of the biochar in the pyrolysis p</w:t>
      </w:r>
      <w:r>
        <w:rPr>
          <w:lang w:val="en-US"/>
        </w:rPr>
        <w:t>rocess.</w:t>
      </w:r>
      <w:r w:rsidR="009C36A6">
        <w:rPr>
          <w:lang w:val="en-US"/>
        </w:rPr>
        <w:t xml:space="preserve"> To be conservative, values below LOQ were set </w:t>
      </w:r>
      <w:r w:rsidR="00FA4AE8">
        <w:rPr>
          <w:lang w:val="en-US"/>
        </w:rPr>
        <w:t xml:space="preserve">equal to </w:t>
      </w:r>
      <w:r w:rsidR="009C36A6">
        <w:rPr>
          <w:lang w:val="en-US"/>
        </w:rPr>
        <w:t>LOQ when calculating removal efficiencies.</w:t>
      </w:r>
    </w:p>
    <w:p w14:paraId="65ADB5EA" w14:textId="2F81E3C7" w:rsidR="00D64F24" w:rsidRDefault="00D64F24" w:rsidP="00D64F24">
      <w:pPr>
        <w:rPr>
          <w:lang w:val="en-US"/>
        </w:rPr>
      </w:pPr>
      <w:r>
        <w:rPr>
          <w:lang w:val="en-US"/>
        </w:rPr>
        <w:t>Emission factor (EF)</w:t>
      </w:r>
      <w:r w:rsidR="00734CC8">
        <w:rPr>
          <w:lang w:val="en-US"/>
        </w:rPr>
        <w:t xml:space="preserve"> was calculated using the volume gas sampled per kg biochar (m</w:t>
      </w:r>
      <w:r w:rsidR="00734CC8">
        <w:rPr>
          <w:vertAlign w:val="superscript"/>
          <w:lang w:val="en-US"/>
        </w:rPr>
        <w:t>3</w:t>
      </w:r>
      <w:r w:rsidR="00734CC8">
        <w:rPr>
          <w:lang w:val="en-US"/>
        </w:rPr>
        <w:t xml:space="preserve"> kg</w:t>
      </w:r>
      <w:r w:rsidR="00734CC8">
        <w:rPr>
          <w:vertAlign w:val="superscript"/>
          <w:lang w:val="en-US"/>
        </w:rPr>
        <w:t>-1</w:t>
      </w:r>
      <w:r w:rsidR="00734CC8">
        <w:rPr>
          <w:lang w:val="en-US"/>
        </w:rPr>
        <w:t>) that was normalized for propane added to the burner during combustion of the flue gases</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D64F24" w14:paraId="5ED0AA31" w14:textId="77777777" w:rsidTr="00302BD5">
        <w:tc>
          <w:tcPr>
            <w:tcW w:w="7933" w:type="dxa"/>
            <w:vAlign w:val="center"/>
          </w:tcPr>
          <w:p w14:paraId="48A27601" w14:textId="5B9EA7EC" w:rsidR="00D64F24" w:rsidRDefault="00D64F24" w:rsidP="00302BD5">
            <w:pPr>
              <w:ind w:firstLine="0"/>
              <w:jc w:val="center"/>
              <w:rPr>
                <w:lang w:val="en-US"/>
              </w:rPr>
            </w:pPr>
            <m:oMathPara>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pollutant</m:t>
                    </m:r>
                  </m:sub>
                </m:sSub>
                <m:r>
                  <w:rPr>
                    <w:rFonts w:ascii="Cambria Math" w:hAnsi="Cambria Math"/>
                    <w:lang w:val="en-US"/>
                  </w:rPr>
                  <m:t>=con</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pollutant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flue gas</m:t>
                    </m:r>
                  </m:sub>
                </m:sSub>
              </m:oMath>
            </m:oMathPara>
          </w:p>
        </w:tc>
        <w:tc>
          <w:tcPr>
            <w:tcW w:w="1127" w:type="dxa"/>
            <w:vAlign w:val="center"/>
          </w:tcPr>
          <w:p w14:paraId="1B95D9C9" w14:textId="2F06199D" w:rsidR="00D64F24" w:rsidRDefault="00D64F24" w:rsidP="00302BD5">
            <w:pPr>
              <w:pStyle w:val="Equation"/>
              <w:keepNext/>
            </w:pPr>
            <w:r>
              <w:t>(</w:t>
            </w:r>
            <w:r w:rsidR="00302BD5" w:rsidRPr="00302BD5">
              <w:t>Eq. 2</w:t>
            </w:r>
            <w:r>
              <w:t>)</w:t>
            </w:r>
          </w:p>
        </w:tc>
      </w:tr>
    </w:tbl>
    <w:p w14:paraId="7EEA622E" w14:textId="2182422C" w:rsidR="00DF0342" w:rsidRDefault="006D1BB5" w:rsidP="00401EEE">
      <w:pPr>
        <w:pStyle w:val="Heading1"/>
      </w:pPr>
      <w:r w:rsidRPr="00100B80">
        <w:lastRenderedPageBreak/>
        <w:t>Results and discussion</w:t>
      </w:r>
    </w:p>
    <w:p w14:paraId="6493633C" w14:textId="6D5E0CCA" w:rsidR="00242167" w:rsidRDefault="00D64F24" w:rsidP="00401EEE">
      <w:pPr>
        <w:pStyle w:val="Heading2"/>
      </w:pPr>
      <w:r>
        <w:t>Organic pollutants in feedstocks</w:t>
      </w:r>
    </w:p>
    <w:p w14:paraId="5A5BBECB" w14:textId="17A9C942" w:rsidR="00D64F24" w:rsidRDefault="00D64F24" w:rsidP="00D64F24">
      <w:pPr>
        <w:pStyle w:val="Heading3"/>
        <w:rPr>
          <w:lang w:val="en-US"/>
        </w:rPr>
      </w:pPr>
      <w:r>
        <w:rPr>
          <w:lang w:val="en-US"/>
        </w:rPr>
        <w:t>Dioxins</w:t>
      </w:r>
      <w:r w:rsidR="00401EEE">
        <w:rPr>
          <w:lang w:val="en-US"/>
        </w:rPr>
        <w:t xml:space="preserve"> in feedstock</w:t>
      </w:r>
    </w:p>
    <w:p w14:paraId="546AF921" w14:textId="2F4A9437" w:rsidR="00D64F24" w:rsidRDefault="00E938A3" w:rsidP="00401EEE">
      <w:pPr>
        <w:ind w:firstLine="0"/>
        <w:rPr>
          <w:lang w:val="en-US"/>
        </w:rPr>
      </w:pPr>
      <w:r>
        <w:rPr>
          <w:lang w:val="en-US"/>
        </w:rPr>
        <w:t xml:space="preserve">The total </w:t>
      </w:r>
      <w:r w:rsidR="003A5D71">
        <w:rPr>
          <w:lang w:val="en-US"/>
        </w:rPr>
        <w:t>concentration</w:t>
      </w:r>
      <w:r>
        <w:rPr>
          <w:lang w:val="en-US"/>
        </w:rPr>
        <w:t xml:space="preserve"> of </w:t>
      </w:r>
      <w:r w:rsidR="009B4583">
        <w:rPr>
          <w:lang w:val="en-US"/>
        </w:rPr>
        <w:t>dioxins (</w:t>
      </w:r>
      <w:r w:rsidR="00F0305F">
        <w:rPr>
          <w:lang w:val="en-US"/>
        </w:rPr>
        <w:t>PCDD</w:t>
      </w:r>
      <w:r w:rsidR="009B4583">
        <w:rPr>
          <w:lang w:val="en-US"/>
        </w:rPr>
        <w:t>/</w:t>
      </w:r>
      <w:r w:rsidR="002450C3">
        <w:rPr>
          <w:lang w:val="en-US"/>
        </w:rPr>
        <w:t>F-17</w:t>
      </w:r>
      <w:r w:rsidR="009B4583">
        <w:rPr>
          <w:lang w:val="en-US"/>
        </w:rPr>
        <w:t>)</w:t>
      </w:r>
      <w:r w:rsidR="002450C3">
        <w:rPr>
          <w:lang w:val="en-US"/>
        </w:rPr>
        <w:t xml:space="preserve"> in toxic equivalents</w:t>
      </w:r>
      <w:r>
        <w:rPr>
          <w:lang w:val="en-US"/>
        </w:rPr>
        <w:t xml:space="preserve"> </w:t>
      </w:r>
      <w:r w:rsidR="009B4583">
        <w:rPr>
          <w:lang w:val="en-US"/>
        </w:rPr>
        <w:t>(TE</w:t>
      </w:r>
      <w:r w:rsidR="009564EE">
        <w:rPr>
          <w:lang w:val="en-US"/>
        </w:rPr>
        <w:t>Q</w:t>
      </w:r>
      <w:r w:rsidR="009B4583">
        <w:rPr>
          <w:lang w:val="en-US"/>
        </w:rPr>
        <w:t xml:space="preserve">) </w:t>
      </w:r>
      <w:r>
        <w:rPr>
          <w:lang w:val="en-US"/>
        </w:rPr>
        <w:t xml:space="preserve">in the sludge </w:t>
      </w:r>
      <w:r w:rsidR="002450C3">
        <w:rPr>
          <w:lang w:val="en-US"/>
        </w:rPr>
        <w:t xml:space="preserve">and food waste reject </w:t>
      </w:r>
      <w:r>
        <w:rPr>
          <w:lang w:val="en-US"/>
        </w:rPr>
        <w:t>feedstocks were</w:t>
      </w:r>
      <w:r w:rsidR="009B4583">
        <w:rPr>
          <w:lang w:val="en-US"/>
        </w:rPr>
        <w:t xml:space="preserve"> 1.2±0.1, 1.8±0.1, 3.0±0.1, and</w:t>
      </w:r>
      <w:r>
        <w:rPr>
          <w:lang w:val="en-US"/>
        </w:rPr>
        <w:t xml:space="preserve"> 8.3</w:t>
      </w:r>
      <w:r w:rsidR="00F84C90">
        <w:rPr>
          <w:lang w:val="en-US"/>
        </w:rPr>
        <w:t>±0.2</w:t>
      </w:r>
      <w:r w:rsidR="009B4583">
        <w:rPr>
          <w:lang w:val="en-US"/>
        </w:rPr>
        <w:t xml:space="preserve"> </w:t>
      </w:r>
      <w:r w:rsidR="00FA4AE8">
        <w:rPr>
          <w:lang w:val="en-US"/>
        </w:rPr>
        <w:t>n</w:t>
      </w:r>
      <w:r>
        <w:rPr>
          <w:lang w:val="en-US"/>
        </w:rPr>
        <w:t xml:space="preserve">g </w:t>
      </w:r>
      <w:r w:rsidR="003A5D71">
        <w:rPr>
          <w:lang w:val="en-US"/>
        </w:rPr>
        <w:t>TE</w:t>
      </w:r>
      <w:r w:rsidR="009564EE">
        <w:rPr>
          <w:lang w:val="en-US"/>
        </w:rPr>
        <w:t>Q</w:t>
      </w:r>
      <w:r w:rsidR="003A5D71">
        <w:rPr>
          <w:lang w:val="en-US"/>
        </w:rPr>
        <w:t xml:space="preserve"> </w:t>
      </w:r>
      <w:r w:rsidR="00FA4AE8">
        <w:rPr>
          <w:lang w:val="en-US"/>
        </w:rPr>
        <w:t>k</w:t>
      </w:r>
      <w:r>
        <w:rPr>
          <w:lang w:val="en-US"/>
        </w:rPr>
        <w:t>g</w:t>
      </w:r>
      <w:r>
        <w:rPr>
          <w:vertAlign w:val="superscript"/>
          <w:lang w:val="en-US"/>
        </w:rPr>
        <w:t>-1</w:t>
      </w:r>
      <w:r w:rsidR="009B4583">
        <w:rPr>
          <w:lang w:val="en-US"/>
        </w:rPr>
        <w:t xml:space="preserve"> for FWR, DSS-2, LSS, and DSS-1, respectively.</w:t>
      </w:r>
      <w:r>
        <w:rPr>
          <w:lang w:val="en-US"/>
        </w:rPr>
        <w:t xml:space="preserve"> </w:t>
      </w:r>
      <w:r w:rsidR="009B4583">
        <w:rPr>
          <w:lang w:val="en-US"/>
        </w:rPr>
        <w:t xml:space="preserve">These concentrations were </w:t>
      </w:r>
      <w:r w:rsidR="009564EE">
        <w:rPr>
          <w:lang w:val="en-US"/>
        </w:rPr>
        <w:t xml:space="preserve">in the lowest range or below </w:t>
      </w:r>
      <w:r w:rsidR="009B4583">
        <w:rPr>
          <w:lang w:val="en-US"/>
        </w:rPr>
        <w:t xml:space="preserve">the sum </w:t>
      </w:r>
      <w:r w:rsidR="00F0305F">
        <w:rPr>
          <w:lang w:val="en-US"/>
        </w:rPr>
        <w:t>PCDD</w:t>
      </w:r>
      <w:r w:rsidR="009564EE">
        <w:rPr>
          <w:lang w:val="en-US"/>
        </w:rPr>
        <w:t>/F</w:t>
      </w:r>
      <w:r w:rsidR="009B4583">
        <w:rPr>
          <w:lang w:val="en-US"/>
        </w:rPr>
        <w:t>-</w:t>
      </w:r>
      <w:r w:rsidR="009564EE">
        <w:rPr>
          <w:lang w:val="en-US"/>
        </w:rPr>
        <w:t>1</w:t>
      </w:r>
      <w:r w:rsidR="009B4583">
        <w:rPr>
          <w:lang w:val="en-US"/>
        </w:rPr>
        <w:t xml:space="preserve">7 found in 36 different Norwegian sewage sludges (range 3-69, median 6 </w:t>
      </w:r>
      <w:r w:rsidR="009564EE">
        <w:rPr>
          <w:lang w:val="en-US"/>
        </w:rPr>
        <w:t>n</w:t>
      </w:r>
      <w:r w:rsidR="009B4583">
        <w:rPr>
          <w:lang w:val="en-US"/>
        </w:rPr>
        <w:t>g</w:t>
      </w:r>
      <w:r w:rsidR="009564EE">
        <w:rPr>
          <w:lang w:val="en-US"/>
        </w:rPr>
        <w:t xml:space="preserve"> TEQ</w:t>
      </w:r>
      <w:r w:rsidR="009B4583">
        <w:rPr>
          <w:lang w:val="en-US"/>
        </w:rPr>
        <w:t xml:space="preserve"> kg</w:t>
      </w:r>
      <w:r w:rsidR="009B4583">
        <w:rPr>
          <w:vertAlign w:val="superscript"/>
          <w:lang w:val="en-US"/>
        </w:rPr>
        <w:t>-1</w:t>
      </w:r>
      <w:r w:rsidR="009B4583">
        <w:rPr>
          <w:lang w:val="en-US"/>
        </w:rPr>
        <w:t xml:space="preserve">) </w:t>
      </w:r>
      <w:sdt>
        <w:sdtPr>
          <w:rPr>
            <w:color w:val="000000"/>
            <w:lang w:val="en-US"/>
          </w:rPr>
          <w:tag w:val="MENDELEY_CITATION_v3_eyJjaXRhdGlvbklEIjoiTUVOREVMRVlfQ0lUQVRJT05fNjhlMWM0NDItZDdjMi00YTI5LWEwMTUtMDI4MGYyNWRmZGQ3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421293542"/>
          <w:placeholder>
            <w:docPart w:val="848449BD512C47E4BC45075696A83BA1"/>
          </w:placeholder>
        </w:sdtPr>
        <w:sdtEndPr/>
        <w:sdtContent>
          <w:r w:rsidR="007E4089" w:rsidRPr="007E4089">
            <w:rPr>
              <w:color w:val="000000"/>
              <w:lang w:val="en-US"/>
            </w:rPr>
            <w:t>(Paulsrud et al., 1997).</w:t>
          </w:r>
        </w:sdtContent>
      </w:sdt>
      <w:r w:rsidR="009B4583">
        <w:rPr>
          <w:lang w:val="en-US"/>
        </w:rPr>
        <w:t xml:space="preserve"> </w:t>
      </w:r>
      <w:r w:rsidR="00DF322E">
        <w:rPr>
          <w:lang w:val="en-US"/>
        </w:rPr>
        <w:t>The distribution of dioxins was similar for the</w:t>
      </w:r>
      <w:r w:rsidR="009B4583">
        <w:rPr>
          <w:lang w:val="en-US"/>
        </w:rPr>
        <w:t xml:space="preserve"> sludge feedstocks</w:t>
      </w:r>
      <w:r w:rsidR="00DF322E">
        <w:rPr>
          <w:lang w:val="en-US"/>
        </w:rPr>
        <w:t xml:space="preserve"> and mainly dominated by OCDD (85-91%), followed by 1,2,3,4,6,7,8-HpCDD (6-11%)</w:t>
      </w:r>
      <w:r w:rsidR="009B4583">
        <w:rPr>
          <w:lang w:val="en-US"/>
        </w:rPr>
        <w:t xml:space="preserve"> (Figure S.</w:t>
      </w:r>
      <w:r w:rsidR="009B4583" w:rsidRPr="004A0B82">
        <w:rPr>
          <w:highlight w:val="yellow"/>
          <w:lang w:val="en-US"/>
        </w:rPr>
        <w:t>X</w:t>
      </w:r>
      <w:r w:rsidR="009B4583">
        <w:rPr>
          <w:lang w:val="en-US"/>
        </w:rPr>
        <w:t>)</w:t>
      </w:r>
      <w:r w:rsidR="00DF322E">
        <w:rPr>
          <w:lang w:val="en-US"/>
        </w:rPr>
        <w:t>.</w:t>
      </w:r>
      <w:r w:rsidR="009B4583">
        <w:rPr>
          <w:lang w:val="en-US"/>
        </w:rPr>
        <w:t xml:space="preserve"> The distribution of dioxins in FWR was dominated by OCDD (80%), 1,2,3,4,6,7,8-HpCDD (9%), and OCDF (9%).</w:t>
      </w:r>
    </w:p>
    <w:p w14:paraId="56F6D8E5" w14:textId="72682D61" w:rsidR="00D64F24" w:rsidRPr="00D64F24" w:rsidRDefault="00D64F24" w:rsidP="00D64F24">
      <w:pPr>
        <w:pStyle w:val="Heading3"/>
        <w:rPr>
          <w:lang w:val="en-US"/>
        </w:rPr>
      </w:pPr>
      <w:r>
        <w:rPr>
          <w:lang w:val="en-US"/>
        </w:rPr>
        <w:t>PCBs</w:t>
      </w:r>
      <w:r w:rsidR="00401EEE">
        <w:rPr>
          <w:lang w:val="en-US"/>
        </w:rPr>
        <w:t xml:space="preserve"> in feedstocks</w:t>
      </w:r>
    </w:p>
    <w:p w14:paraId="7AE9EFB4" w14:textId="26D7EBFB" w:rsidR="009564EE" w:rsidRDefault="009843AD" w:rsidP="00401EEE">
      <w:pPr>
        <w:ind w:firstLine="0"/>
        <w:rPr>
          <w:lang w:val="en-US"/>
        </w:rPr>
      </w:pPr>
      <w:r>
        <w:rPr>
          <w:lang w:val="en-US"/>
        </w:rPr>
        <w:t xml:space="preserve">The total concentration of PCB-7 in the four </w:t>
      </w:r>
      <w:r w:rsidR="009B4583">
        <w:rPr>
          <w:lang w:val="en-US"/>
        </w:rPr>
        <w:t>feedstocks</w:t>
      </w:r>
      <w:r>
        <w:rPr>
          <w:lang w:val="en-US"/>
        </w:rPr>
        <w:t xml:space="preserve"> analyzed were 7.6 ± 0.6, 9.2 ± 0.4, 16.6 ± 1.0, and 20.7 ± 0.6 </w:t>
      </w:r>
      <w:r w:rsidR="00FA4AE8">
        <w:rPr>
          <w:lang w:val="en-US"/>
        </w:rPr>
        <w:t>µ</w:t>
      </w:r>
      <w:r>
        <w:rPr>
          <w:lang w:val="en-US"/>
        </w:rPr>
        <w:t xml:space="preserve">g </w:t>
      </w:r>
      <w:r w:rsidR="00FA4AE8">
        <w:rPr>
          <w:lang w:val="en-US"/>
        </w:rPr>
        <w:t>k</w:t>
      </w:r>
      <w:r>
        <w:rPr>
          <w:lang w:val="en-US"/>
        </w:rPr>
        <w:t>g</w:t>
      </w:r>
      <w:r>
        <w:rPr>
          <w:vertAlign w:val="superscript"/>
          <w:lang w:val="en-US"/>
        </w:rPr>
        <w:t>-1</w:t>
      </w:r>
      <w:r>
        <w:rPr>
          <w:lang w:val="en-US"/>
        </w:rPr>
        <w:t xml:space="preserve"> for DSS-2, FWR, LSS, and DSS-1, respectively (</w:t>
      </w:r>
      <w:r w:rsidR="00FA4AE8">
        <w:rPr>
          <w:lang w:val="en-US"/>
        </w:rPr>
        <w:t>Figure S.</w:t>
      </w:r>
      <w:r w:rsidR="00FA4AE8" w:rsidRPr="004A0B82">
        <w:rPr>
          <w:highlight w:val="yellow"/>
          <w:lang w:val="en-US"/>
        </w:rPr>
        <w:t>X</w:t>
      </w:r>
      <w:r>
        <w:rPr>
          <w:lang w:val="en-US"/>
        </w:rPr>
        <w:t xml:space="preserve">). </w:t>
      </w:r>
      <w:r w:rsidR="009564EE">
        <w:rPr>
          <w:lang w:val="en-US"/>
        </w:rPr>
        <w:t xml:space="preserve">These concentrations </w:t>
      </w:r>
      <w:r w:rsidR="009564EE" w:rsidRPr="009564EE">
        <w:rPr>
          <w:highlight w:val="yellow"/>
          <w:lang w:val="en-US"/>
        </w:rPr>
        <w:t>were below</w:t>
      </w:r>
      <w:r w:rsidR="009564EE">
        <w:rPr>
          <w:lang w:val="en-US"/>
        </w:rPr>
        <w:t xml:space="preserve"> previously reported findings: range in x WWTPs in </w:t>
      </w:r>
      <w:proofErr w:type="gramStart"/>
      <w:r w:rsidR="009564EE">
        <w:rPr>
          <w:lang w:val="en-US"/>
        </w:rPr>
        <w:t>x</w:t>
      </w:r>
      <w:proofErr w:type="gramEnd"/>
    </w:p>
    <w:p w14:paraId="553FD58D" w14:textId="1AC956BC" w:rsidR="00D64F24" w:rsidRPr="009843AD" w:rsidRDefault="002450C3" w:rsidP="00401EEE">
      <w:pPr>
        <w:ind w:firstLine="0"/>
        <w:rPr>
          <w:lang w:val="en-US"/>
        </w:rPr>
      </w:pPr>
      <w:r>
        <w:rPr>
          <w:lang w:val="en-US"/>
        </w:rPr>
        <w:t xml:space="preserve">These concentrations were below the sum PCB-7 found in 36 different Norwegian sewage sludges (range 17-100, median 42 </w:t>
      </w:r>
      <w:r w:rsidR="009564EE">
        <w:rPr>
          <w:lang w:val="en-US"/>
        </w:rPr>
        <w:t>µ</w:t>
      </w:r>
      <w:r>
        <w:rPr>
          <w:lang w:val="en-US"/>
        </w:rPr>
        <w:t>g kg</w:t>
      </w:r>
      <w:r>
        <w:rPr>
          <w:vertAlign w:val="superscript"/>
          <w:lang w:val="en-US"/>
        </w:rPr>
        <w:t>-1</w:t>
      </w:r>
      <w:r>
        <w:rPr>
          <w:lang w:val="en-US"/>
        </w:rPr>
        <w:t xml:space="preserve">) </w:t>
      </w:r>
      <w:sdt>
        <w:sdtPr>
          <w:rPr>
            <w:color w:val="000000"/>
            <w:lang w:val="en-US"/>
          </w:rPr>
          <w:tag w:val="MENDELEY_CITATION_v3_eyJjaXRhdGlvbklEIjoiTUVOREVMRVlfQ0lUQVRJT05fN2Q5NjJjNjItMzkwZi00Njc3LTg1YmEtM2YxZWFiZjc0NzIz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880122857"/>
          <w:placeholder>
            <w:docPart w:val="EA54140177534AF6AA132ABB71B61FBC"/>
          </w:placeholder>
        </w:sdtPr>
        <w:sdtEndPr/>
        <w:sdtContent>
          <w:r w:rsidR="007E4089" w:rsidRPr="007E4089">
            <w:rPr>
              <w:color w:val="000000"/>
              <w:lang w:val="en-US"/>
            </w:rPr>
            <w:t>(Paulsrud et al., 1997).</w:t>
          </w:r>
        </w:sdtContent>
      </w:sdt>
      <w:r>
        <w:rPr>
          <w:lang w:val="en-US"/>
        </w:rPr>
        <w:t xml:space="preserve"> </w:t>
      </w:r>
      <w:r w:rsidR="009843AD">
        <w:rPr>
          <w:lang w:val="en-US"/>
        </w:rPr>
        <w:t xml:space="preserve">The distribution of PCBs was evenly distributed between the 7 PCBs in DSS1, DSS-2, and FWR, whereas LSS was dominated by PCB52 (60%). </w:t>
      </w:r>
    </w:p>
    <w:p w14:paraId="059E6426" w14:textId="2C39F8FB" w:rsidR="000D12AA" w:rsidRDefault="000D12AA" w:rsidP="000D12AA">
      <w:pPr>
        <w:pStyle w:val="Heading3"/>
        <w:rPr>
          <w:lang w:val="en-US"/>
        </w:rPr>
      </w:pPr>
      <w:r>
        <w:rPr>
          <w:lang w:val="en-US"/>
        </w:rPr>
        <w:t>PAHs in feedstocks</w:t>
      </w:r>
    </w:p>
    <w:p w14:paraId="782547DD" w14:textId="0996644F" w:rsidR="000D12AA" w:rsidRPr="002450C3" w:rsidRDefault="000D12AA" w:rsidP="00401EEE">
      <w:pPr>
        <w:ind w:firstLine="0"/>
        <w:rPr>
          <w:lang w:val="en-US"/>
        </w:rPr>
      </w:pPr>
      <w:r>
        <w:rPr>
          <w:lang w:val="en-US"/>
        </w:rPr>
        <w:t xml:space="preserve">PAHs are generally a product of combustion and </w:t>
      </w:r>
      <w:proofErr w:type="gramStart"/>
      <w:r>
        <w:rPr>
          <w:lang w:val="en-US"/>
        </w:rPr>
        <w:t>was</w:t>
      </w:r>
      <w:proofErr w:type="gramEnd"/>
      <w:r>
        <w:rPr>
          <w:lang w:val="en-US"/>
        </w:rPr>
        <w:t xml:space="preserve"> not expected to be present at high concentrations in the feedstocks. </w:t>
      </w:r>
      <w:r w:rsidR="00B25C73">
        <w:rPr>
          <w:lang w:val="en-US"/>
        </w:rPr>
        <w:t>However, a</w:t>
      </w:r>
      <w:r>
        <w:rPr>
          <w:lang w:val="en-US"/>
        </w:rPr>
        <w:t xml:space="preserve">ll 16 PAHs </w:t>
      </w:r>
      <w:proofErr w:type="gramStart"/>
      <w:r>
        <w:rPr>
          <w:lang w:val="en-US"/>
        </w:rPr>
        <w:t>analyzed for</w:t>
      </w:r>
      <w:proofErr w:type="gramEnd"/>
      <w:r>
        <w:rPr>
          <w:lang w:val="en-US"/>
        </w:rPr>
        <w:t xml:space="preserve"> were detected in the feedstocks except for in the wood chips (CWC) in concentrations ranging from 0.</w:t>
      </w:r>
      <w:r w:rsidR="004A0B82">
        <w:rPr>
          <w:lang w:val="en-US"/>
        </w:rPr>
        <w:t>38</w:t>
      </w:r>
      <w:r>
        <w:rPr>
          <w:lang w:val="en-US"/>
        </w:rPr>
        <w:t xml:space="preserve"> </w:t>
      </w:r>
      <w:r w:rsidR="004A0B82">
        <w:rPr>
          <w:lang w:val="en-US"/>
        </w:rPr>
        <w:t xml:space="preserve">± 0.01 </w:t>
      </w:r>
      <w:r w:rsidR="00FA4AE8">
        <w:rPr>
          <w:lang w:val="en-US"/>
        </w:rPr>
        <w:lastRenderedPageBreak/>
        <w:t>m</w:t>
      </w:r>
      <w:r>
        <w:rPr>
          <w:lang w:val="en-US"/>
        </w:rPr>
        <w:t xml:space="preserve">g </w:t>
      </w:r>
      <w:r w:rsidR="00FA4AE8">
        <w:rPr>
          <w:lang w:val="en-US"/>
        </w:rPr>
        <w:t>k</w:t>
      </w:r>
      <w:r>
        <w:rPr>
          <w:lang w:val="en-US"/>
        </w:rPr>
        <w:t>g</w:t>
      </w:r>
      <w:r>
        <w:rPr>
          <w:vertAlign w:val="superscript"/>
          <w:lang w:val="en-US"/>
        </w:rPr>
        <w:t xml:space="preserve">-1 </w:t>
      </w:r>
      <w:r>
        <w:rPr>
          <w:lang w:val="en-US"/>
        </w:rPr>
        <w:t>in food waste reject (FWR) to 5.0</w:t>
      </w:r>
      <w:r w:rsidR="004A0B82">
        <w:rPr>
          <w:lang w:val="en-US"/>
        </w:rPr>
        <w:t>5 ± 0.09</w:t>
      </w:r>
      <w:r>
        <w:rPr>
          <w:lang w:val="en-US"/>
        </w:rPr>
        <w:t xml:space="preserve">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waste timber (WT)</w:t>
      </w:r>
      <w:r w:rsidR="00FA4AE8">
        <w:rPr>
          <w:lang w:val="en-US"/>
        </w:rPr>
        <w:t xml:space="preserve"> (Figure S.</w:t>
      </w:r>
      <w:r w:rsidR="00FA4AE8" w:rsidRPr="004A0B82">
        <w:rPr>
          <w:highlight w:val="yellow"/>
          <w:lang w:val="en-US"/>
        </w:rPr>
        <w:t>X</w:t>
      </w:r>
      <w:r w:rsidR="00FA4AE8">
        <w:rPr>
          <w:lang w:val="en-US"/>
        </w:rPr>
        <w:t>)</w:t>
      </w:r>
      <w:r>
        <w:rPr>
          <w:lang w:val="en-US"/>
        </w:rPr>
        <w:t xml:space="preserve">. </w:t>
      </w:r>
      <w:r w:rsidR="0078661B">
        <w:rPr>
          <w:lang w:val="en-US"/>
        </w:rPr>
        <w:t xml:space="preserve">These concentrations are in the same range as the </w:t>
      </w:r>
      <w:r w:rsidR="00BB7217">
        <w:rPr>
          <w:lang w:val="en-US"/>
        </w:rPr>
        <w:t xml:space="preserve">lower </w:t>
      </w:r>
      <w:r w:rsidR="0078661B">
        <w:rPr>
          <w:lang w:val="en-US"/>
        </w:rPr>
        <w:t xml:space="preserve">range of </w:t>
      </w:r>
      <w:r w:rsidR="00BB7217">
        <w:rPr>
          <w:lang w:val="en-US"/>
        </w:rPr>
        <w:t xml:space="preserve">sum </w:t>
      </w:r>
      <w:r w:rsidR="0078661B">
        <w:rPr>
          <w:lang w:val="en-US"/>
        </w:rPr>
        <w:t>PAH</w:t>
      </w:r>
      <w:r w:rsidR="00BB7217">
        <w:rPr>
          <w:lang w:val="en-US"/>
        </w:rPr>
        <w:t>-16</w:t>
      </w:r>
      <w:r w:rsidR="0078661B">
        <w:rPr>
          <w:lang w:val="en-US"/>
        </w:rPr>
        <w:t xml:space="preserve"> </w:t>
      </w:r>
      <w:r w:rsidR="00BB7217">
        <w:rPr>
          <w:lang w:val="en-US"/>
        </w:rPr>
        <w:t>found in</w:t>
      </w:r>
      <w:r w:rsidR="0078661B">
        <w:rPr>
          <w:lang w:val="en-US"/>
        </w:rPr>
        <w:t xml:space="preserve"> 3</w:t>
      </w:r>
      <w:r w:rsidR="002450C3">
        <w:rPr>
          <w:lang w:val="en-US"/>
        </w:rPr>
        <w:t>6</w:t>
      </w:r>
      <w:r w:rsidR="0078661B">
        <w:rPr>
          <w:lang w:val="en-US"/>
        </w:rPr>
        <w:t xml:space="preserve"> different Norwegian sewage sludges (range 0.7-30, median 3.9 mg kg</w:t>
      </w:r>
      <w:r w:rsidR="0078661B">
        <w:rPr>
          <w:vertAlign w:val="superscript"/>
          <w:lang w:val="en-US"/>
        </w:rPr>
        <w:t>-1</w:t>
      </w:r>
      <w:r w:rsidR="0078661B">
        <w:rPr>
          <w:lang w:val="en-US"/>
        </w:rPr>
        <w:t xml:space="preserve">) </w:t>
      </w:r>
      <w:sdt>
        <w:sdtPr>
          <w:rPr>
            <w:color w:val="000000"/>
            <w:lang w:val="en-US"/>
          </w:rPr>
          <w:tag w:val="MENDELEY_CITATION_v3_eyJjaXRhdGlvbklEIjoiTUVOREVMRVlfQ0lUQVRJT05fMDE0MDMxZmItM2Y5NS00MDMzLThmZTktNWIwNTFhOGE4OGQ0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546976508"/>
          <w:placeholder>
            <w:docPart w:val="DefaultPlaceholder_-1854013440"/>
          </w:placeholder>
        </w:sdtPr>
        <w:sdtEndPr/>
        <w:sdtContent>
          <w:r w:rsidR="007E4089" w:rsidRPr="007E4089">
            <w:rPr>
              <w:color w:val="000000"/>
              <w:lang w:val="en-US"/>
            </w:rPr>
            <w:t>(Paulsrud et al., 1997).</w:t>
          </w:r>
        </w:sdtContent>
      </w:sdt>
    </w:p>
    <w:p w14:paraId="28859089" w14:textId="607D3B78" w:rsidR="000D12AA" w:rsidRPr="004A0B82" w:rsidRDefault="00D64F24" w:rsidP="004A0B82">
      <w:pPr>
        <w:pStyle w:val="Heading2"/>
      </w:pPr>
      <w:r>
        <w:t>Organic pollutants in biochars</w:t>
      </w:r>
    </w:p>
    <w:p w14:paraId="0547417A" w14:textId="6664D999" w:rsidR="004A0B82" w:rsidRDefault="00F0305F" w:rsidP="004A0B82">
      <w:pPr>
        <w:pStyle w:val="Heading3"/>
        <w:rPr>
          <w:lang w:val="en-US"/>
        </w:rPr>
      </w:pPr>
      <w:r>
        <w:rPr>
          <w:lang w:val="en-US"/>
        </w:rPr>
        <w:t>PCDD</w:t>
      </w:r>
      <w:r w:rsidR="004A0B82">
        <w:rPr>
          <w:lang w:val="en-US"/>
        </w:rPr>
        <w:t>/</w:t>
      </w:r>
      <w:r>
        <w:rPr>
          <w:lang w:val="en-US"/>
        </w:rPr>
        <w:t>PCDF</w:t>
      </w:r>
      <w:r w:rsidR="004A0B82">
        <w:rPr>
          <w:lang w:val="en-US"/>
        </w:rPr>
        <w:t>s in biochars</w:t>
      </w:r>
    </w:p>
    <w:p w14:paraId="28232E18" w14:textId="64E0A419" w:rsidR="00D16C7A" w:rsidRDefault="00FA4AE8" w:rsidP="00FA4AE8">
      <w:pPr>
        <w:ind w:firstLine="0"/>
        <w:rPr>
          <w:lang w:val="en-US"/>
        </w:rPr>
      </w:pPr>
      <w:r>
        <w:rPr>
          <w:lang w:val="en-US"/>
        </w:rPr>
        <w:t>Concentrations of ∑</w:t>
      </w:r>
      <w:r w:rsidR="00F0305F">
        <w:rPr>
          <w:lang w:val="en-US"/>
        </w:rPr>
        <w:t>PCDD</w:t>
      </w:r>
      <w:r>
        <w:rPr>
          <w:lang w:val="en-US"/>
        </w:rPr>
        <w:t>/</w:t>
      </w:r>
      <w:r w:rsidR="00F0305F">
        <w:rPr>
          <w:lang w:val="en-US"/>
        </w:rPr>
        <w:t>F</w:t>
      </w:r>
      <w:r w:rsidR="00AE3632">
        <w:rPr>
          <w:lang w:val="en-US"/>
        </w:rPr>
        <w:t>-17</w:t>
      </w:r>
      <w:r>
        <w:rPr>
          <w:lang w:val="en-US"/>
        </w:rPr>
        <w:t xml:space="preserve"> in the biochar samples ranged between 0.</w:t>
      </w:r>
      <w:r w:rsidR="00C31070">
        <w:rPr>
          <w:lang w:val="en-US"/>
        </w:rPr>
        <w:t>00</w:t>
      </w:r>
      <w:r>
        <w:rPr>
          <w:lang w:val="en-US"/>
        </w:rPr>
        <w:t>3 ng</w:t>
      </w:r>
      <w:r w:rsidR="00C31070">
        <w:rPr>
          <w:lang w:val="en-US"/>
        </w:rPr>
        <w:t xml:space="preserve"> TEQ</w:t>
      </w:r>
      <w:r>
        <w:rPr>
          <w:lang w:val="en-US"/>
        </w:rPr>
        <w:t xml:space="preserve"> kg</w:t>
      </w:r>
      <w:r>
        <w:rPr>
          <w:vertAlign w:val="superscript"/>
          <w:lang w:val="en-US"/>
        </w:rPr>
        <w:t>-1</w:t>
      </w:r>
      <w:r>
        <w:rPr>
          <w:lang w:val="en-US"/>
        </w:rPr>
        <w:t xml:space="preserve"> in</w:t>
      </w:r>
      <w:r w:rsidR="00C31070">
        <w:rPr>
          <w:lang w:val="en-US"/>
        </w:rPr>
        <w:t xml:space="preserve"> DSS</w:t>
      </w:r>
      <w:r>
        <w:rPr>
          <w:lang w:val="en-US"/>
        </w:rPr>
        <w:t>-</w:t>
      </w:r>
      <w:r w:rsidR="00C31070">
        <w:rPr>
          <w:lang w:val="en-US"/>
        </w:rPr>
        <w:t>1-</w:t>
      </w:r>
      <w:r>
        <w:rPr>
          <w:lang w:val="en-US"/>
        </w:rPr>
        <w:t xml:space="preserve">800 to </w:t>
      </w:r>
      <w:r w:rsidR="00C31070">
        <w:rPr>
          <w:lang w:val="en-US"/>
        </w:rPr>
        <w:t>0.07</w:t>
      </w:r>
      <w:r>
        <w:rPr>
          <w:lang w:val="en-US"/>
        </w:rPr>
        <w:t xml:space="preserve"> ng </w:t>
      </w:r>
      <w:r w:rsidR="00C31070">
        <w:rPr>
          <w:lang w:val="en-US"/>
        </w:rPr>
        <w:t xml:space="preserve">TEQ </w:t>
      </w:r>
      <w:r>
        <w:rPr>
          <w:lang w:val="en-US"/>
        </w:rPr>
        <w:t>kg</w:t>
      </w:r>
      <w:r>
        <w:rPr>
          <w:vertAlign w:val="superscript"/>
          <w:lang w:val="en-US"/>
        </w:rPr>
        <w:t>-1</w:t>
      </w:r>
      <w:r>
        <w:rPr>
          <w:lang w:val="en-US"/>
        </w:rPr>
        <w:t xml:space="preserve"> in FWR-600 and were thus</w:t>
      </w:r>
      <w:r w:rsidR="008D4541">
        <w:rPr>
          <w:lang w:val="en-US"/>
        </w:rPr>
        <w:t xml:space="preserve"> 2-3 orders of magnitude lower than in the original feedstocks</w:t>
      </w:r>
      <w:r>
        <w:rPr>
          <w:lang w:val="en-US"/>
        </w:rPr>
        <w:t xml:space="preserve"> (details on removal efficiency in section x, table x). </w:t>
      </w:r>
      <w:r w:rsidR="009D4FB9">
        <w:rPr>
          <w:lang w:val="en-US"/>
        </w:rPr>
        <w:t>There was no significant (p&gt;0.05) linear relationship between reduction in dioxin concentration and pyrolysis temperature. However, for FWR, the concentration of dioxins decreased by one order of magnitude from 600 to 800 ˚C</w:t>
      </w:r>
      <w:r w:rsidR="00C31070">
        <w:rPr>
          <w:lang w:val="en-US"/>
        </w:rPr>
        <w:t xml:space="preserve"> whereas the to other feedstocks (DSS-1 and DSS-2) stayed within the same order of magnitude for all temperatures (except for DSS-1-800 that dropped one order). </w:t>
      </w:r>
    </w:p>
    <w:p w14:paraId="01D302BD" w14:textId="0AF9B94F" w:rsidR="00D16C7A" w:rsidRDefault="00D16C7A" w:rsidP="00D16C7A">
      <w:pPr>
        <w:rPr>
          <w:lang w:val="en-US"/>
        </w:rPr>
      </w:pPr>
      <w:r>
        <w:rPr>
          <w:lang w:val="en-US"/>
        </w:rPr>
        <w:t xml:space="preserve">Pyrolysis reduced the variety of dioxin congeners – the biochar samples contained </w:t>
      </w:r>
      <w:r w:rsidR="000C47F4">
        <w:rPr>
          <w:lang w:val="en-US"/>
        </w:rPr>
        <w:t xml:space="preserve">43-86 </w:t>
      </w:r>
      <w:r>
        <w:rPr>
          <w:lang w:val="en-US"/>
        </w:rPr>
        <w:t xml:space="preserve">% </w:t>
      </w:r>
      <w:r w:rsidR="007055B9">
        <w:rPr>
          <w:lang w:val="en-US"/>
        </w:rPr>
        <w:t xml:space="preserve">(R: congeners) </w:t>
      </w:r>
      <w:r>
        <w:rPr>
          <w:lang w:val="en-US"/>
        </w:rPr>
        <w:t>fewer congeners</w:t>
      </w:r>
      <w:r w:rsidR="000C47F4">
        <w:rPr>
          <w:lang w:val="en-US"/>
        </w:rPr>
        <w:t xml:space="preserve"> (mean 69 ± 12%</w:t>
      </w:r>
      <w:r w:rsidR="007055B9">
        <w:rPr>
          <w:lang w:val="en-US"/>
        </w:rPr>
        <w:t xml:space="preserve">, R: </w:t>
      </w:r>
      <w:proofErr w:type="spellStart"/>
      <w:r w:rsidR="007055B9">
        <w:rPr>
          <w:lang w:val="en-US"/>
        </w:rPr>
        <w:t>congeners_avg</w:t>
      </w:r>
      <w:proofErr w:type="spellEnd"/>
      <w:r w:rsidR="000C47F4">
        <w:rPr>
          <w:lang w:val="en-US"/>
        </w:rPr>
        <w:t>)</w:t>
      </w:r>
      <w:r>
        <w:rPr>
          <w:lang w:val="en-US"/>
        </w:rPr>
        <w:t xml:space="preserve"> than their feedstock materials (Figure S.</w:t>
      </w:r>
      <w:r w:rsidRPr="00D16C7A">
        <w:rPr>
          <w:highlight w:val="yellow"/>
          <w:lang w:val="en-US"/>
        </w:rPr>
        <w:t>X</w:t>
      </w:r>
      <w:r w:rsidR="000C47F4">
        <w:rPr>
          <w:lang w:val="en-US"/>
        </w:rPr>
        <w:t>, haven’t made yet</w:t>
      </w:r>
      <w:r>
        <w:rPr>
          <w:lang w:val="en-US"/>
        </w:rPr>
        <w:t>)</w:t>
      </w:r>
      <w:r w:rsidR="009B3805">
        <w:rPr>
          <w:lang w:val="en-US"/>
        </w:rPr>
        <w:t>. The most persistent diox</w:t>
      </w:r>
      <w:r w:rsidR="007055B9">
        <w:rPr>
          <w:lang w:val="en-US"/>
        </w:rPr>
        <w:t xml:space="preserve">ins toward thermal degradation </w:t>
      </w:r>
      <w:proofErr w:type="gramStart"/>
      <w:r w:rsidR="007055B9">
        <w:rPr>
          <w:lang w:val="en-US"/>
        </w:rPr>
        <w:t>was</w:t>
      </w:r>
      <w:proofErr w:type="gramEnd"/>
      <w:r w:rsidR="007055B9">
        <w:rPr>
          <w:lang w:val="en-US"/>
        </w:rPr>
        <w:t xml:space="preserve"> </w:t>
      </w:r>
      <w:r w:rsidR="009B3805">
        <w:rPr>
          <w:lang w:val="en-US"/>
        </w:rPr>
        <w:t>1,2,3,4,6,7,8-HpCDD</w:t>
      </w:r>
      <w:r w:rsidR="007055B9">
        <w:rPr>
          <w:lang w:val="en-US"/>
        </w:rPr>
        <w:t xml:space="preserve"> which</w:t>
      </w:r>
      <w:r w:rsidR="009B3805">
        <w:rPr>
          <w:lang w:val="en-US"/>
        </w:rPr>
        <w:t xml:space="preserve"> was found in all feedstocks and biochar samples</w:t>
      </w:r>
      <w:r w:rsidR="007055B9">
        <w:rPr>
          <w:lang w:val="en-US"/>
        </w:rPr>
        <w:t xml:space="preserve"> at each temperature. OCDD was found in 90% of the biochars (R: </w:t>
      </w:r>
      <w:proofErr w:type="spellStart"/>
      <w:r w:rsidR="007055B9">
        <w:rPr>
          <w:lang w:val="en-US"/>
        </w:rPr>
        <w:t>congeners_poll</w:t>
      </w:r>
      <w:proofErr w:type="spellEnd"/>
      <w:r w:rsidR="002D5589">
        <w:rPr>
          <w:lang w:val="en-US"/>
        </w:rPr>
        <w:t>)</w:t>
      </w:r>
      <w:r w:rsidR="007055B9">
        <w:rPr>
          <w:lang w:val="en-US"/>
        </w:rPr>
        <w:t xml:space="preserve">. Overall, the HxCDFs, HxCDDs, PeCDFs and PeCDDs were most easily degraded. </w:t>
      </w:r>
    </w:p>
    <w:p w14:paraId="5814D81F" w14:textId="00CBD650" w:rsidR="003B4ED9" w:rsidRPr="004261AC" w:rsidRDefault="00AA088B" w:rsidP="003B4ED9">
      <w:pPr>
        <w:rPr>
          <w:lang w:val="en-US"/>
        </w:rPr>
      </w:pPr>
      <w:sdt>
        <w:sdtPr>
          <w:rPr>
            <w:color w:val="000000"/>
            <w:lang w:val="en-US"/>
          </w:rPr>
          <w:tag w:val="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
          <w:id w:val="-488167337"/>
          <w:placeholder>
            <w:docPart w:val="2A67E9804710459EB5384A33DB72BE3C"/>
          </w:placeholder>
        </w:sdtPr>
        <w:sdtEndPr/>
        <w:sdtContent>
          <w:r w:rsidR="007E4089" w:rsidRPr="007E4089">
            <w:rPr>
              <w:color w:val="000000"/>
              <w:lang w:val="en-US"/>
            </w:rPr>
            <w:t>(Hu et al., 2007)</w:t>
          </w:r>
        </w:sdtContent>
      </w:sdt>
      <w:r w:rsidR="003B4ED9" w:rsidRPr="004261AC">
        <w:rPr>
          <w:color w:val="000000"/>
          <w:lang w:val="en-US"/>
        </w:rPr>
        <w:t xml:space="preserve"> found that on</w:t>
      </w:r>
      <w:r w:rsidR="003B4ED9">
        <w:rPr>
          <w:color w:val="000000"/>
          <w:lang w:val="en-US"/>
        </w:rPr>
        <w:t>ly 0.000085 pg TEQ g</w:t>
      </w:r>
      <w:r w:rsidR="003B4ED9">
        <w:rPr>
          <w:color w:val="000000"/>
          <w:vertAlign w:val="superscript"/>
          <w:lang w:val="en-US"/>
        </w:rPr>
        <w:t>-1</w:t>
      </w:r>
      <w:r w:rsidR="003B4ED9">
        <w:rPr>
          <w:color w:val="000000"/>
          <w:lang w:val="en-US"/>
        </w:rPr>
        <w:t xml:space="preserve"> was detected in char from pyrolysis of contaminated sediments at 800 ˚C and a residence time of 30 minutes. This is five to six orders of magnitude lower than the biochar concentrations in this study, however, removal efficiency </w:t>
      </w:r>
      <w:proofErr w:type="gramStart"/>
      <w:r w:rsidR="003B4ED9">
        <w:rPr>
          <w:color w:val="000000"/>
          <w:lang w:val="en-US"/>
        </w:rPr>
        <w:t>are</w:t>
      </w:r>
      <w:proofErr w:type="gramEnd"/>
      <w:r w:rsidR="003B4ED9">
        <w:rPr>
          <w:color w:val="000000"/>
          <w:lang w:val="en-US"/>
        </w:rPr>
        <w:t xml:space="preserve"> still above 99% (see section x). The study proposed that volatilization was the main mechanism of removal for PCDD/Fs</w:t>
      </w:r>
    </w:p>
    <w:p w14:paraId="336852C6" w14:textId="77777777" w:rsidR="003B4ED9" w:rsidRPr="00FA4AE8" w:rsidRDefault="003B4ED9" w:rsidP="00D16C7A">
      <w:pPr>
        <w:rPr>
          <w:lang w:val="en-US"/>
        </w:rPr>
      </w:pPr>
    </w:p>
    <w:p w14:paraId="0D24706B" w14:textId="6A999E2E" w:rsidR="001F6F62" w:rsidRDefault="00AA088B" w:rsidP="004A0B82">
      <w:pPr>
        <w:keepNext/>
        <w:spacing w:line="240" w:lineRule="auto"/>
        <w:ind w:firstLine="0"/>
      </w:pPr>
      <w:r>
        <w:rPr>
          <w:noProof/>
          <w:lang w:val="en-US"/>
        </w:rPr>
        <w:pict w14:anchorId="5B600C8E">
          <v:rect id="_x0000_s1027" style="position:absolute;margin-left:321.35pt;margin-top:263.45pt;width:131.6pt;height:15.15pt;z-index:251659264" strokecolor="white [3212]"/>
        </w:pict>
      </w:r>
      <w:r w:rsidR="007E0F21">
        <w:rPr>
          <w:noProof/>
          <w:lang w:val="en-US"/>
        </w:rPr>
        <w:drawing>
          <wp:inline distT="0" distB="0" distL="0" distR="0" wp14:anchorId="5947BDBF" wp14:editId="3810765D">
            <wp:extent cx="5753100" cy="4248150"/>
            <wp:effectExtent l="0" t="0" r="0" b="0"/>
            <wp:docPr id="53050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58E2C72" w14:textId="7683FD94" w:rsidR="001F6F62" w:rsidRPr="005C3A6C" w:rsidRDefault="001F6F62" w:rsidP="001F6F62">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F36692">
        <w:rPr>
          <w:noProof/>
          <w:lang w:val="en-US"/>
        </w:rPr>
        <w:t>1</w:t>
      </w:r>
      <w:r>
        <w:fldChar w:fldCharType="end"/>
      </w:r>
      <w:r w:rsidRPr="001F6F62">
        <w:rPr>
          <w:lang w:val="en-US"/>
        </w:rPr>
        <w:t xml:space="preserve"> </w:t>
      </w:r>
      <w:r w:rsidR="00F26B28">
        <w:rPr>
          <w:lang w:val="en-US"/>
        </w:rPr>
        <w:t xml:space="preserve">Total </w:t>
      </w:r>
      <w:r w:rsidR="00F0305F">
        <w:rPr>
          <w:lang w:val="en-US"/>
        </w:rPr>
        <w:t>PCDD</w:t>
      </w:r>
      <w:r w:rsidR="003A5D71">
        <w:rPr>
          <w:lang w:val="en-US"/>
        </w:rPr>
        <w:t>/</w:t>
      </w:r>
      <w:r w:rsidR="00F0305F">
        <w:rPr>
          <w:lang w:val="en-US"/>
        </w:rPr>
        <w:t>F</w:t>
      </w:r>
      <w:r w:rsidR="003A5D71">
        <w:rPr>
          <w:lang w:val="en-US"/>
        </w:rPr>
        <w:t xml:space="preserve"> </w:t>
      </w:r>
      <w:r w:rsidR="00A21F27">
        <w:rPr>
          <w:lang w:val="en-US"/>
        </w:rPr>
        <w:t xml:space="preserve">concentrations as </w:t>
      </w:r>
      <w:r>
        <w:rPr>
          <w:lang w:val="en-US"/>
        </w:rPr>
        <w:t>toxic equivalen</w:t>
      </w:r>
      <w:r w:rsidR="003A5D71">
        <w:rPr>
          <w:lang w:val="en-US"/>
        </w:rPr>
        <w:t>ts</w:t>
      </w:r>
      <w:r>
        <w:rPr>
          <w:lang w:val="en-US"/>
        </w:rPr>
        <w:t xml:space="preserve"> (</w:t>
      </w:r>
      <w:r w:rsidR="00F26B28">
        <w:rPr>
          <w:lang w:val="en-US"/>
        </w:rPr>
        <w:t>n</w:t>
      </w:r>
      <w:r>
        <w:rPr>
          <w:lang w:val="en-US"/>
        </w:rPr>
        <w:t xml:space="preserve">g </w:t>
      </w:r>
      <w:r w:rsidR="003A5D71">
        <w:rPr>
          <w:lang w:val="en-US"/>
        </w:rPr>
        <w:t>TE</w:t>
      </w:r>
      <w:r w:rsidR="003333FF">
        <w:rPr>
          <w:lang w:val="en-US"/>
        </w:rPr>
        <w:t>Q</w:t>
      </w:r>
      <w:r w:rsidR="003A5D71">
        <w:rPr>
          <w:lang w:val="en-US"/>
        </w:rPr>
        <w:t xml:space="preserve"> </w:t>
      </w:r>
      <w:r w:rsidR="00F26B28">
        <w:rPr>
          <w:lang w:val="en-US"/>
        </w:rPr>
        <w:t>k</w:t>
      </w:r>
      <w:r>
        <w:rPr>
          <w:lang w:val="en-US"/>
        </w:rPr>
        <w:t>g</w:t>
      </w:r>
      <w:r>
        <w:rPr>
          <w:vertAlign w:val="superscript"/>
          <w:lang w:val="en-US"/>
        </w:rPr>
        <w:t>-1</w:t>
      </w:r>
      <w:r>
        <w:rPr>
          <w:lang w:val="en-US"/>
        </w:rPr>
        <w:t xml:space="preserve">) </w:t>
      </w:r>
      <w:r w:rsidR="00A21F27">
        <w:rPr>
          <w:lang w:val="en-US"/>
        </w:rPr>
        <w:t>before and after pyrolysis treatment at increasing temperatures for the different feedstocks tested</w:t>
      </w:r>
      <w:r>
        <w:rPr>
          <w:lang w:val="en-US"/>
        </w:rPr>
        <w:t xml:space="preserve">. </w:t>
      </w:r>
    </w:p>
    <w:p w14:paraId="304D86FD" w14:textId="6B13D9C1" w:rsidR="005C3A6C" w:rsidRPr="005C3A6C" w:rsidRDefault="005C3A6C" w:rsidP="001F6F62">
      <w:pPr>
        <w:pStyle w:val="Caption"/>
        <w:rPr>
          <w:lang w:val="en-US"/>
        </w:rPr>
      </w:pPr>
    </w:p>
    <w:p w14:paraId="7A608A16" w14:textId="219A3914" w:rsidR="00D64F24" w:rsidRDefault="00D64F24" w:rsidP="00D64F24">
      <w:pPr>
        <w:pStyle w:val="Heading3"/>
        <w:rPr>
          <w:lang w:val="en-US"/>
        </w:rPr>
      </w:pPr>
      <w:r>
        <w:rPr>
          <w:lang w:val="en-US"/>
        </w:rPr>
        <w:t>PCBs</w:t>
      </w:r>
      <w:r w:rsidR="00401EEE">
        <w:rPr>
          <w:lang w:val="en-US"/>
        </w:rPr>
        <w:t xml:space="preserve"> in biochars</w:t>
      </w:r>
    </w:p>
    <w:p w14:paraId="348C6785" w14:textId="7DCF182F" w:rsidR="00AE3632" w:rsidRPr="00AE3632" w:rsidRDefault="00AE3632" w:rsidP="004C5501">
      <w:pPr>
        <w:ind w:firstLine="0"/>
        <w:rPr>
          <w:lang w:val="en-US"/>
        </w:rPr>
      </w:pPr>
      <w:r>
        <w:rPr>
          <w:lang w:val="en-US"/>
        </w:rPr>
        <w:t xml:space="preserve">Concentrations of ∑PCB-7 in the biochar samples ranged </w:t>
      </w:r>
      <w:r w:rsidR="002D5589">
        <w:rPr>
          <w:lang w:val="en-US"/>
        </w:rPr>
        <w:t>from</w:t>
      </w:r>
      <w:r>
        <w:rPr>
          <w:lang w:val="en-US"/>
        </w:rPr>
        <w:t xml:space="preserve"> </w:t>
      </w:r>
      <w:r w:rsidR="00DC7B73">
        <w:rPr>
          <w:lang w:val="en-US"/>
        </w:rPr>
        <w:t>&lt;LOQ (DSS-1-600) to 1.7 µg kg</w:t>
      </w:r>
      <w:r>
        <w:rPr>
          <w:vertAlign w:val="superscript"/>
          <w:lang w:val="en-US"/>
        </w:rPr>
        <w:t>-1</w:t>
      </w:r>
      <w:r>
        <w:rPr>
          <w:lang w:val="en-US"/>
        </w:rPr>
        <w:t xml:space="preserve"> </w:t>
      </w:r>
      <w:r w:rsidR="00DC7B73">
        <w:rPr>
          <w:lang w:val="en-US"/>
        </w:rPr>
        <w:t>(</w:t>
      </w:r>
      <w:r>
        <w:rPr>
          <w:lang w:val="en-US"/>
        </w:rPr>
        <w:t>DSS-1-</w:t>
      </w:r>
      <w:r w:rsidR="00DC7B73">
        <w:rPr>
          <w:lang w:val="en-US"/>
        </w:rPr>
        <w:t>5</w:t>
      </w:r>
      <w:r>
        <w:rPr>
          <w:lang w:val="en-US"/>
        </w:rPr>
        <w:t>00</w:t>
      </w:r>
      <w:r w:rsidR="00DC7B73">
        <w:rPr>
          <w:lang w:val="en-US"/>
        </w:rPr>
        <w:t>)</w:t>
      </w:r>
      <w:r>
        <w:rPr>
          <w:lang w:val="en-US"/>
        </w:rPr>
        <w:t xml:space="preserve"> and were thus </w:t>
      </w:r>
      <w:r w:rsidR="00DC7B73">
        <w:rPr>
          <w:lang w:val="en-US"/>
        </w:rPr>
        <w:t>1-2</w:t>
      </w:r>
      <w:r>
        <w:rPr>
          <w:lang w:val="en-US"/>
        </w:rPr>
        <w:t xml:space="preserve"> orders of magnitude lower than in the original feedstocks (details on removal efficiency in </w:t>
      </w:r>
      <w:r w:rsidR="002D5589">
        <w:rPr>
          <w:lang w:val="en-US"/>
        </w:rPr>
        <w:t xml:space="preserve">Section </w:t>
      </w:r>
      <w:r w:rsidR="002D5589">
        <w:rPr>
          <w:lang w:val="en-US"/>
        </w:rPr>
        <w:fldChar w:fldCharType="begin"/>
      </w:r>
      <w:r w:rsidR="002D5589">
        <w:rPr>
          <w:lang w:val="en-US"/>
        </w:rPr>
        <w:instrText xml:space="preserve"> REF _Ref131168550 \r \h </w:instrText>
      </w:r>
      <w:r w:rsidR="002D5589">
        <w:rPr>
          <w:lang w:val="en-US"/>
        </w:rPr>
      </w:r>
      <w:r w:rsidR="002D5589">
        <w:rPr>
          <w:lang w:val="en-US"/>
        </w:rPr>
        <w:fldChar w:fldCharType="separate"/>
      </w:r>
      <w:r w:rsidR="00F36692">
        <w:rPr>
          <w:lang w:val="en-US"/>
        </w:rPr>
        <w:t>3.3</w:t>
      </w:r>
      <w:r w:rsidR="002D5589">
        <w:rPr>
          <w:lang w:val="en-US"/>
        </w:rPr>
        <w:fldChar w:fldCharType="end"/>
      </w:r>
      <w:r>
        <w:rPr>
          <w:lang w:val="en-US"/>
        </w:rPr>
        <w:t xml:space="preserve">, </w:t>
      </w:r>
      <w:r w:rsidR="002D5589">
        <w:rPr>
          <w:lang w:val="en-US"/>
        </w:rPr>
        <w:fldChar w:fldCharType="begin"/>
      </w:r>
      <w:r w:rsidR="002D5589">
        <w:rPr>
          <w:lang w:val="en-US"/>
        </w:rPr>
        <w:instrText xml:space="preserve"> REF _Ref131066803 \h </w:instrText>
      </w:r>
      <w:r w:rsidR="002D5589">
        <w:rPr>
          <w:lang w:val="en-US"/>
        </w:rPr>
      </w:r>
      <w:r w:rsidR="002D5589">
        <w:rPr>
          <w:lang w:val="en-US"/>
        </w:rPr>
        <w:fldChar w:fldCharType="separate"/>
      </w:r>
      <w:r w:rsidR="00F36692" w:rsidRPr="006D1D58">
        <w:rPr>
          <w:lang w:val="en-US"/>
        </w:rPr>
        <w:t xml:space="preserve">Table </w:t>
      </w:r>
      <w:r w:rsidR="00F36692">
        <w:rPr>
          <w:noProof/>
          <w:lang w:val="en-US"/>
        </w:rPr>
        <w:t>2</w:t>
      </w:r>
      <w:r w:rsidR="002D5589">
        <w:rPr>
          <w:lang w:val="en-US"/>
        </w:rPr>
        <w:fldChar w:fldCharType="end"/>
      </w:r>
      <w:r>
        <w:rPr>
          <w:lang w:val="en-US"/>
        </w:rPr>
        <w:t xml:space="preserve">). </w:t>
      </w:r>
      <w:r w:rsidR="004C5501">
        <w:rPr>
          <w:lang w:val="en-US"/>
        </w:rPr>
        <w:t>All biochar samples were below the European Biochar threshold for premium quality biochar for sum TEQ PCDD/F of &lt;20 ng kg</w:t>
      </w:r>
      <w:r w:rsidR="004C5501">
        <w:rPr>
          <w:vertAlign w:val="superscript"/>
          <w:lang w:val="en-US"/>
        </w:rPr>
        <w:t xml:space="preserve">-1 </w:t>
      </w:r>
      <w:sdt>
        <w:sdtPr>
          <w:rPr>
            <w:color w:val="000000"/>
            <w:lang w:val="en-US"/>
          </w:rPr>
          <w:tag w:val="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1440032859"/>
          <w:placeholder>
            <w:docPart w:val="5098286C7FA045FCAAEC9CDCFA995527"/>
          </w:placeholder>
        </w:sdtPr>
        <w:sdtEndPr/>
        <w:sdtContent>
          <w:r w:rsidR="007E4089" w:rsidRPr="007E4089">
            <w:rPr>
              <w:color w:val="000000"/>
              <w:lang w:val="en-US"/>
            </w:rPr>
            <w:t>(EBC, 2022)</w:t>
          </w:r>
        </w:sdtContent>
      </w:sdt>
      <w:r w:rsidR="004C5501">
        <w:rPr>
          <w:color w:val="000000"/>
          <w:lang w:val="en-US"/>
        </w:rPr>
        <w:t xml:space="preserve">. </w:t>
      </w:r>
      <w:r>
        <w:rPr>
          <w:lang w:val="en-US"/>
        </w:rPr>
        <w:t xml:space="preserve">There was no significant (p&gt;0.05) linear relationship between reduction in </w:t>
      </w:r>
      <w:r w:rsidR="00DC7B73">
        <w:rPr>
          <w:lang w:val="en-US"/>
        </w:rPr>
        <w:t>PCB</w:t>
      </w:r>
      <w:r>
        <w:rPr>
          <w:lang w:val="en-US"/>
        </w:rPr>
        <w:t xml:space="preserve"> concentration and pyrolysis temperature. However, for </w:t>
      </w:r>
      <w:r w:rsidR="00DC7B73">
        <w:rPr>
          <w:lang w:val="en-US"/>
        </w:rPr>
        <w:t>DSS-1</w:t>
      </w:r>
      <w:r>
        <w:rPr>
          <w:lang w:val="en-US"/>
        </w:rPr>
        <w:t xml:space="preserve">, the concentration of </w:t>
      </w:r>
      <w:r w:rsidR="00DC7B73">
        <w:rPr>
          <w:lang w:val="en-US"/>
        </w:rPr>
        <w:t xml:space="preserve">PCBs </w:t>
      </w:r>
      <w:r w:rsidR="002D5589">
        <w:rPr>
          <w:lang w:val="en-US"/>
        </w:rPr>
        <w:t xml:space="preserve">decreased </w:t>
      </w:r>
      <w:r w:rsidR="00DC7B73">
        <w:rPr>
          <w:lang w:val="en-US"/>
        </w:rPr>
        <w:t>from 500 to 700 to 800</w:t>
      </w:r>
      <w:r>
        <w:rPr>
          <w:lang w:val="en-US"/>
        </w:rPr>
        <w:t xml:space="preserve"> </w:t>
      </w:r>
      <w:r w:rsidR="00DC7B73">
        <w:rPr>
          <w:lang w:val="en-US"/>
        </w:rPr>
        <w:t xml:space="preserve">˚C </w:t>
      </w:r>
      <w:r w:rsidR="002D5589">
        <w:rPr>
          <w:lang w:val="en-US"/>
        </w:rPr>
        <w:t>(&lt;</w:t>
      </w:r>
      <w:r w:rsidR="00DC7B73">
        <w:rPr>
          <w:lang w:val="en-US"/>
        </w:rPr>
        <w:t>LOQ at 600 ˚C</w:t>
      </w:r>
      <w:r w:rsidR="002D5589">
        <w:rPr>
          <w:lang w:val="en-US"/>
        </w:rPr>
        <w:t>)</w:t>
      </w:r>
      <w:r w:rsidR="00DC7B73">
        <w:rPr>
          <w:lang w:val="en-US"/>
        </w:rPr>
        <w:t xml:space="preserve">. The other feedstocks </w:t>
      </w:r>
      <w:r>
        <w:rPr>
          <w:lang w:val="en-US"/>
        </w:rPr>
        <w:t>(DSS-</w:t>
      </w:r>
      <w:r w:rsidR="00302BD5">
        <w:rPr>
          <w:lang w:val="en-US"/>
        </w:rPr>
        <w:t>2</w:t>
      </w:r>
      <w:r>
        <w:rPr>
          <w:lang w:val="en-US"/>
        </w:rPr>
        <w:t xml:space="preserve"> and </w:t>
      </w:r>
      <w:r w:rsidR="00302BD5">
        <w:rPr>
          <w:lang w:val="en-US"/>
        </w:rPr>
        <w:t>LSS</w:t>
      </w:r>
      <w:r>
        <w:rPr>
          <w:lang w:val="en-US"/>
        </w:rPr>
        <w:t xml:space="preserve">) </w:t>
      </w:r>
      <w:r w:rsidR="004C5501">
        <w:rPr>
          <w:lang w:val="en-US"/>
        </w:rPr>
        <w:t>were</w:t>
      </w:r>
      <w:r>
        <w:rPr>
          <w:lang w:val="en-US"/>
        </w:rPr>
        <w:t xml:space="preserve"> within the same order of magnitude for all temperatures</w:t>
      </w:r>
      <w:r w:rsidR="00302BD5">
        <w:rPr>
          <w:lang w:val="en-US"/>
        </w:rPr>
        <w:t>.</w:t>
      </w:r>
    </w:p>
    <w:p w14:paraId="5CB41944" w14:textId="7287EC9A" w:rsidR="000C47F4" w:rsidRPr="000C47F4" w:rsidRDefault="000C47F4" w:rsidP="004C5501">
      <w:pPr>
        <w:rPr>
          <w:lang w:val="en-US"/>
        </w:rPr>
      </w:pPr>
      <w:r>
        <w:rPr>
          <w:lang w:val="en-US"/>
        </w:rPr>
        <w:lastRenderedPageBreak/>
        <w:t>Pyrolysis reduced the variety of PCB congeners – the biochar samples contained 14</w:t>
      </w:r>
      <w:r w:rsidR="009B3805">
        <w:rPr>
          <w:lang w:val="en-US"/>
        </w:rPr>
        <w:t>-100</w:t>
      </w:r>
      <w:r>
        <w:rPr>
          <w:lang w:val="en-US"/>
        </w:rPr>
        <w:t xml:space="preserve">% </w:t>
      </w:r>
      <w:r w:rsidR="004C5501">
        <w:rPr>
          <w:lang w:val="en-US"/>
        </w:rPr>
        <w:t xml:space="preserve">(R: congeners) </w:t>
      </w:r>
      <w:r>
        <w:rPr>
          <w:lang w:val="en-US"/>
        </w:rPr>
        <w:t xml:space="preserve">fewer congeners (mean </w:t>
      </w:r>
      <w:r w:rsidR="009B3805">
        <w:rPr>
          <w:lang w:val="en-US"/>
        </w:rPr>
        <w:t>5</w:t>
      </w:r>
      <w:r>
        <w:rPr>
          <w:lang w:val="en-US"/>
        </w:rPr>
        <w:t xml:space="preserve">9 ± </w:t>
      </w:r>
      <w:r w:rsidR="009B3805">
        <w:rPr>
          <w:lang w:val="en-US"/>
        </w:rPr>
        <w:t>25</w:t>
      </w:r>
      <w:r>
        <w:rPr>
          <w:lang w:val="en-US"/>
        </w:rPr>
        <w:t>%</w:t>
      </w:r>
      <w:r w:rsidR="004C5501">
        <w:rPr>
          <w:lang w:val="en-US"/>
        </w:rPr>
        <w:t xml:space="preserve">, R: </w:t>
      </w:r>
      <w:proofErr w:type="spellStart"/>
      <w:r w:rsidR="004C5501">
        <w:rPr>
          <w:lang w:val="en-US"/>
        </w:rPr>
        <w:t>congeners_avg</w:t>
      </w:r>
      <w:proofErr w:type="spellEnd"/>
      <w:r>
        <w:rPr>
          <w:lang w:val="en-US"/>
        </w:rPr>
        <w:t>) than their feedstock materials (Figure S.</w:t>
      </w:r>
      <w:r w:rsidRPr="00D16C7A">
        <w:rPr>
          <w:highlight w:val="yellow"/>
          <w:lang w:val="en-US"/>
        </w:rPr>
        <w:t>X</w:t>
      </w:r>
      <w:r>
        <w:rPr>
          <w:lang w:val="en-US"/>
        </w:rPr>
        <w:t>, haven’t made yet)</w:t>
      </w:r>
      <w:r w:rsidR="009B3805">
        <w:rPr>
          <w:lang w:val="en-US"/>
        </w:rPr>
        <w:t>.</w:t>
      </w:r>
      <w:r w:rsidR="00AE3632">
        <w:rPr>
          <w:lang w:val="en-US"/>
        </w:rPr>
        <w:t xml:space="preserve"> </w:t>
      </w:r>
      <w:r w:rsidR="00F97E98">
        <w:rPr>
          <w:lang w:val="en-US"/>
        </w:rPr>
        <w:t>The most persistent PCBs toward thermal degradation was</w:t>
      </w:r>
      <w:r w:rsidR="00AE3632">
        <w:rPr>
          <w:lang w:val="en-US"/>
        </w:rPr>
        <w:t xml:space="preserve"> PCB153</w:t>
      </w:r>
      <w:r w:rsidR="00302BD5">
        <w:rPr>
          <w:lang w:val="en-US"/>
        </w:rPr>
        <w:t xml:space="preserve"> (6 Cl atoms)</w:t>
      </w:r>
      <w:r w:rsidR="00AE3632">
        <w:rPr>
          <w:lang w:val="en-US"/>
        </w:rPr>
        <w:t xml:space="preserve">, which was found in 90% of the biochars at all temperatures. PCB180 </w:t>
      </w:r>
      <w:r w:rsidR="00302BD5">
        <w:rPr>
          <w:lang w:val="en-US"/>
        </w:rPr>
        <w:t xml:space="preserve">(7 Cl atoms) </w:t>
      </w:r>
      <w:r w:rsidR="00AE3632">
        <w:rPr>
          <w:lang w:val="en-US"/>
        </w:rPr>
        <w:t xml:space="preserve">was degraded at all temperatures. </w:t>
      </w:r>
      <w:r w:rsidR="002D5589">
        <w:rPr>
          <w:lang w:val="en-US"/>
        </w:rPr>
        <w:t>Thus</w:t>
      </w:r>
      <w:r w:rsidR="00302BD5">
        <w:rPr>
          <w:lang w:val="en-US"/>
        </w:rPr>
        <w:t xml:space="preserve">, </w:t>
      </w:r>
      <w:r w:rsidR="00AE3632">
        <w:rPr>
          <w:lang w:val="en-US"/>
        </w:rPr>
        <w:t>there was no trend between the degree of chlorination and resistance towards thermal degradation</w:t>
      </w:r>
      <w:r w:rsidR="008B7646">
        <w:rPr>
          <w:lang w:val="en-US"/>
        </w:rPr>
        <w:t xml:space="preserve"> that could be expected based on the literature</w:t>
      </w:r>
      <w:r w:rsidR="00B3120A">
        <w:rPr>
          <w:lang w:val="en-US"/>
        </w:rPr>
        <w:t xml:space="preserve"> (ref. </w:t>
      </w:r>
      <w:proofErr w:type="spellStart"/>
      <w:r w:rsidR="00B3120A">
        <w:rPr>
          <w:lang w:val="en-US"/>
        </w:rPr>
        <w:t>Ecke</w:t>
      </w:r>
      <w:proofErr w:type="spellEnd"/>
      <w:r w:rsidR="00B3120A">
        <w:rPr>
          <w:lang w:val="en-US"/>
        </w:rPr>
        <w:t xml:space="preserve">). </w:t>
      </w:r>
    </w:p>
    <w:p w14:paraId="4C8AE64A" w14:textId="1E8D97D5" w:rsidR="001F6F62" w:rsidRDefault="00AA088B" w:rsidP="004A0B82">
      <w:pPr>
        <w:keepNext/>
        <w:spacing w:line="240" w:lineRule="auto"/>
        <w:ind w:firstLine="0"/>
      </w:pPr>
      <w:r>
        <w:rPr>
          <w:noProof/>
          <w:lang w:val="en-US"/>
        </w:rPr>
        <w:pict w14:anchorId="5B600C8E">
          <v:rect id="_x0000_s1028" style="position:absolute;margin-left:303.5pt;margin-top:263.15pt;width:149.45pt;height:15.3pt;z-index:251660288;mso-position-horizontal-relative:text;mso-position-vertical-relative:text" strokecolor="white [3212]"/>
        </w:pict>
      </w:r>
      <w:r w:rsidR="00404B82">
        <w:rPr>
          <w:noProof/>
        </w:rPr>
        <w:drawing>
          <wp:inline distT="0" distB="0" distL="0" distR="0" wp14:anchorId="60638AF5" wp14:editId="007EE115">
            <wp:extent cx="5753100" cy="4238625"/>
            <wp:effectExtent l="0" t="0" r="0" b="0"/>
            <wp:docPr id="279543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468A8305" w14:textId="15E28864" w:rsidR="00D64F24" w:rsidRDefault="001F6F62" w:rsidP="00A21F27">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F36692">
        <w:rPr>
          <w:noProof/>
          <w:lang w:val="en-US"/>
        </w:rPr>
        <w:t>2</w:t>
      </w:r>
      <w:r>
        <w:fldChar w:fldCharType="end"/>
      </w:r>
      <w:r w:rsidRPr="001F6F62">
        <w:rPr>
          <w:lang w:val="en-US"/>
        </w:rPr>
        <w:t xml:space="preserve"> </w:t>
      </w:r>
      <w:r w:rsidR="00F26B28">
        <w:rPr>
          <w:lang w:val="en-US"/>
        </w:rPr>
        <w:t xml:space="preserve">Total </w:t>
      </w:r>
      <w:r w:rsidR="00A21F27">
        <w:rPr>
          <w:lang w:val="en-US"/>
        </w:rPr>
        <w:t>PCB</w:t>
      </w:r>
      <w:r w:rsidR="003333FF">
        <w:rPr>
          <w:lang w:val="en-US"/>
        </w:rPr>
        <w:t>-7</w:t>
      </w:r>
      <w:r w:rsidR="00A21F27">
        <w:rPr>
          <w:lang w:val="en-US"/>
        </w:rPr>
        <w:t xml:space="preserve"> concentrations</w:t>
      </w:r>
      <w:r>
        <w:rPr>
          <w:lang w:val="en-US"/>
        </w:rPr>
        <w:t xml:space="preserve"> (</w:t>
      </w:r>
      <w:r w:rsidR="00F26B28">
        <w:rPr>
          <w:lang w:val="en-US"/>
        </w:rPr>
        <w:t>µ</w:t>
      </w:r>
      <w:r>
        <w:rPr>
          <w:lang w:val="en-US"/>
        </w:rPr>
        <w:t>g</w:t>
      </w:r>
      <w:r w:rsidR="003A5D71">
        <w:rPr>
          <w:lang w:val="en-US"/>
        </w:rPr>
        <w:t xml:space="preserve"> </w:t>
      </w:r>
      <w:r w:rsidR="00F26B28">
        <w:rPr>
          <w:lang w:val="en-US"/>
        </w:rPr>
        <w:t>k</w:t>
      </w:r>
      <w:r>
        <w:rPr>
          <w:lang w:val="en-US"/>
        </w:rPr>
        <w:t>g</w:t>
      </w:r>
      <w:r>
        <w:rPr>
          <w:vertAlign w:val="superscript"/>
          <w:lang w:val="en-US"/>
        </w:rPr>
        <w:t>-1</w:t>
      </w:r>
      <w:r w:rsidR="003A5D71">
        <w:rPr>
          <w:lang w:val="en-US"/>
        </w:rPr>
        <w:t xml:space="preserve">) </w:t>
      </w:r>
      <w:r w:rsidR="00A21F27">
        <w:rPr>
          <w:lang w:val="en-US"/>
        </w:rPr>
        <w:t xml:space="preserve">before and after pyrolysis treatment at increasing temperatures for the different feedstocks tested. </w:t>
      </w:r>
    </w:p>
    <w:p w14:paraId="0DD0B5FE" w14:textId="77777777" w:rsidR="004A0B82" w:rsidRDefault="004A0B82" w:rsidP="004A0B82">
      <w:pPr>
        <w:pStyle w:val="Heading3"/>
        <w:rPr>
          <w:lang w:val="en-US"/>
        </w:rPr>
      </w:pPr>
      <w:r>
        <w:rPr>
          <w:lang w:val="en-US"/>
        </w:rPr>
        <w:t>PAHs in biochars</w:t>
      </w:r>
    </w:p>
    <w:p w14:paraId="30D8C2E2" w14:textId="2C8C3412" w:rsidR="00E85F93" w:rsidRPr="00E85F93" w:rsidRDefault="00E85F93" w:rsidP="004A0B82">
      <w:pPr>
        <w:ind w:firstLine="0"/>
        <w:rPr>
          <w:b/>
          <w:bCs/>
          <w:lang w:val="en-US"/>
        </w:rPr>
      </w:pPr>
      <w:r>
        <w:rPr>
          <w:lang w:val="en-US"/>
        </w:rPr>
        <w:t>Only four samples were below the European Biochar Certificate threshold for premium quality biochar of &lt;4 mg kg</w:t>
      </w:r>
      <w:r>
        <w:rPr>
          <w:vertAlign w:val="superscript"/>
          <w:lang w:val="en-US"/>
        </w:rPr>
        <w:t xml:space="preserve">-1 </w:t>
      </w:r>
      <w:r>
        <w:rPr>
          <w:lang w:val="en-US"/>
        </w:rPr>
        <w:t>for PAH-16: WT-500, LSS-750, LSS-600 and DSS-1-800. 14 of 23 biochar samples were below the EBC basic quality threshold of 12 mg kg</w:t>
      </w:r>
      <w:r>
        <w:rPr>
          <w:vertAlign w:val="superscript"/>
          <w:lang w:val="en-US"/>
        </w:rPr>
        <w:t>-1</w:t>
      </w:r>
      <w:r>
        <w:rPr>
          <w:lang w:val="en-US"/>
        </w:rPr>
        <w:t xml:space="preserve">. </w:t>
      </w:r>
    </w:p>
    <w:p w14:paraId="1AE27910" w14:textId="707DB755" w:rsidR="004A0B82" w:rsidRPr="003C3931" w:rsidRDefault="004A0B82" w:rsidP="004A0B82">
      <w:pPr>
        <w:ind w:firstLine="0"/>
        <w:rPr>
          <w:lang w:val="en-US"/>
        </w:rPr>
      </w:pPr>
      <w:r>
        <w:rPr>
          <w:b/>
          <w:bCs/>
          <w:lang w:val="en-US"/>
        </w:rPr>
        <w:lastRenderedPageBreak/>
        <w:t xml:space="preserve">Sewage sludge and food waste reject biochars. </w:t>
      </w:r>
      <w:r>
        <w:rPr>
          <w:lang w:val="en-US"/>
        </w:rPr>
        <w:t xml:space="preserve">The concentration of </w:t>
      </w:r>
      <w:r w:rsidR="00335997">
        <w:rPr>
          <w:lang w:val="en-US"/>
        </w:rPr>
        <w:t>∑</w:t>
      </w:r>
      <w:r>
        <w:rPr>
          <w:lang w:val="en-US"/>
        </w:rPr>
        <w:t>PAH-16 in the sewage sludge biochars (SS-BCs) ranged from 0.38-37 mg kg</w:t>
      </w:r>
      <w:r>
        <w:rPr>
          <w:vertAlign w:val="superscript"/>
          <w:lang w:val="en-US"/>
        </w:rPr>
        <w:t>-1</w:t>
      </w:r>
      <w:r>
        <w:rPr>
          <w:lang w:val="en-US"/>
        </w:rPr>
        <w:t xml:space="preserve"> (</w:t>
      </w:r>
      <w:r>
        <w:rPr>
          <w:lang w:val="en-US"/>
        </w:rPr>
        <w:fldChar w:fldCharType="begin"/>
      </w:r>
      <w:r>
        <w:rPr>
          <w:lang w:val="en-US"/>
        </w:rPr>
        <w:instrText xml:space="preserve"> REF _Ref130997497 \h </w:instrText>
      </w:r>
      <w:r>
        <w:rPr>
          <w:lang w:val="en-US"/>
        </w:rPr>
      </w:r>
      <w:r>
        <w:rPr>
          <w:lang w:val="en-US"/>
        </w:rPr>
        <w:fldChar w:fldCharType="separate"/>
      </w:r>
      <w:r w:rsidR="00F36692" w:rsidRPr="001F6F62">
        <w:rPr>
          <w:lang w:val="en-US"/>
        </w:rPr>
        <w:t xml:space="preserve">Figure </w:t>
      </w:r>
      <w:r w:rsidR="00F36692">
        <w:rPr>
          <w:noProof/>
          <w:lang w:val="en-US"/>
        </w:rPr>
        <w:t>3</w:t>
      </w:r>
      <w:r>
        <w:rPr>
          <w:lang w:val="en-US"/>
        </w:rPr>
        <w:fldChar w:fldCharType="end"/>
      </w:r>
      <w:r>
        <w:rPr>
          <w:lang w:val="en-US"/>
        </w:rPr>
        <w:t>, Table S.</w:t>
      </w:r>
      <w:r w:rsidRPr="004A0B82">
        <w:rPr>
          <w:highlight w:val="yellow"/>
          <w:lang w:val="en-US"/>
        </w:rPr>
        <w:t>X</w:t>
      </w:r>
      <w:r>
        <w:rPr>
          <w:lang w:val="en-US"/>
        </w:rPr>
        <w:t>). The distribution of PAHs in the SS-BCs was similar for the four SSF</w:t>
      </w:r>
      <w:r w:rsidR="00335997">
        <w:rPr>
          <w:lang w:val="en-US"/>
        </w:rPr>
        <w:t>s</w:t>
      </w:r>
      <w:r>
        <w:rPr>
          <w:lang w:val="en-US"/>
        </w:rPr>
        <w:t xml:space="preserve"> and mainly dominated by Nap (36-72%) and Phen (10-27%).</w:t>
      </w:r>
    </w:p>
    <w:p w14:paraId="7D4B1F98" w14:textId="586F875E" w:rsidR="004A0B82" w:rsidRPr="00522695" w:rsidRDefault="004A0B82" w:rsidP="004A0B82">
      <w:pPr>
        <w:ind w:firstLine="0"/>
        <w:rPr>
          <w:lang w:val="en-US"/>
        </w:rPr>
      </w:pPr>
      <w:r>
        <w:rPr>
          <w:b/>
          <w:bCs/>
          <w:lang w:val="en-US"/>
        </w:rPr>
        <w:t xml:space="preserve">Wood-based biochars. </w:t>
      </w:r>
      <w:r>
        <w:rPr>
          <w:lang w:val="en-US"/>
        </w:rPr>
        <w:t xml:space="preserve">The highest PAH-16 concentrations </w:t>
      </w:r>
      <w:r w:rsidR="00024BE5">
        <w:rPr>
          <w:lang w:val="en-US"/>
        </w:rPr>
        <w:t xml:space="preserve">overall </w:t>
      </w:r>
      <w:r>
        <w:rPr>
          <w:lang w:val="en-US"/>
        </w:rPr>
        <w:t>were found for waste timber (WT)</w:t>
      </w:r>
      <w:r w:rsidR="00335997">
        <w:rPr>
          <w:lang w:val="en-US"/>
        </w:rPr>
        <w:t xml:space="preserve"> where</w:t>
      </w:r>
      <w:r w:rsidR="00024BE5">
        <w:rPr>
          <w:lang w:val="en-US"/>
        </w:rPr>
        <w:t xml:space="preserve"> WT-600</w:t>
      </w:r>
      <w:r>
        <w:rPr>
          <w:lang w:val="en-US"/>
        </w:rPr>
        <w:t xml:space="preserve"> contained </w:t>
      </w:r>
      <w:r w:rsidR="00024BE5" w:rsidRPr="00024BE5">
        <w:rPr>
          <w:lang w:val="en-US"/>
        </w:rPr>
        <w:t>118 ± 5</w:t>
      </w:r>
      <w:r w:rsidR="00024BE5">
        <w:rPr>
          <w:lang w:val="en-US"/>
        </w:rPr>
        <w:t xml:space="preserve"> m</w:t>
      </w:r>
      <w:r>
        <w:rPr>
          <w:lang w:val="en-US"/>
        </w:rPr>
        <w:t xml:space="preserve">g </w:t>
      </w:r>
      <w:r w:rsidR="00024BE5">
        <w:rPr>
          <w:lang w:val="en-US"/>
        </w:rPr>
        <w:t>k</w:t>
      </w:r>
      <w:r>
        <w:rPr>
          <w:lang w:val="en-US"/>
        </w:rPr>
        <w:t>g</w:t>
      </w:r>
      <w:r>
        <w:rPr>
          <w:vertAlign w:val="superscript"/>
          <w:lang w:val="en-US"/>
        </w:rPr>
        <w:t>-1</w:t>
      </w:r>
      <w:r w:rsidR="00024BE5">
        <w:rPr>
          <w:lang w:val="en-US"/>
        </w:rPr>
        <w:t xml:space="preserve"> ∑PAH-16</w:t>
      </w:r>
      <w:r>
        <w:rPr>
          <w:lang w:val="en-US"/>
        </w:rPr>
        <w:t xml:space="preserve">. </w:t>
      </w:r>
      <w:r w:rsidR="001F1AA1">
        <w:rPr>
          <w:lang w:val="en-US"/>
        </w:rPr>
        <w:t xml:space="preserve">%). </w:t>
      </w:r>
      <w:r w:rsidR="00335997">
        <w:rPr>
          <w:lang w:val="en-US"/>
        </w:rPr>
        <w:t xml:space="preserve">The highest PAH-concentration in garden waste (GW) was found for </w:t>
      </w:r>
      <w:r>
        <w:rPr>
          <w:lang w:val="en-US"/>
        </w:rPr>
        <w:t>GW</w:t>
      </w:r>
      <w:r w:rsidR="001F1AA1">
        <w:rPr>
          <w:lang w:val="en-US"/>
        </w:rPr>
        <w:t>-600</w:t>
      </w:r>
      <w:r>
        <w:rPr>
          <w:lang w:val="en-US"/>
        </w:rPr>
        <w:t xml:space="preserve"> </w:t>
      </w:r>
      <w:r w:rsidR="00335997">
        <w:rPr>
          <w:lang w:val="en-US"/>
        </w:rPr>
        <w:t>(</w:t>
      </w:r>
      <w:r w:rsidR="00024BE5">
        <w:rPr>
          <w:lang w:val="en-US"/>
        </w:rPr>
        <w:t>14</w:t>
      </w:r>
      <w:r w:rsidR="001F1AA1">
        <w:rPr>
          <w:lang w:val="en-US"/>
        </w:rPr>
        <w:t xml:space="preserve"> </w:t>
      </w:r>
      <w:r w:rsidR="00024BE5" w:rsidRPr="00024BE5">
        <w:rPr>
          <w:lang w:val="en-US"/>
        </w:rPr>
        <w:t>±</w:t>
      </w:r>
      <w:r w:rsidR="001F1AA1">
        <w:rPr>
          <w:lang w:val="en-US"/>
        </w:rPr>
        <w:t xml:space="preserve"> </w:t>
      </w:r>
      <w:r w:rsidR="00024BE5">
        <w:rPr>
          <w:lang w:val="en-US"/>
        </w:rPr>
        <w:t>1 m</w:t>
      </w:r>
      <w:r>
        <w:rPr>
          <w:lang w:val="en-US"/>
        </w:rPr>
        <w:t>g g</w:t>
      </w:r>
      <w:r>
        <w:rPr>
          <w:vertAlign w:val="superscript"/>
          <w:lang w:val="en-US"/>
        </w:rPr>
        <w:t>-1</w:t>
      </w:r>
      <w:r w:rsidR="00335997">
        <w:rPr>
          <w:lang w:val="en-US"/>
        </w:rPr>
        <w:t>)</w:t>
      </w:r>
      <w:r>
        <w:rPr>
          <w:lang w:val="en-US"/>
        </w:rPr>
        <w:t xml:space="preserve">. The distribution of PAHs in </w:t>
      </w:r>
      <w:r w:rsidR="00335997">
        <w:rPr>
          <w:lang w:val="en-US"/>
        </w:rPr>
        <w:t xml:space="preserve">WT and GW </w:t>
      </w:r>
      <w:r>
        <w:rPr>
          <w:lang w:val="en-US"/>
        </w:rPr>
        <w:t xml:space="preserve">was similar and mainly dominated by Flt (34 and 25%), Phen (10 and 28%), Pyr (22 and 17 </w:t>
      </w:r>
      <w:r w:rsidR="007E156B">
        <w:rPr>
          <w:lang w:val="en-US"/>
        </w:rPr>
        <w:t>%)</w:t>
      </w:r>
      <w:r w:rsidR="00335997">
        <w:rPr>
          <w:lang w:val="en-US"/>
        </w:rPr>
        <w:t xml:space="preserve"> (Figure S.</w:t>
      </w:r>
      <w:r w:rsidR="00335997" w:rsidRPr="00AE3632">
        <w:rPr>
          <w:highlight w:val="yellow"/>
          <w:lang w:val="en-US"/>
        </w:rPr>
        <w:t>X</w:t>
      </w:r>
      <w:r w:rsidR="00335997">
        <w:rPr>
          <w:lang w:val="en-US"/>
        </w:rPr>
        <w:t>)</w:t>
      </w:r>
      <w:r w:rsidR="007E156B">
        <w:rPr>
          <w:lang w:val="en-US"/>
        </w:rPr>
        <w:t xml:space="preserve">. </w:t>
      </w:r>
    </w:p>
    <w:p w14:paraId="460800AE" w14:textId="564D65C7" w:rsidR="004A0B82" w:rsidRDefault="004A0B82" w:rsidP="004A0B82">
      <w:pPr>
        <w:ind w:firstLine="0"/>
        <w:rPr>
          <w:lang w:val="en-US"/>
        </w:rPr>
      </w:pPr>
      <w:r>
        <w:rPr>
          <w:b/>
          <w:bCs/>
          <w:lang w:val="en-US"/>
        </w:rPr>
        <w:t xml:space="preserve">Food waste reject biochar. </w:t>
      </w:r>
      <w:r>
        <w:rPr>
          <w:lang w:val="en-US"/>
        </w:rPr>
        <w:t>PAH-16 in FWR was 0.39 ± 0.01 µg g</w:t>
      </w:r>
      <w:r>
        <w:rPr>
          <w:vertAlign w:val="superscript"/>
          <w:lang w:val="en-US"/>
        </w:rPr>
        <w:t>-1</w:t>
      </w:r>
      <w:r>
        <w:rPr>
          <w:lang w:val="en-US"/>
        </w:rPr>
        <w:t xml:space="preserve"> (0.02 ± 0.1 µg TE g</w:t>
      </w:r>
      <w:r>
        <w:rPr>
          <w:vertAlign w:val="superscript"/>
          <w:lang w:val="en-US"/>
        </w:rPr>
        <w:t>-1</w:t>
      </w:r>
      <w:r>
        <w:rPr>
          <w:lang w:val="en-US"/>
        </w:rPr>
        <w:t>). The distribution of PAHs in FWR (</w:t>
      </w:r>
      <w:r w:rsidR="00AE3632">
        <w:rPr>
          <w:lang w:val="en-US"/>
        </w:rPr>
        <w:t>Figure S.</w:t>
      </w:r>
      <w:r w:rsidR="00AE3632" w:rsidRPr="00AE3632">
        <w:rPr>
          <w:highlight w:val="yellow"/>
          <w:lang w:val="en-US"/>
        </w:rPr>
        <w:t>X</w:t>
      </w:r>
      <w:r>
        <w:rPr>
          <w:lang w:val="en-US"/>
        </w:rPr>
        <w:t xml:space="preserve">) was dominated by Phen, Pyr and Flt (27, 19, and 17%, respectively), </w:t>
      </w:r>
      <w:proofErr w:type="gramStart"/>
      <w:r>
        <w:rPr>
          <w:lang w:val="en-US"/>
        </w:rPr>
        <w:t>similar to</w:t>
      </w:r>
      <w:proofErr w:type="gramEnd"/>
      <w:r>
        <w:rPr>
          <w:lang w:val="en-US"/>
        </w:rPr>
        <w:t xml:space="preserve"> the SSFs and WBFs. </w:t>
      </w:r>
    </w:p>
    <w:p w14:paraId="52F2400F" w14:textId="3DE22875" w:rsidR="00335997" w:rsidRPr="00522695" w:rsidRDefault="00AA088B" w:rsidP="00335997">
      <w:pPr>
        <w:rPr>
          <w:lang w:val="en-US"/>
        </w:rPr>
      </w:pPr>
      <w:sdt>
        <w:sdtPr>
          <w:rPr>
            <w:color w:val="000000"/>
            <w:lang w:val="en-US"/>
          </w:rPr>
          <w:tag w:val="MENDELEY_CITATION_v3_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"/>
          <w:id w:val="1174299731"/>
          <w:placeholder>
            <w:docPart w:val="DA40559A341441A0A1E0E4FDD6D8306D"/>
          </w:placeholder>
        </w:sdtPr>
        <w:sdtEndPr/>
        <w:sdtContent>
          <w:r w:rsidR="007E4089" w:rsidRPr="007E4089">
            <w:rPr>
              <w:color w:val="000000"/>
              <w:lang w:val="en-US"/>
            </w:rPr>
            <w:t>Sørmo et al. (2020)</w:t>
          </w:r>
        </w:sdtContent>
      </w:sdt>
      <w:r w:rsidR="00335997">
        <w:rPr>
          <w:lang w:val="en-US"/>
        </w:rPr>
        <w:t xml:space="preserve"> reported a </w:t>
      </w:r>
      <w:r w:rsidR="00335997" w:rsidRPr="004C5501">
        <w:rPr>
          <w:lang w:val="en-US"/>
        </w:rPr>
        <w:t>PAH</w:t>
      </w:r>
      <w:r w:rsidR="00335997">
        <w:rPr>
          <w:lang w:val="en-US"/>
        </w:rPr>
        <w:t xml:space="preserve">-16 concentration of </w:t>
      </w:r>
      <w:r w:rsidR="00335997" w:rsidRPr="004C5501">
        <w:rPr>
          <w:lang w:val="en-US"/>
        </w:rPr>
        <w:t>14 ± 5 mg</w:t>
      </w:r>
      <w:r w:rsidR="00335997">
        <w:rPr>
          <w:lang w:val="en-US"/>
        </w:rPr>
        <w:t xml:space="preserve"> kg</w:t>
      </w:r>
      <w:r w:rsidR="00335997">
        <w:rPr>
          <w:vertAlign w:val="superscript"/>
          <w:lang w:val="en-US"/>
        </w:rPr>
        <w:t>-1</w:t>
      </w:r>
      <w:r w:rsidR="00335997">
        <w:rPr>
          <w:lang w:val="en-US"/>
        </w:rPr>
        <w:t xml:space="preserve"> for waste timber pyrolyzed at 700 ˚C in a medium-scale Pyreg 500 unit</w:t>
      </w:r>
      <w:r w:rsidR="00335997" w:rsidRPr="004C5501">
        <w:rPr>
          <w:lang w:val="en-US"/>
        </w:rPr>
        <w:t>.</w:t>
      </w:r>
      <w:r w:rsidR="00335997">
        <w:rPr>
          <w:lang w:val="en-US"/>
        </w:rPr>
        <w:t xml:space="preserve"> Mean ∑PAH-16 concentration for all temperatures and feedstocks was 16 mg kg</w:t>
      </w:r>
      <w:r w:rsidR="00335997">
        <w:rPr>
          <w:vertAlign w:val="superscript"/>
          <w:lang w:val="en-US"/>
        </w:rPr>
        <w:t>-1</w:t>
      </w:r>
      <w:r w:rsidR="00335997">
        <w:rPr>
          <w:lang w:val="en-US"/>
        </w:rPr>
        <w:t xml:space="preserve"> and median </w:t>
      </w:r>
      <w:proofErr w:type="gramStart"/>
      <w:r w:rsidR="00335997">
        <w:rPr>
          <w:lang w:val="en-US"/>
        </w:rPr>
        <w:t>was</w:t>
      </w:r>
      <w:proofErr w:type="gramEnd"/>
      <w:r w:rsidR="00335997">
        <w:rPr>
          <w:lang w:val="en-US"/>
        </w:rPr>
        <w:t xml:space="preserve"> 7 mg kg</w:t>
      </w:r>
      <w:r w:rsidR="00335997">
        <w:rPr>
          <w:vertAlign w:val="superscript"/>
          <w:lang w:val="en-US"/>
        </w:rPr>
        <w:t>-1</w:t>
      </w:r>
      <w:r w:rsidR="00335997">
        <w:rPr>
          <w:lang w:val="en-US"/>
        </w:rPr>
        <w:t xml:space="preserve"> for</w:t>
      </w:r>
      <w:r w:rsidR="002C1A59">
        <w:rPr>
          <w:lang w:val="en-US"/>
        </w:rPr>
        <w:t>…</w:t>
      </w:r>
    </w:p>
    <w:p w14:paraId="72466200" w14:textId="77777777" w:rsidR="00335997" w:rsidRDefault="00335997" w:rsidP="004A0B82">
      <w:pPr>
        <w:ind w:firstLine="0"/>
        <w:rPr>
          <w:lang w:val="en-US"/>
        </w:rPr>
      </w:pPr>
    </w:p>
    <w:p w14:paraId="317BD411" w14:textId="00BB1047" w:rsidR="00577FC2" w:rsidRPr="00311831" w:rsidRDefault="00577FC2" w:rsidP="004A0B82">
      <w:pPr>
        <w:ind w:firstLine="0"/>
        <w:rPr>
          <w:lang w:val="en-US"/>
        </w:rPr>
      </w:pPr>
      <w:r>
        <w:rPr>
          <w:lang w:val="en-US"/>
        </w:rPr>
        <w:tab/>
      </w:r>
      <w:r w:rsidR="00311831">
        <w:rPr>
          <w:lang w:val="en-US"/>
        </w:rPr>
        <w:t xml:space="preserve"> </w:t>
      </w:r>
    </w:p>
    <w:p w14:paraId="78919985" w14:textId="2CB62FC6" w:rsidR="004A0B82" w:rsidRDefault="00AA088B" w:rsidP="00322F0E">
      <w:pPr>
        <w:keepNext/>
        <w:spacing w:line="240" w:lineRule="auto"/>
        <w:ind w:firstLine="0"/>
      </w:pPr>
      <w:r>
        <w:rPr>
          <w:noProof/>
          <w:lang w:val="en-US"/>
        </w:rPr>
        <w:lastRenderedPageBreak/>
        <w:pict w14:anchorId="5B600C8E">
          <v:rect id="_x0000_s1029" style="position:absolute;margin-left:303.5pt;margin-top:248.6pt;width:149.45pt;height:15pt;z-index:251661312" strokecolor="white [3212]"/>
        </w:pict>
      </w:r>
      <w:r w:rsidR="00404B82">
        <w:rPr>
          <w:noProof/>
          <w:lang w:val="en-US"/>
        </w:rPr>
        <w:drawing>
          <wp:inline distT="0" distB="0" distL="0" distR="0" wp14:anchorId="19A96654" wp14:editId="0C337257">
            <wp:extent cx="5753100" cy="4238625"/>
            <wp:effectExtent l="0" t="0" r="0" b="0"/>
            <wp:docPr id="508843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3D2B91CA" w14:textId="0F4332E3" w:rsidR="004A0B82" w:rsidRDefault="004A0B82" w:rsidP="00AE3632">
      <w:pPr>
        <w:pStyle w:val="Caption"/>
        <w:rPr>
          <w:lang w:val="en-US"/>
        </w:rPr>
      </w:pPr>
      <w:bookmarkStart w:id="4" w:name="_Ref130997497"/>
      <w:r w:rsidRPr="001F6F62">
        <w:rPr>
          <w:lang w:val="en-US"/>
        </w:rPr>
        <w:t xml:space="preserve">Figure </w:t>
      </w:r>
      <w:r>
        <w:fldChar w:fldCharType="begin"/>
      </w:r>
      <w:r w:rsidRPr="001F6F62">
        <w:rPr>
          <w:lang w:val="en-US"/>
        </w:rPr>
        <w:instrText xml:space="preserve"> SEQ Figure \* ARABIC </w:instrText>
      </w:r>
      <w:r>
        <w:fldChar w:fldCharType="separate"/>
      </w:r>
      <w:r w:rsidR="00F36692">
        <w:rPr>
          <w:noProof/>
          <w:lang w:val="en-US"/>
        </w:rPr>
        <w:t>3</w:t>
      </w:r>
      <w:r>
        <w:fldChar w:fldCharType="end"/>
      </w:r>
      <w:bookmarkEnd w:id="4"/>
      <w:r w:rsidRPr="001F6F62">
        <w:rPr>
          <w:lang w:val="en-US"/>
        </w:rPr>
        <w:t xml:space="preserve"> </w:t>
      </w:r>
      <w:r>
        <w:rPr>
          <w:lang w:val="en-US"/>
        </w:rPr>
        <w:t>Total PAH-16 concentrations (mg kg</w:t>
      </w:r>
      <w:r>
        <w:rPr>
          <w:vertAlign w:val="superscript"/>
          <w:lang w:val="en-US"/>
        </w:rPr>
        <w:t>-1</w:t>
      </w:r>
      <w:r>
        <w:rPr>
          <w:lang w:val="en-US"/>
        </w:rPr>
        <w:t xml:space="preserve">) before and after pyrolysis treatment at increasing temperatures for the different feedstocks tested. </w:t>
      </w:r>
    </w:p>
    <w:p w14:paraId="1E096FEF" w14:textId="6DEB903F" w:rsidR="00302BD5" w:rsidRDefault="00885CAF" w:rsidP="00302BD5">
      <w:pPr>
        <w:pStyle w:val="Heading2"/>
      </w:pPr>
      <w:bookmarkStart w:id="5" w:name="_Ref131168550"/>
      <w:r>
        <w:t>R</w:t>
      </w:r>
      <w:r w:rsidR="00302BD5">
        <w:t>emoval efficiencies</w:t>
      </w:r>
      <w:bookmarkEnd w:id="5"/>
    </w:p>
    <w:p w14:paraId="0C9DE3E0" w14:textId="708EC0D6" w:rsidR="00885CAF" w:rsidRPr="00302BD5" w:rsidRDefault="00302BD5" w:rsidP="00885CAF">
      <w:pPr>
        <w:ind w:firstLine="0"/>
        <w:rPr>
          <w:lang w:val="en-US"/>
        </w:rPr>
      </w:pPr>
      <w:r>
        <w:rPr>
          <w:lang w:val="en-US"/>
        </w:rPr>
        <w:t xml:space="preserve">Removal efficiencies (RE) for </w:t>
      </w:r>
      <w:r w:rsidRPr="00302BD5">
        <w:rPr>
          <w:lang w:val="en-US"/>
        </w:rPr>
        <w:t>∑</w:t>
      </w:r>
      <w:r>
        <w:rPr>
          <w:lang w:val="en-US"/>
        </w:rPr>
        <w:t xml:space="preserve">PCB-7 and </w:t>
      </w:r>
      <w:r w:rsidRPr="00302BD5">
        <w:rPr>
          <w:lang w:val="en-US"/>
        </w:rPr>
        <w:t>∑</w:t>
      </w:r>
      <w:r w:rsidR="00F0305F">
        <w:rPr>
          <w:lang w:val="en-US"/>
        </w:rPr>
        <w:t>PCDD</w:t>
      </w:r>
      <w:r>
        <w:rPr>
          <w:lang w:val="en-US"/>
        </w:rPr>
        <w:t>/</w:t>
      </w:r>
      <w:r w:rsidR="00F0305F">
        <w:rPr>
          <w:lang w:val="en-US"/>
        </w:rPr>
        <w:t>PCDF</w:t>
      </w:r>
      <w:r>
        <w:rPr>
          <w:lang w:val="en-US"/>
        </w:rPr>
        <w:t>-17 were &gt;99.9% across all pyrolysis temperatures and feedstocks (</w:t>
      </w:r>
      <w:r>
        <w:rPr>
          <w:lang w:val="en-US"/>
        </w:rPr>
        <w:fldChar w:fldCharType="begin"/>
      </w:r>
      <w:r>
        <w:rPr>
          <w:lang w:val="en-US"/>
        </w:rPr>
        <w:instrText xml:space="preserve"> REF _Ref131066803 \h </w:instrText>
      </w:r>
      <w:r>
        <w:rPr>
          <w:lang w:val="en-US"/>
        </w:rPr>
      </w:r>
      <w:r>
        <w:rPr>
          <w:lang w:val="en-US"/>
        </w:rPr>
        <w:fldChar w:fldCharType="separate"/>
      </w:r>
      <w:r w:rsidR="00F36692" w:rsidRPr="006D1D58">
        <w:rPr>
          <w:lang w:val="en-US"/>
        </w:rPr>
        <w:t xml:space="preserve">Table </w:t>
      </w:r>
      <w:r w:rsidR="00F36692">
        <w:rPr>
          <w:noProof/>
          <w:lang w:val="en-US"/>
        </w:rPr>
        <w:t>2</w:t>
      </w:r>
      <w:r>
        <w:rPr>
          <w:lang w:val="en-US"/>
        </w:rPr>
        <w:fldChar w:fldCharType="end"/>
      </w:r>
      <w:r>
        <w:rPr>
          <w:lang w:val="en-US"/>
        </w:rPr>
        <w:t>).</w:t>
      </w:r>
      <w:r w:rsidR="00885CAF">
        <w:rPr>
          <w:lang w:val="en-US"/>
        </w:rPr>
        <w:t xml:space="preserve"> Thus, a pyrolysis temperature of 500 ˚C is likely sufficient to remove nearly 100% of PCBs and dioxins in sewage sludge feedstocks. </w:t>
      </w:r>
    </w:p>
    <w:p w14:paraId="371B7ABA" w14:textId="2E29ABB4" w:rsidR="00600C9D" w:rsidRDefault="00302BD5" w:rsidP="00302BD5">
      <w:pPr>
        <w:ind w:firstLine="0"/>
        <w:rPr>
          <w:lang w:val="en-US"/>
        </w:rPr>
      </w:pPr>
      <w:r>
        <w:rPr>
          <w:lang w:val="en-US"/>
        </w:rPr>
        <w:t xml:space="preserve">Note that RE </w:t>
      </w:r>
      <w:r>
        <w:rPr>
          <w:lang w:val="en-US"/>
        </w:rPr>
        <w:fldChar w:fldCharType="begin"/>
      </w:r>
      <w:r>
        <w:rPr>
          <w:lang w:val="en-US"/>
        </w:rPr>
        <w:instrText xml:space="preserve"> REF _Ref126761645 \h </w:instrText>
      </w:r>
      <w:r>
        <w:rPr>
          <w:lang w:val="en-US"/>
        </w:rPr>
      </w:r>
      <w:r>
        <w:rPr>
          <w:lang w:val="en-US"/>
        </w:rPr>
        <w:fldChar w:fldCharType="separate"/>
      </w:r>
      <w:r w:rsidR="00F36692" w:rsidRPr="00F36692">
        <w:rPr>
          <w:lang w:val="en-US"/>
        </w:rPr>
        <w:t xml:space="preserve">(Eq. </w:t>
      </w:r>
      <w:r w:rsidR="00F36692" w:rsidRPr="00F36692">
        <w:rPr>
          <w:noProof/>
          <w:lang w:val="en-US"/>
        </w:rPr>
        <w:t>1</w:t>
      </w:r>
      <w:r w:rsidR="00F36692" w:rsidRPr="00F36692">
        <w:rPr>
          <w:lang w:val="en-US"/>
        </w:rPr>
        <w:t>)</w:t>
      </w:r>
      <w:r>
        <w:rPr>
          <w:lang w:val="en-US"/>
        </w:rPr>
        <w:fldChar w:fldCharType="end"/>
      </w:r>
      <w:r>
        <w:rPr>
          <w:lang w:val="en-US"/>
        </w:rPr>
        <w:t xml:space="preserve"> </w:t>
      </w:r>
      <w:r w:rsidR="001727BD">
        <w:rPr>
          <w:lang w:val="en-US"/>
        </w:rPr>
        <w:t xml:space="preserve">is </w:t>
      </w:r>
      <w:r>
        <w:rPr>
          <w:lang w:val="en-US"/>
        </w:rPr>
        <w:t xml:space="preserve">corrected for biochar yield </w:t>
      </w:r>
      <w:r w:rsidR="001727BD">
        <w:rPr>
          <w:lang w:val="en-US"/>
        </w:rPr>
        <w:t>to account for mass reduction (</w:t>
      </w:r>
      <w:r w:rsidR="001727BD" w:rsidRPr="001727BD">
        <w:rPr>
          <w:highlight w:val="yellow"/>
          <w:lang w:val="en-US"/>
        </w:rPr>
        <w:t>yield</w:t>
      </w:r>
      <w:r w:rsidR="00885CAF">
        <w:rPr>
          <w:highlight w:val="yellow"/>
          <w:lang w:val="en-US"/>
        </w:rPr>
        <w:t>s are provided</w:t>
      </w:r>
      <w:r w:rsidR="001727BD" w:rsidRPr="001727BD">
        <w:rPr>
          <w:highlight w:val="yellow"/>
          <w:lang w:val="en-US"/>
        </w:rPr>
        <w:t xml:space="preserve"> in</w:t>
      </w:r>
      <w:r w:rsidR="00885CAF">
        <w:rPr>
          <w:highlight w:val="yellow"/>
          <w:lang w:val="en-US"/>
        </w:rPr>
        <w:t xml:space="preserve"> the SI of </w:t>
      </w:r>
      <w:sdt>
        <w:sdtPr>
          <w:rPr>
            <w:color w:val="000000"/>
            <w:highlight w:val="yellow"/>
            <w:lang w:val="en-US"/>
          </w:rPr>
          <w:tag w:val="MENDELEY_CITATION_v3_eyJjaXRhdGlvbklEIjoiTUVOREVMRVlfQ0lUQVRJT05fMDhlZDgxZmItYTcyMC00YzJmLWFhNDYtMmQ4NTY3MzhmNDdiIiwicHJvcGVydGllcyI6eyJub3RlSW5kZXgiOjB9LCJpc0VkaXRlZCI6ZmFsc2UsIm1hbnVhbE92ZXJyaWRlIjp7ImlzTWFudWFsbHlPdmVycmlkZGVuIjp0cnVlLCJjaXRlcHJvY1RleHQiOiIoU8O4cm1vIGV0IGFsLiwgbi5kLikiLCJtYW51YWxPdmVycmlkZVRleHQiOiJTw7hybW8gZXQgYWwuLCBuLmQu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791641533"/>
          <w:placeholder>
            <w:docPart w:val="DefaultPlaceholder_-1854013440"/>
          </w:placeholder>
        </w:sdtPr>
        <w:sdtEndPr/>
        <w:sdtContent>
          <w:r w:rsidR="007E4089" w:rsidRPr="007E4089">
            <w:rPr>
              <w:color w:val="000000"/>
              <w:highlight w:val="yellow"/>
              <w:lang w:val="en-US"/>
            </w:rPr>
            <w:t>Sørmo et al., n.d.</w:t>
          </w:r>
        </w:sdtContent>
      </w:sdt>
      <w:r w:rsidR="001727BD" w:rsidRPr="001727BD">
        <w:rPr>
          <w:highlight w:val="yellow"/>
          <w:lang w:val="en-US"/>
        </w:rPr>
        <w:t>)</w:t>
      </w:r>
      <w:r w:rsidR="001727BD">
        <w:rPr>
          <w:lang w:val="en-US"/>
        </w:rPr>
        <w:t xml:space="preserve">. </w:t>
      </w:r>
    </w:p>
    <w:p w14:paraId="2BA266CD" w14:textId="77777777" w:rsidR="00600C9D" w:rsidRDefault="00600C9D">
      <w:pPr>
        <w:spacing w:after="160"/>
        <w:ind w:firstLine="0"/>
        <w:rPr>
          <w:lang w:val="en-US"/>
        </w:rPr>
      </w:pPr>
      <w:r>
        <w:rPr>
          <w:lang w:val="en-US"/>
        </w:rPr>
        <w:br w:type="page"/>
      </w:r>
    </w:p>
    <w:p w14:paraId="5574ECD0" w14:textId="604BCE1A" w:rsidR="002B607F" w:rsidRDefault="002B607F" w:rsidP="002B607F">
      <w:pPr>
        <w:pStyle w:val="Caption"/>
        <w:rPr>
          <w:lang w:val="en-US"/>
        </w:rPr>
      </w:pPr>
      <w:bookmarkStart w:id="6" w:name="_Ref131066803"/>
      <w:r w:rsidRPr="006D1D58">
        <w:rPr>
          <w:lang w:val="en-US"/>
        </w:rPr>
        <w:lastRenderedPageBreak/>
        <w:t xml:space="preserve">Table </w:t>
      </w:r>
      <w:r>
        <w:fldChar w:fldCharType="begin"/>
      </w:r>
      <w:r w:rsidRPr="006D1D58">
        <w:rPr>
          <w:lang w:val="en-US"/>
        </w:rPr>
        <w:instrText xml:space="preserve"> SEQ Table \* ARABIC </w:instrText>
      </w:r>
      <w:r>
        <w:fldChar w:fldCharType="separate"/>
      </w:r>
      <w:r w:rsidR="00F36692">
        <w:rPr>
          <w:noProof/>
          <w:lang w:val="en-US"/>
        </w:rPr>
        <w:t>2</w:t>
      </w:r>
      <w:r>
        <w:fldChar w:fldCharType="end"/>
      </w:r>
      <w:bookmarkEnd w:id="6"/>
      <w:r w:rsidRPr="00282F96">
        <w:rPr>
          <w:lang w:val="en-US"/>
        </w:rPr>
        <w:t>. Removal efficiency</w:t>
      </w:r>
      <w:r w:rsidR="003333FF">
        <w:rPr>
          <w:lang w:val="en-US"/>
        </w:rPr>
        <w:t xml:space="preserve"> %</w:t>
      </w:r>
      <w:r w:rsidRPr="00282F96">
        <w:rPr>
          <w:lang w:val="en-US"/>
        </w:rPr>
        <w:t xml:space="preserve"> (RE) of </w:t>
      </w:r>
      <w:r>
        <w:rPr>
          <w:lang w:val="en-US"/>
        </w:rPr>
        <w:t xml:space="preserve">PCB-7 and </w:t>
      </w:r>
      <w:r w:rsidR="00F0305F">
        <w:rPr>
          <w:lang w:val="en-US"/>
        </w:rPr>
        <w:t>PCDD</w:t>
      </w:r>
      <w:r>
        <w:rPr>
          <w:lang w:val="en-US"/>
        </w:rPr>
        <w:t>/</w:t>
      </w:r>
      <w:r w:rsidR="00F0305F">
        <w:rPr>
          <w:lang w:val="en-US"/>
        </w:rPr>
        <w:t>PCDF</w:t>
      </w:r>
      <w:r w:rsidR="003333FF">
        <w:rPr>
          <w:lang w:val="en-US"/>
        </w:rPr>
        <w:t>-17</w:t>
      </w:r>
      <w:r>
        <w:rPr>
          <w:lang w:val="en-US"/>
        </w:rPr>
        <w:t xml:space="preserve"> </w:t>
      </w:r>
      <w:r w:rsidR="00960D86">
        <w:rPr>
          <w:lang w:val="en-US"/>
        </w:rPr>
        <w:t xml:space="preserve">in TEQ </w:t>
      </w:r>
      <w:r w:rsidR="006D1D58">
        <w:rPr>
          <w:lang w:val="en-US"/>
        </w:rPr>
        <w:t>by pyrolysis of waste feedstocks</w:t>
      </w:r>
      <w:r w:rsidRPr="00282F96">
        <w:rPr>
          <w:lang w:val="en-US"/>
        </w:rPr>
        <w:t xml:space="preserve"> at temperatures 500-800 °C</w:t>
      </w:r>
      <w:r w:rsidR="00F76611">
        <w:rPr>
          <w:lang w:val="en-US"/>
        </w:rPr>
        <w:t xml:space="preserve"> normalized for yield biochar</w:t>
      </w:r>
      <w:r w:rsidRPr="00282F96">
        <w:rPr>
          <w:lang w:val="en-US"/>
        </w:rPr>
        <w:t xml:space="preserve">. </w:t>
      </w:r>
    </w:p>
    <w:tbl>
      <w:tblPr>
        <w:tblStyle w:val="TableGrid0"/>
        <w:tblW w:w="7083" w:type="dxa"/>
        <w:jc w:val="center"/>
        <w:tblLook w:val="04A0" w:firstRow="1" w:lastRow="0" w:firstColumn="1" w:lastColumn="0" w:noHBand="0" w:noVBand="1"/>
      </w:tblPr>
      <w:tblGrid>
        <w:gridCol w:w="1243"/>
        <w:gridCol w:w="1782"/>
        <w:gridCol w:w="1932"/>
        <w:gridCol w:w="2126"/>
      </w:tblGrid>
      <w:tr w:rsidR="002B607F" w:rsidRPr="003B567A" w14:paraId="598F919C" w14:textId="77777777" w:rsidTr="00302BD5">
        <w:trPr>
          <w:trHeight w:val="290"/>
          <w:jc w:val="center"/>
        </w:trPr>
        <w:tc>
          <w:tcPr>
            <w:tcW w:w="1243" w:type="dxa"/>
            <w:vMerge w:val="restart"/>
            <w:noWrap/>
            <w:vAlign w:val="center"/>
            <w:hideMark/>
          </w:tcPr>
          <w:p w14:paraId="01ADC168" w14:textId="77777777" w:rsidR="002B607F" w:rsidRPr="003B567A" w:rsidRDefault="002B607F" w:rsidP="002121D4">
            <w:pPr>
              <w:ind w:firstLine="0"/>
              <w:jc w:val="center"/>
              <w:rPr>
                <w:b/>
                <w:bCs/>
                <w:color w:val="000000"/>
              </w:rPr>
            </w:pPr>
            <w:r w:rsidRPr="003B567A">
              <w:rPr>
                <w:b/>
                <w:bCs/>
                <w:color w:val="000000"/>
                <w:lang w:val="en-US"/>
              </w:rPr>
              <w:t>Feedstock</w:t>
            </w:r>
          </w:p>
        </w:tc>
        <w:tc>
          <w:tcPr>
            <w:tcW w:w="1782" w:type="dxa"/>
            <w:vMerge w:val="restart"/>
            <w:noWrap/>
            <w:vAlign w:val="center"/>
            <w:hideMark/>
          </w:tcPr>
          <w:p w14:paraId="01E15E18" w14:textId="77777777" w:rsidR="002B607F" w:rsidRPr="003B567A" w:rsidRDefault="002B607F" w:rsidP="002121D4">
            <w:pPr>
              <w:ind w:firstLine="0"/>
              <w:jc w:val="center"/>
              <w:rPr>
                <w:b/>
                <w:bCs/>
                <w:color w:val="000000"/>
              </w:rPr>
            </w:pPr>
            <w:r w:rsidRPr="003B567A">
              <w:rPr>
                <w:b/>
                <w:bCs/>
                <w:color w:val="000000"/>
              </w:rPr>
              <w:t>Pyr. temp. (˚C)</w:t>
            </w:r>
          </w:p>
        </w:tc>
        <w:tc>
          <w:tcPr>
            <w:tcW w:w="4058" w:type="dxa"/>
            <w:gridSpan w:val="2"/>
            <w:noWrap/>
            <w:hideMark/>
          </w:tcPr>
          <w:p w14:paraId="3DE371BF" w14:textId="53263B8C" w:rsidR="002B607F" w:rsidRPr="003B567A" w:rsidRDefault="003333FF" w:rsidP="002121D4">
            <w:pPr>
              <w:ind w:firstLine="0"/>
              <w:jc w:val="center"/>
              <w:rPr>
                <w:b/>
                <w:bCs/>
                <w:color w:val="000000"/>
              </w:rPr>
            </w:pPr>
            <w:r>
              <w:rPr>
                <w:b/>
                <w:bCs/>
                <w:color w:val="000000"/>
              </w:rPr>
              <w:t xml:space="preserve">% </w:t>
            </w:r>
            <w:r w:rsidR="002B607F" w:rsidRPr="003B567A">
              <w:rPr>
                <w:b/>
                <w:bCs/>
                <w:color w:val="000000"/>
              </w:rPr>
              <w:t>RE</w:t>
            </w:r>
          </w:p>
        </w:tc>
      </w:tr>
      <w:tr w:rsidR="002B607F" w:rsidRPr="003B567A" w14:paraId="287367CF" w14:textId="77777777" w:rsidTr="00302BD5">
        <w:trPr>
          <w:trHeight w:val="290"/>
          <w:jc w:val="center"/>
        </w:trPr>
        <w:tc>
          <w:tcPr>
            <w:tcW w:w="1243" w:type="dxa"/>
            <w:vMerge/>
            <w:hideMark/>
          </w:tcPr>
          <w:p w14:paraId="73D1EF13" w14:textId="77777777" w:rsidR="002B607F" w:rsidRPr="003B567A" w:rsidRDefault="002B607F" w:rsidP="002121D4">
            <w:pPr>
              <w:ind w:firstLine="0"/>
              <w:rPr>
                <w:b/>
                <w:bCs/>
                <w:color w:val="000000"/>
              </w:rPr>
            </w:pPr>
          </w:p>
        </w:tc>
        <w:tc>
          <w:tcPr>
            <w:tcW w:w="1782" w:type="dxa"/>
            <w:vMerge/>
            <w:hideMark/>
          </w:tcPr>
          <w:p w14:paraId="57CDB133" w14:textId="77777777" w:rsidR="002B607F" w:rsidRPr="003B567A" w:rsidRDefault="002B607F" w:rsidP="002121D4">
            <w:pPr>
              <w:ind w:firstLine="0"/>
              <w:rPr>
                <w:b/>
                <w:bCs/>
                <w:color w:val="000000"/>
              </w:rPr>
            </w:pPr>
          </w:p>
        </w:tc>
        <w:tc>
          <w:tcPr>
            <w:tcW w:w="1932" w:type="dxa"/>
            <w:noWrap/>
            <w:hideMark/>
          </w:tcPr>
          <w:p w14:paraId="0913D0C4" w14:textId="77777777" w:rsidR="002B607F" w:rsidRPr="003B567A" w:rsidRDefault="002B607F" w:rsidP="002121D4">
            <w:pPr>
              <w:ind w:firstLine="0"/>
              <w:jc w:val="center"/>
              <w:rPr>
                <w:b/>
                <w:bCs/>
                <w:color w:val="000000"/>
              </w:rPr>
            </w:pPr>
            <w:r w:rsidRPr="003B567A">
              <w:rPr>
                <w:b/>
                <w:bCs/>
                <w:color w:val="000000"/>
              </w:rPr>
              <w:t>∑PCB-7</w:t>
            </w:r>
          </w:p>
        </w:tc>
        <w:tc>
          <w:tcPr>
            <w:tcW w:w="2126" w:type="dxa"/>
            <w:noWrap/>
            <w:hideMark/>
          </w:tcPr>
          <w:p w14:paraId="583C9D82" w14:textId="3939A609" w:rsidR="002B607F" w:rsidRPr="003B567A" w:rsidRDefault="002B607F" w:rsidP="002121D4">
            <w:pPr>
              <w:ind w:firstLine="0"/>
              <w:jc w:val="center"/>
              <w:rPr>
                <w:b/>
                <w:bCs/>
                <w:color w:val="000000"/>
              </w:rPr>
            </w:pPr>
            <w:r w:rsidRPr="003B567A">
              <w:rPr>
                <w:b/>
                <w:bCs/>
                <w:color w:val="000000"/>
              </w:rPr>
              <w:t>∑</w:t>
            </w:r>
            <w:r w:rsidR="00F0305F">
              <w:rPr>
                <w:b/>
                <w:bCs/>
                <w:color w:val="000000"/>
              </w:rPr>
              <w:t>PCDD</w:t>
            </w:r>
            <w:r w:rsidRPr="003B567A">
              <w:rPr>
                <w:b/>
                <w:bCs/>
                <w:color w:val="000000"/>
              </w:rPr>
              <w:t>/</w:t>
            </w:r>
            <w:r w:rsidR="00F0305F">
              <w:rPr>
                <w:b/>
                <w:bCs/>
                <w:color w:val="000000"/>
              </w:rPr>
              <w:t>PCDF</w:t>
            </w:r>
            <w:r w:rsidR="003333FF">
              <w:rPr>
                <w:b/>
                <w:bCs/>
                <w:color w:val="000000"/>
              </w:rPr>
              <w:t>-17</w:t>
            </w:r>
            <w:r w:rsidR="00E773BC">
              <w:rPr>
                <w:b/>
                <w:bCs/>
                <w:color w:val="000000"/>
              </w:rPr>
              <w:t xml:space="preserve"> </w:t>
            </w:r>
            <w:r w:rsidR="00960D86">
              <w:rPr>
                <w:b/>
                <w:bCs/>
                <w:color w:val="000000"/>
              </w:rPr>
              <w:t>(</w:t>
            </w:r>
            <w:r w:rsidR="00E773BC" w:rsidRPr="00960D86">
              <w:rPr>
                <w:b/>
                <w:bCs/>
                <w:color w:val="000000" w:themeColor="text1"/>
              </w:rPr>
              <w:t>TEQ</w:t>
            </w:r>
            <w:r w:rsidR="00960D86">
              <w:rPr>
                <w:b/>
                <w:bCs/>
                <w:color w:val="000000" w:themeColor="text1"/>
              </w:rPr>
              <w:t>)</w:t>
            </w:r>
          </w:p>
        </w:tc>
      </w:tr>
      <w:tr w:rsidR="00252BFA" w:rsidRPr="003B567A" w14:paraId="7C00EA78" w14:textId="77777777" w:rsidTr="00302BD5">
        <w:trPr>
          <w:trHeight w:val="290"/>
          <w:jc w:val="center"/>
        </w:trPr>
        <w:tc>
          <w:tcPr>
            <w:tcW w:w="1243" w:type="dxa"/>
            <w:vMerge w:val="restart"/>
            <w:noWrap/>
            <w:vAlign w:val="center"/>
            <w:hideMark/>
          </w:tcPr>
          <w:p w14:paraId="6E623308" w14:textId="77777777" w:rsidR="00252BFA" w:rsidRPr="003B567A" w:rsidRDefault="00252BFA" w:rsidP="00252BFA">
            <w:pPr>
              <w:ind w:firstLine="0"/>
              <w:jc w:val="center"/>
              <w:rPr>
                <w:color w:val="000000"/>
              </w:rPr>
            </w:pPr>
            <w:r w:rsidRPr="003B567A">
              <w:rPr>
                <w:color w:val="000000"/>
              </w:rPr>
              <w:t>DSS-1</w:t>
            </w:r>
          </w:p>
        </w:tc>
        <w:tc>
          <w:tcPr>
            <w:tcW w:w="1782" w:type="dxa"/>
            <w:noWrap/>
            <w:hideMark/>
          </w:tcPr>
          <w:p w14:paraId="484CBB02"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42AF145E" w14:textId="4306E0D1" w:rsidR="00252BFA" w:rsidRPr="003B567A" w:rsidRDefault="00252BFA" w:rsidP="00252BFA">
            <w:pPr>
              <w:ind w:firstLine="0"/>
              <w:jc w:val="center"/>
              <w:rPr>
                <w:color w:val="000000"/>
              </w:rPr>
            </w:pPr>
            <w:r w:rsidRPr="0008744E">
              <w:t>99.9747</w:t>
            </w:r>
          </w:p>
        </w:tc>
        <w:tc>
          <w:tcPr>
            <w:tcW w:w="2126" w:type="dxa"/>
            <w:noWrap/>
            <w:hideMark/>
          </w:tcPr>
          <w:p w14:paraId="51AD2F6B" w14:textId="5AD6C176" w:rsidR="00252BFA" w:rsidRPr="003B567A" w:rsidRDefault="00252BFA" w:rsidP="00252BFA">
            <w:pPr>
              <w:ind w:firstLine="0"/>
              <w:jc w:val="center"/>
              <w:rPr>
                <w:color w:val="000000"/>
              </w:rPr>
            </w:pPr>
            <w:r w:rsidRPr="0008744E">
              <w:t>99.9875</w:t>
            </w:r>
          </w:p>
        </w:tc>
      </w:tr>
      <w:tr w:rsidR="00252BFA" w:rsidRPr="003B567A" w14:paraId="2A79E288" w14:textId="77777777" w:rsidTr="00302BD5">
        <w:trPr>
          <w:trHeight w:val="290"/>
          <w:jc w:val="center"/>
        </w:trPr>
        <w:tc>
          <w:tcPr>
            <w:tcW w:w="1243" w:type="dxa"/>
            <w:vMerge/>
            <w:vAlign w:val="center"/>
            <w:hideMark/>
          </w:tcPr>
          <w:p w14:paraId="4A2FEC30" w14:textId="77777777" w:rsidR="00252BFA" w:rsidRPr="003B567A" w:rsidRDefault="00252BFA" w:rsidP="00252BFA">
            <w:pPr>
              <w:ind w:firstLine="0"/>
              <w:jc w:val="center"/>
              <w:rPr>
                <w:color w:val="000000"/>
              </w:rPr>
            </w:pPr>
          </w:p>
        </w:tc>
        <w:tc>
          <w:tcPr>
            <w:tcW w:w="1782" w:type="dxa"/>
            <w:noWrap/>
            <w:hideMark/>
          </w:tcPr>
          <w:p w14:paraId="2B84CB2D"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07339BE" w14:textId="5EFF3A98" w:rsidR="00252BFA" w:rsidRPr="003B567A" w:rsidRDefault="00252BFA" w:rsidP="00252BFA">
            <w:pPr>
              <w:ind w:firstLine="0"/>
              <w:jc w:val="center"/>
              <w:rPr>
                <w:color w:val="000000"/>
              </w:rPr>
            </w:pPr>
            <w:r w:rsidRPr="0008744E">
              <w:t>99.9463</w:t>
            </w:r>
          </w:p>
        </w:tc>
        <w:tc>
          <w:tcPr>
            <w:tcW w:w="2126" w:type="dxa"/>
            <w:noWrap/>
            <w:hideMark/>
          </w:tcPr>
          <w:p w14:paraId="7F7AF0EE" w14:textId="0A931E55" w:rsidR="00252BFA" w:rsidRPr="003B567A" w:rsidRDefault="00252BFA" w:rsidP="00252BFA">
            <w:pPr>
              <w:ind w:firstLine="0"/>
              <w:jc w:val="center"/>
              <w:rPr>
                <w:color w:val="000000"/>
              </w:rPr>
            </w:pPr>
            <w:r w:rsidRPr="0008744E">
              <w:t>99.9865</w:t>
            </w:r>
          </w:p>
        </w:tc>
      </w:tr>
      <w:tr w:rsidR="00252BFA" w:rsidRPr="003B567A" w14:paraId="283DAD91" w14:textId="77777777" w:rsidTr="00302BD5">
        <w:trPr>
          <w:trHeight w:val="290"/>
          <w:jc w:val="center"/>
        </w:trPr>
        <w:tc>
          <w:tcPr>
            <w:tcW w:w="1243" w:type="dxa"/>
            <w:vMerge/>
            <w:vAlign w:val="center"/>
            <w:hideMark/>
          </w:tcPr>
          <w:p w14:paraId="20F44FDA" w14:textId="77777777" w:rsidR="00252BFA" w:rsidRPr="003B567A" w:rsidRDefault="00252BFA" w:rsidP="00252BFA">
            <w:pPr>
              <w:ind w:firstLine="0"/>
              <w:jc w:val="center"/>
              <w:rPr>
                <w:color w:val="000000"/>
              </w:rPr>
            </w:pPr>
          </w:p>
        </w:tc>
        <w:tc>
          <w:tcPr>
            <w:tcW w:w="1782" w:type="dxa"/>
            <w:noWrap/>
            <w:hideMark/>
          </w:tcPr>
          <w:p w14:paraId="57A82CDE"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69CE3635" w14:textId="077574AA" w:rsidR="00252BFA" w:rsidRPr="003B567A" w:rsidRDefault="00252BFA" w:rsidP="00252BFA">
            <w:pPr>
              <w:ind w:firstLine="0"/>
              <w:jc w:val="center"/>
              <w:rPr>
                <w:color w:val="000000"/>
              </w:rPr>
            </w:pPr>
            <w:r w:rsidRPr="0008744E">
              <w:t>99.9678</w:t>
            </w:r>
          </w:p>
        </w:tc>
        <w:tc>
          <w:tcPr>
            <w:tcW w:w="2126" w:type="dxa"/>
            <w:noWrap/>
            <w:hideMark/>
          </w:tcPr>
          <w:p w14:paraId="27028F3C" w14:textId="42E840AA" w:rsidR="00252BFA" w:rsidRPr="003B567A" w:rsidRDefault="00252BFA" w:rsidP="00252BFA">
            <w:pPr>
              <w:ind w:firstLine="0"/>
              <w:jc w:val="center"/>
              <w:rPr>
                <w:color w:val="000000"/>
              </w:rPr>
            </w:pPr>
            <w:r w:rsidRPr="0008744E">
              <w:t>99.9857</w:t>
            </w:r>
          </w:p>
        </w:tc>
      </w:tr>
      <w:tr w:rsidR="00252BFA" w:rsidRPr="003B567A" w14:paraId="622CDA35" w14:textId="77777777" w:rsidTr="00302BD5">
        <w:trPr>
          <w:trHeight w:val="290"/>
          <w:jc w:val="center"/>
        </w:trPr>
        <w:tc>
          <w:tcPr>
            <w:tcW w:w="1243" w:type="dxa"/>
            <w:vMerge/>
            <w:vAlign w:val="center"/>
            <w:hideMark/>
          </w:tcPr>
          <w:p w14:paraId="61385310" w14:textId="77777777" w:rsidR="00252BFA" w:rsidRPr="003B567A" w:rsidRDefault="00252BFA" w:rsidP="00252BFA">
            <w:pPr>
              <w:ind w:firstLine="0"/>
              <w:jc w:val="center"/>
              <w:rPr>
                <w:color w:val="000000"/>
              </w:rPr>
            </w:pPr>
          </w:p>
        </w:tc>
        <w:tc>
          <w:tcPr>
            <w:tcW w:w="1782" w:type="dxa"/>
            <w:noWrap/>
            <w:hideMark/>
          </w:tcPr>
          <w:p w14:paraId="48D78047"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0E60FA1D" w14:textId="675E0D5D" w:rsidR="00252BFA" w:rsidRPr="003B567A" w:rsidRDefault="00252BFA" w:rsidP="00252BFA">
            <w:pPr>
              <w:ind w:firstLine="0"/>
              <w:jc w:val="center"/>
              <w:rPr>
                <w:color w:val="000000"/>
              </w:rPr>
            </w:pPr>
            <w:r w:rsidRPr="0008744E">
              <w:t>99.9506</w:t>
            </w:r>
          </w:p>
        </w:tc>
        <w:tc>
          <w:tcPr>
            <w:tcW w:w="2126" w:type="dxa"/>
            <w:noWrap/>
            <w:hideMark/>
          </w:tcPr>
          <w:p w14:paraId="3967E79A" w14:textId="3E4E6A70" w:rsidR="00252BFA" w:rsidRPr="003B567A" w:rsidRDefault="00252BFA" w:rsidP="00252BFA">
            <w:pPr>
              <w:ind w:firstLine="0"/>
              <w:jc w:val="center"/>
              <w:rPr>
                <w:color w:val="000000"/>
              </w:rPr>
            </w:pPr>
            <w:r w:rsidRPr="0008744E">
              <w:t>99.9868</w:t>
            </w:r>
          </w:p>
        </w:tc>
      </w:tr>
      <w:tr w:rsidR="00252BFA" w:rsidRPr="003B567A" w14:paraId="71493A4E" w14:textId="77777777" w:rsidTr="00302BD5">
        <w:trPr>
          <w:trHeight w:val="290"/>
          <w:jc w:val="center"/>
        </w:trPr>
        <w:tc>
          <w:tcPr>
            <w:tcW w:w="1243" w:type="dxa"/>
            <w:vMerge w:val="restart"/>
            <w:noWrap/>
            <w:vAlign w:val="center"/>
            <w:hideMark/>
          </w:tcPr>
          <w:p w14:paraId="6DBC063B" w14:textId="77777777" w:rsidR="00252BFA" w:rsidRPr="003B567A" w:rsidRDefault="00252BFA" w:rsidP="00252BFA">
            <w:pPr>
              <w:ind w:firstLine="0"/>
              <w:jc w:val="center"/>
              <w:rPr>
                <w:color w:val="000000"/>
              </w:rPr>
            </w:pPr>
            <w:r w:rsidRPr="003B567A">
              <w:rPr>
                <w:color w:val="000000"/>
              </w:rPr>
              <w:t>DSS-2</w:t>
            </w:r>
          </w:p>
        </w:tc>
        <w:tc>
          <w:tcPr>
            <w:tcW w:w="1782" w:type="dxa"/>
            <w:noWrap/>
            <w:hideMark/>
          </w:tcPr>
          <w:p w14:paraId="6148039C"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22BF7361" w14:textId="3EEF95CC" w:rsidR="00252BFA" w:rsidRPr="003B567A" w:rsidRDefault="00252BFA" w:rsidP="00252BFA">
            <w:pPr>
              <w:ind w:firstLine="0"/>
              <w:jc w:val="center"/>
              <w:rPr>
                <w:color w:val="000000"/>
              </w:rPr>
            </w:pPr>
            <w:r w:rsidRPr="0008744E">
              <w:t>99.9385</w:t>
            </w:r>
          </w:p>
        </w:tc>
        <w:tc>
          <w:tcPr>
            <w:tcW w:w="2126" w:type="dxa"/>
            <w:noWrap/>
            <w:hideMark/>
          </w:tcPr>
          <w:p w14:paraId="25BA25CF" w14:textId="5F13592F" w:rsidR="00252BFA" w:rsidRPr="003B567A" w:rsidRDefault="00252BFA" w:rsidP="00252BFA">
            <w:pPr>
              <w:ind w:firstLine="0"/>
              <w:jc w:val="center"/>
              <w:rPr>
                <w:color w:val="000000"/>
              </w:rPr>
            </w:pPr>
            <w:r w:rsidRPr="0008744E">
              <w:t>99.9564</w:t>
            </w:r>
          </w:p>
        </w:tc>
      </w:tr>
      <w:tr w:rsidR="00252BFA" w:rsidRPr="003B567A" w14:paraId="01F69B66" w14:textId="77777777" w:rsidTr="00302BD5">
        <w:trPr>
          <w:trHeight w:val="290"/>
          <w:jc w:val="center"/>
        </w:trPr>
        <w:tc>
          <w:tcPr>
            <w:tcW w:w="1243" w:type="dxa"/>
            <w:vMerge/>
            <w:vAlign w:val="center"/>
            <w:hideMark/>
          </w:tcPr>
          <w:p w14:paraId="214EC6D0" w14:textId="77777777" w:rsidR="00252BFA" w:rsidRPr="003B567A" w:rsidRDefault="00252BFA" w:rsidP="00252BFA">
            <w:pPr>
              <w:ind w:firstLine="0"/>
              <w:jc w:val="center"/>
              <w:rPr>
                <w:color w:val="000000"/>
              </w:rPr>
            </w:pPr>
          </w:p>
        </w:tc>
        <w:tc>
          <w:tcPr>
            <w:tcW w:w="1782" w:type="dxa"/>
            <w:noWrap/>
            <w:hideMark/>
          </w:tcPr>
          <w:p w14:paraId="662DD26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06EEC0FF" w14:textId="3E94503C" w:rsidR="00252BFA" w:rsidRPr="003B567A" w:rsidRDefault="00252BFA" w:rsidP="00252BFA">
            <w:pPr>
              <w:ind w:firstLine="0"/>
              <w:jc w:val="center"/>
              <w:rPr>
                <w:color w:val="000000"/>
              </w:rPr>
            </w:pPr>
            <w:r w:rsidRPr="0008744E">
              <w:t>99.9253</w:t>
            </w:r>
          </w:p>
        </w:tc>
        <w:tc>
          <w:tcPr>
            <w:tcW w:w="2126" w:type="dxa"/>
            <w:noWrap/>
            <w:hideMark/>
          </w:tcPr>
          <w:p w14:paraId="106EB3DB" w14:textId="02CBBB05" w:rsidR="00252BFA" w:rsidRPr="003B567A" w:rsidRDefault="00252BFA" w:rsidP="00252BFA">
            <w:pPr>
              <w:ind w:firstLine="0"/>
              <w:jc w:val="center"/>
              <w:rPr>
                <w:color w:val="000000"/>
              </w:rPr>
            </w:pPr>
            <w:r w:rsidRPr="0008744E">
              <w:t>99.9481</w:t>
            </w:r>
          </w:p>
        </w:tc>
      </w:tr>
      <w:tr w:rsidR="00252BFA" w:rsidRPr="003B567A" w14:paraId="5B2B2F7B" w14:textId="77777777" w:rsidTr="00302BD5">
        <w:trPr>
          <w:trHeight w:val="290"/>
          <w:jc w:val="center"/>
        </w:trPr>
        <w:tc>
          <w:tcPr>
            <w:tcW w:w="1243" w:type="dxa"/>
            <w:vMerge/>
            <w:vAlign w:val="center"/>
            <w:hideMark/>
          </w:tcPr>
          <w:p w14:paraId="6CB44C6D" w14:textId="77777777" w:rsidR="00252BFA" w:rsidRPr="003B567A" w:rsidRDefault="00252BFA" w:rsidP="00252BFA">
            <w:pPr>
              <w:ind w:firstLine="0"/>
              <w:jc w:val="center"/>
              <w:rPr>
                <w:color w:val="000000"/>
              </w:rPr>
            </w:pPr>
          </w:p>
        </w:tc>
        <w:tc>
          <w:tcPr>
            <w:tcW w:w="1782" w:type="dxa"/>
            <w:noWrap/>
            <w:hideMark/>
          </w:tcPr>
          <w:p w14:paraId="5BE4F087"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78EC506B" w14:textId="0BF8211C" w:rsidR="00252BFA" w:rsidRPr="003B567A" w:rsidRDefault="00252BFA" w:rsidP="00252BFA">
            <w:pPr>
              <w:ind w:firstLine="0"/>
              <w:jc w:val="center"/>
              <w:rPr>
                <w:color w:val="000000"/>
              </w:rPr>
            </w:pPr>
            <w:r w:rsidRPr="0008744E">
              <w:t>99.9406</w:t>
            </w:r>
          </w:p>
        </w:tc>
        <w:tc>
          <w:tcPr>
            <w:tcW w:w="2126" w:type="dxa"/>
            <w:noWrap/>
            <w:hideMark/>
          </w:tcPr>
          <w:p w14:paraId="1CD60FDC" w14:textId="2598A172" w:rsidR="00252BFA" w:rsidRPr="003B567A" w:rsidRDefault="00252BFA" w:rsidP="00252BFA">
            <w:pPr>
              <w:ind w:firstLine="0"/>
              <w:jc w:val="center"/>
              <w:rPr>
                <w:color w:val="000000"/>
              </w:rPr>
            </w:pPr>
            <w:r w:rsidRPr="0008744E">
              <w:t>99.9579</w:t>
            </w:r>
          </w:p>
        </w:tc>
      </w:tr>
      <w:tr w:rsidR="00252BFA" w:rsidRPr="003B567A" w14:paraId="7901981A" w14:textId="77777777" w:rsidTr="00302BD5">
        <w:trPr>
          <w:trHeight w:val="290"/>
          <w:jc w:val="center"/>
        </w:trPr>
        <w:tc>
          <w:tcPr>
            <w:tcW w:w="1243" w:type="dxa"/>
            <w:vMerge/>
            <w:vAlign w:val="center"/>
            <w:hideMark/>
          </w:tcPr>
          <w:p w14:paraId="22C9633E" w14:textId="77777777" w:rsidR="00252BFA" w:rsidRPr="003B567A" w:rsidRDefault="00252BFA" w:rsidP="00252BFA">
            <w:pPr>
              <w:ind w:firstLine="0"/>
              <w:jc w:val="center"/>
              <w:rPr>
                <w:color w:val="000000"/>
              </w:rPr>
            </w:pPr>
          </w:p>
        </w:tc>
        <w:tc>
          <w:tcPr>
            <w:tcW w:w="1782" w:type="dxa"/>
            <w:noWrap/>
            <w:hideMark/>
          </w:tcPr>
          <w:p w14:paraId="22F10808"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13CDF1D3" w14:textId="381B572F" w:rsidR="00252BFA" w:rsidRPr="003B567A" w:rsidRDefault="00252BFA" w:rsidP="00252BFA">
            <w:pPr>
              <w:ind w:firstLine="0"/>
              <w:jc w:val="center"/>
              <w:rPr>
                <w:color w:val="000000"/>
              </w:rPr>
            </w:pPr>
            <w:r w:rsidRPr="0008744E">
              <w:t>99.9404</w:t>
            </w:r>
          </w:p>
        </w:tc>
        <w:tc>
          <w:tcPr>
            <w:tcW w:w="2126" w:type="dxa"/>
            <w:noWrap/>
            <w:hideMark/>
          </w:tcPr>
          <w:p w14:paraId="5EC2FA1A" w14:textId="0A3C0DF6" w:rsidR="00252BFA" w:rsidRPr="003B567A" w:rsidRDefault="00252BFA" w:rsidP="00252BFA">
            <w:pPr>
              <w:ind w:firstLine="0"/>
              <w:jc w:val="center"/>
              <w:rPr>
                <w:color w:val="000000"/>
              </w:rPr>
            </w:pPr>
            <w:r w:rsidRPr="0008744E">
              <w:t>99.9551</w:t>
            </w:r>
          </w:p>
        </w:tc>
      </w:tr>
      <w:tr w:rsidR="00252BFA" w:rsidRPr="003B567A" w14:paraId="12C52A47" w14:textId="77777777" w:rsidTr="00302BD5">
        <w:trPr>
          <w:trHeight w:val="290"/>
          <w:jc w:val="center"/>
        </w:trPr>
        <w:tc>
          <w:tcPr>
            <w:tcW w:w="1243" w:type="dxa"/>
            <w:vMerge w:val="restart"/>
            <w:vAlign w:val="center"/>
            <w:hideMark/>
          </w:tcPr>
          <w:p w14:paraId="4D35036C" w14:textId="77777777" w:rsidR="00252BFA" w:rsidRPr="003B567A" w:rsidRDefault="00252BFA" w:rsidP="00252BFA">
            <w:pPr>
              <w:ind w:firstLine="0"/>
              <w:jc w:val="center"/>
              <w:rPr>
                <w:color w:val="000000"/>
              </w:rPr>
            </w:pPr>
            <w:r w:rsidRPr="003B567A">
              <w:rPr>
                <w:color w:val="000000"/>
              </w:rPr>
              <w:t>FWR</w:t>
            </w:r>
          </w:p>
        </w:tc>
        <w:tc>
          <w:tcPr>
            <w:tcW w:w="1782" w:type="dxa"/>
            <w:noWrap/>
            <w:hideMark/>
          </w:tcPr>
          <w:p w14:paraId="05D12852"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44047C59" w14:textId="3A0A5652" w:rsidR="00252BFA" w:rsidRPr="00252BFA" w:rsidRDefault="00252BFA" w:rsidP="00252BFA">
            <w:pPr>
              <w:ind w:firstLine="0"/>
              <w:jc w:val="center"/>
              <w:rPr>
                <w:color w:val="000000"/>
              </w:rPr>
            </w:pPr>
            <w:r>
              <w:rPr>
                <w:color w:val="000000"/>
              </w:rPr>
              <w:t>n.d.</w:t>
            </w:r>
          </w:p>
        </w:tc>
        <w:tc>
          <w:tcPr>
            <w:tcW w:w="2126" w:type="dxa"/>
            <w:noWrap/>
            <w:hideMark/>
          </w:tcPr>
          <w:p w14:paraId="7B2342C3" w14:textId="3DEA0B1F" w:rsidR="00252BFA" w:rsidRPr="003B567A" w:rsidRDefault="00252BFA" w:rsidP="00252BFA">
            <w:pPr>
              <w:ind w:firstLine="0"/>
              <w:jc w:val="center"/>
              <w:rPr>
                <w:color w:val="000000"/>
              </w:rPr>
            </w:pPr>
            <w:r w:rsidRPr="0008744E">
              <w:t>99.9432</w:t>
            </w:r>
          </w:p>
        </w:tc>
      </w:tr>
      <w:tr w:rsidR="00252BFA" w:rsidRPr="003B567A" w14:paraId="026764E0" w14:textId="77777777" w:rsidTr="00302BD5">
        <w:trPr>
          <w:trHeight w:val="290"/>
          <w:jc w:val="center"/>
        </w:trPr>
        <w:tc>
          <w:tcPr>
            <w:tcW w:w="1243" w:type="dxa"/>
            <w:vMerge/>
            <w:vAlign w:val="center"/>
            <w:hideMark/>
          </w:tcPr>
          <w:p w14:paraId="30F3ADF3" w14:textId="77777777" w:rsidR="00252BFA" w:rsidRPr="003B567A" w:rsidRDefault="00252BFA" w:rsidP="00252BFA">
            <w:pPr>
              <w:ind w:firstLine="0"/>
              <w:jc w:val="center"/>
              <w:rPr>
                <w:color w:val="000000"/>
              </w:rPr>
            </w:pPr>
          </w:p>
        </w:tc>
        <w:tc>
          <w:tcPr>
            <w:tcW w:w="1782" w:type="dxa"/>
            <w:noWrap/>
            <w:hideMark/>
          </w:tcPr>
          <w:p w14:paraId="0F651A0C"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34A4FEE0" w14:textId="25AA11F2" w:rsidR="00252BFA" w:rsidRPr="003B567A" w:rsidRDefault="00252BFA" w:rsidP="00252BFA">
            <w:pPr>
              <w:ind w:firstLine="0"/>
              <w:jc w:val="center"/>
              <w:rPr>
                <w:color w:val="000000"/>
              </w:rPr>
            </w:pPr>
            <w:r>
              <w:rPr>
                <w:color w:val="000000"/>
              </w:rPr>
              <w:t>n.d.</w:t>
            </w:r>
          </w:p>
        </w:tc>
        <w:tc>
          <w:tcPr>
            <w:tcW w:w="2126" w:type="dxa"/>
            <w:noWrap/>
            <w:hideMark/>
          </w:tcPr>
          <w:p w14:paraId="38D299E9" w14:textId="7AE4A685" w:rsidR="00252BFA" w:rsidRPr="003B567A" w:rsidRDefault="00252BFA" w:rsidP="00252BFA">
            <w:pPr>
              <w:ind w:firstLine="0"/>
              <w:jc w:val="center"/>
              <w:rPr>
                <w:color w:val="000000"/>
              </w:rPr>
            </w:pPr>
            <w:r w:rsidRPr="0008744E">
              <w:t>99.9590</w:t>
            </w:r>
          </w:p>
        </w:tc>
      </w:tr>
      <w:tr w:rsidR="00252BFA" w:rsidRPr="003B567A" w14:paraId="06319305" w14:textId="77777777" w:rsidTr="00302BD5">
        <w:trPr>
          <w:trHeight w:val="290"/>
          <w:jc w:val="center"/>
        </w:trPr>
        <w:tc>
          <w:tcPr>
            <w:tcW w:w="1243" w:type="dxa"/>
            <w:vMerge w:val="restart"/>
            <w:noWrap/>
            <w:vAlign w:val="center"/>
            <w:hideMark/>
          </w:tcPr>
          <w:p w14:paraId="5395A80F" w14:textId="77777777" w:rsidR="00252BFA" w:rsidRPr="003B567A" w:rsidRDefault="00252BFA" w:rsidP="00252BFA">
            <w:pPr>
              <w:ind w:firstLine="0"/>
              <w:jc w:val="center"/>
              <w:rPr>
                <w:color w:val="000000"/>
              </w:rPr>
            </w:pPr>
            <w:r w:rsidRPr="003B567A">
              <w:rPr>
                <w:color w:val="000000"/>
              </w:rPr>
              <w:t>LSS</w:t>
            </w:r>
          </w:p>
        </w:tc>
        <w:tc>
          <w:tcPr>
            <w:tcW w:w="1782" w:type="dxa"/>
            <w:noWrap/>
            <w:hideMark/>
          </w:tcPr>
          <w:p w14:paraId="2F5D3A9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69E90D9" w14:textId="7E269B94" w:rsidR="00252BFA" w:rsidRPr="003B567A" w:rsidRDefault="00252BFA" w:rsidP="00252BFA">
            <w:pPr>
              <w:ind w:firstLine="0"/>
              <w:jc w:val="center"/>
              <w:rPr>
                <w:color w:val="000000"/>
              </w:rPr>
            </w:pPr>
            <w:r w:rsidRPr="0008744E">
              <w:t>99.9675</w:t>
            </w:r>
          </w:p>
        </w:tc>
        <w:tc>
          <w:tcPr>
            <w:tcW w:w="2126" w:type="dxa"/>
            <w:noWrap/>
            <w:hideMark/>
          </w:tcPr>
          <w:p w14:paraId="2C279951" w14:textId="30E403D2" w:rsidR="00252BFA" w:rsidRPr="003B567A" w:rsidRDefault="00252BFA" w:rsidP="00252BFA">
            <w:pPr>
              <w:ind w:firstLine="0"/>
              <w:jc w:val="center"/>
              <w:rPr>
                <w:color w:val="000000"/>
              </w:rPr>
            </w:pPr>
            <w:r>
              <w:rPr>
                <w:color w:val="000000"/>
              </w:rPr>
              <w:t>n.d.</w:t>
            </w:r>
          </w:p>
        </w:tc>
      </w:tr>
      <w:tr w:rsidR="00252BFA" w:rsidRPr="003B567A" w14:paraId="02E0EB07" w14:textId="77777777" w:rsidTr="00302BD5">
        <w:trPr>
          <w:trHeight w:val="290"/>
          <w:jc w:val="center"/>
        </w:trPr>
        <w:tc>
          <w:tcPr>
            <w:tcW w:w="1243" w:type="dxa"/>
            <w:vMerge/>
            <w:hideMark/>
          </w:tcPr>
          <w:p w14:paraId="36E1CB15" w14:textId="77777777" w:rsidR="00252BFA" w:rsidRPr="003B567A" w:rsidRDefault="00252BFA" w:rsidP="00252BFA">
            <w:pPr>
              <w:ind w:firstLine="0"/>
              <w:rPr>
                <w:color w:val="000000"/>
              </w:rPr>
            </w:pPr>
          </w:p>
        </w:tc>
        <w:tc>
          <w:tcPr>
            <w:tcW w:w="1782" w:type="dxa"/>
            <w:noWrap/>
            <w:hideMark/>
          </w:tcPr>
          <w:p w14:paraId="0F38BB2D" w14:textId="77777777" w:rsidR="00252BFA" w:rsidRPr="003B567A" w:rsidRDefault="00252BFA" w:rsidP="00252BFA">
            <w:pPr>
              <w:ind w:firstLine="0"/>
              <w:jc w:val="center"/>
              <w:rPr>
                <w:color w:val="000000"/>
              </w:rPr>
            </w:pPr>
            <w:r w:rsidRPr="003B567A">
              <w:rPr>
                <w:color w:val="000000"/>
              </w:rPr>
              <w:t>750</w:t>
            </w:r>
          </w:p>
        </w:tc>
        <w:tc>
          <w:tcPr>
            <w:tcW w:w="1932" w:type="dxa"/>
            <w:noWrap/>
            <w:hideMark/>
          </w:tcPr>
          <w:p w14:paraId="0E7158F6" w14:textId="7CD155F1" w:rsidR="00252BFA" w:rsidRPr="003B567A" w:rsidRDefault="00252BFA" w:rsidP="00252BFA">
            <w:pPr>
              <w:ind w:firstLine="0"/>
              <w:jc w:val="center"/>
              <w:rPr>
                <w:color w:val="000000"/>
              </w:rPr>
            </w:pPr>
            <w:r w:rsidRPr="0008744E">
              <w:t>99.9724</w:t>
            </w:r>
          </w:p>
        </w:tc>
        <w:tc>
          <w:tcPr>
            <w:tcW w:w="2126" w:type="dxa"/>
            <w:noWrap/>
            <w:hideMark/>
          </w:tcPr>
          <w:p w14:paraId="2D6E7DE8" w14:textId="64CCBB25" w:rsidR="00252BFA" w:rsidRPr="003B567A" w:rsidRDefault="00252BFA" w:rsidP="00252BFA">
            <w:pPr>
              <w:ind w:firstLine="0"/>
              <w:jc w:val="center"/>
              <w:rPr>
                <w:color w:val="000000"/>
              </w:rPr>
            </w:pPr>
            <w:r>
              <w:rPr>
                <w:color w:val="000000"/>
              </w:rPr>
              <w:t>n.d.</w:t>
            </w:r>
          </w:p>
        </w:tc>
      </w:tr>
    </w:tbl>
    <w:p w14:paraId="7AFA8086" w14:textId="65F36B2A" w:rsidR="002B607F" w:rsidRPr="002B607F" w:rsidRDefault="00960D86" w:rsidP="001727BD">
      <w:pPr>
        <w:ind w:left="1416" w:firstLine="0"/>
        <w:rPr>
          <w:sz w:val="20"/>
          <w:szCs w:val="20"/>
          <w:lang w:val="en-US"/>
        </w:rPr>
      </w:pPr>
      <w:r>
        <w:rPr>
          <w:sz w:val="20"/>
          <w:szCs w:val="20"/>
          <w:lang w:val="en-US"/>
        </w:rPr>
        <w:t>n.d.</w:t>
      </w:r>
      <w:r w:rsidR="002B607F" w:rsidRPr="003B567A">
        <w:rPr>
          <w:sz w:val="20"/>
          <w:szCs w:val="20"/>
          <w:lang w:val="en-US"/>
        </w:rPr>
        <w:t xml:space="preserve"> = pollutant not </w:t>
      </w:r>
      <w:r>
        <w:rPr>
          <w:sz w:val="20"/>
          <w:szCs w:val="20"/>
          <w:lang w:val="en-US"/>
        </w:rPr>
        <w:t>determined</w:t>
      </w:r>
      <w:r w:rsidR="002B607F" w:rsidRPr="003B567A">
        <w:rPr>
          <w:sz w:val="20"/>
          <w:szCs w:val="20"/>
          <w:lang w:val="en-US"/>
        </w:rPr>
        <w:t xml:space="preserve"> in biochar sample.</w:t>
      </w:r>
    </w:p>
    <w:p w14:paraId="63416331" w14:textId="1EF70AA8" w:rsidR="00D64F24" w:rsidRDefault="00885CAF" w:rsidP="00401EEE">
      <w:pPr>
        <w:pStyle w:val="Heading2"/>
      </w:pPr>
      <w:r>
        <w:t>E</w:t>
      </w:r>
      <w:r w:rsidR="00D64F24">
        <w:t>mission factors</w:t>
      </w:r>
    </w:p>
    <w:p w14:paraId="199F7FA9" w14:textId="2D12294D" w:rsidR="001727BD" w:rsidRDefault="001727BD">
      <w:pPr>
        <w:spacing w:after="160"/>
        <w:ind w:firstLine="0"/>
        <w:rPr>
          <w:lang w:val="en-US"/>
        </w:rPr>
      </w:pPr>
      <w:r>
        <w:rPr>
          <w:lang w:val="en-US"/>
        </w:rPr>
        <w:t>Organic pollutant emission concentrations</w:t>
      </w:r>
      <w:r w:rsidR="00885CAF">
        <w:rPr>
          <w:lang w:val="en-US"/>
        </w:rPr>
        <w:t xml:space="preserve"> (EC)</w:t>
      </w:r>
      <w:r>
        <w:rPr>
          <w:lang w:val="en-US"/>
        </w:rPr>
        <w:t>, emission factors</w:t>
      </w:r>
      <w:r w:rsidR="00885CAF">
        <w:rPr>
          <w:lang w:val="en-US"/>
        </w:rPr>
        <w:t xml:space="preserve"> (EF)</w:t>
      </w:r>
      <w:r>
        <w:rPr>
          <w:lang w:val="en-US"/>
        </w:rPr>
        <w:t xml:space="preserve">, and distribution of pollutants between the particle and gas phase for each feedstock and treatment temperature are presented in </w:t>
      </w:r>
      <w:r>
        <w:rPr>
          <w:lang w:val="en-US"/>
        </w:rPr>
        <w:fldChar w:fldCharType="begin"/>
      </w:r>
      <w:r>
        <w:rPr>
          <w:lang w:val="en-US"/>
        </w:rPr>
        <w:instrText xml:space="preserve"> REF _Ref131067259 \h </w:instrText>
      </w:r>
      <w:r>
        <w:rPr>
          <w:lang w:val="en-US"/>
        </w:rPr>
      </w:r>
      <w:r>
        <w:rPr>
          <w:lang w:val="en-US"/>
        </w:rPr>
        <w:fldChar w:fldCharType="separate"/>
      </w:r>
      <w:r w:rsidR="00F36692" w:rsidRPr="00D64F24">
        <w:rPr>
          <w:lang w:val="en-US"/>
        </w:rPr>
        <w:t xml:space="preserve">Table </w:t>
      </w:r>
      <w:r w:rsidR="00F36692">
        <w:rPr>
          <w:noProof/>
          <w:lang w:val="en-US"/>
        </w:rPr>
        <w:t>3</w:t>
      </w:r>
      <w:r>
        <w:rPr>
          <w:lang w:val="en-US"/>
        </w:rPr>
        <w:fldChar w:fldCharType="end"/>
      </w:r>
      <w:r>
        <w:rPr>
          <w:lang w:val="en-US"/>
        </w:rPr>
        <w:t xml:space="preserve">. </w:t>
      </w:r>
    </w:p>
    <w:p w14:paraId="0E47CE95" w14:textId="16400365" w:rsidR="001727BD" w:rsidRDefault="001727BD" w:rsidP="001727BD">
      <w:pPr>
        <w:pStyle w:val="Heading3"/>
        <w:rPr>
          <w:lang w:val="en-US"/>
        </w:rPr>
      </w:pPr>
      <w:r>
        <w:rPr>
          <w:lang w:val="en-US"/>
        </w:rPr>
        <w:t>Emission factors dioxins</w:t>
      </w:r>
    </w:p>
    <w:p w14:paraId="30CEF735" w14:textId="6C910C29" w:rsidR="00734CC8" w:rsidRDefault="006B6DA6" w:rsidP="00734CC8">
      <w:pPr>
        <w:ind w:firstLine="0"/>
        <w:rPr>
          <w:lang w:val="en-US"/>
        </w:rPr>
      </w:pPr>
      <w:r>
        <w:rPr>
          <w:lang w:val="en-US"/>
        </w:rPr>
        <w:t>EF</w:t>
      </w:r>
      <w:r w:rsidR="00885CAF">
        <w:rPr>
          <w:lang w:val="en-US"/>
        </w:rPr>
        <w:t>s</w:t>
      </w:r>
      <w:r>
        <w:rPr>
          <w:lang w:val="en-US"/>
        </w:rPr>
        <w:t xml:space="preserve"> for dioxins ranged from </w:t>
      </w:r>
      <w:r w:rsidR="00CC6325">
        <w:rPr>
          <w:lang w:val="en-US"/>
        </w:rPr>
        <w:t xml:space="preserve">&lt;LOQ to </w:t>
      </w:r>
      <w:r w:rsidR="00415A0F">
        <w:rPr>
          <w:lang w:val="en-US"/>
        </w:rPr>
        <w:t xml:space="preserve">0.45 </w:t>
      </w:r>
      <w:r w:rsidR="00DE3112">
        <w:rPr>
          <w:lang w:val="en-US"/>
        </w:rPr>
        <w:t>µg TEQ tonne</w:t>
      </w:r>
      <w:r w:rsidR="00DE3112">
        <w:rPr>
          <w:vertAlign w:val="superscript"/>
          <w:lang w:val="en-US"/>
        </w:rPr>
        <w:t>-1</w:t>
      </w:r>
      <w:r w:rsidR="00DE3112">
        <w:rPr>
          <w:lang w:val="en-US"/>
        </w:rPr>
        <w:t xml:space="preserve"> and emission concentrations (EC) ranged from </w:t>
      </w:r>
      <w:r w:rsidR="00CC6325">
        <w:rPr>
          <w:lang w:val="en-US"/>
        </w:rPr>
        <w:t xml:space="preserve">&lt;LOQ to </w:t>
      </w:r>
      <w:r w:rsidR="00DE3112">
        <w:rPr>
          <w:lang w:val="en-US"/>
        </w:rPr>
        <w:t>41 pg m</w:t>
      </w:r>
      <w:r w:rsidR="00DE3112">
        <w:rPr>
          <w:vertAlign w:val="superscript"/>
          <w:lang w:val="en-US"/>
        </w:rPr>
        <w:t>-3</w:t>
      </w:r>
      <w:r w:rsidR="00DE3112">
        <w:rPr>
          <w:lang w:val="en-US"/>
        </w:rPr>
        <w:t xml:space="preserve">. </w:t>
      </w:r>
      <w:r w:rsidR="00885CAF">
        <w:rPr>
          <w:lang w:val="en-US"/>
        </w:rPr>
        <w:t xml:space="preserve">Dioxins were primarily detected in the particle phase—77-100% of the total dioxins in the exhaust were associated with particles. </w:t>
      </w:r>
    </w:p>
    <w:p w14:paraId="138C6959" w14:textId="3E5A63E2" w:rsidR="00BD2CC0" w:rsidRPr="00DE3112" w:rsidRDefault="00006263" w:rsidP="00BD2CC0">
      <w:pPr>
        <w:ind w:firstLine="708"/>
        <w:rPr>
          <w:lang w:val="en-US"/>
        </w:rPr>
      </w:pPr>
      <w:r>
        <w:rPr>
          <w:lang w:val="en-US"/>
        </w:rPr>
        <w:t xml:space="preserve">Emission concentrations </w:t>
      </w:r>
      <w:r w:rsidR="00052D69">
        <w:rPr>
          <w:lang w:val="en-US"/>
        </w:rPr>
        <w:t xml:space="preserve">of TCDD/Fs </w:t>
      </w:r>
      <w:r>
        <w:rPr>
          <w:lang w:val="en-US"/>
        </w:rPr>
        <w:t xml:space="preserve">were 2-3 orders of magnitude lower than the </w:t>
      </w:r>
      <w:r w:rsidR="00BD2CC0" w:rsidRPr="00BD2CC0">
        <w:rPr>
          <w:lang w:val="en-US"/>
        </w:rPr>
        <w:t xml:space="preserve">EU emission standard </w:t>
      </w:r>
      <w:r>
        <w:rPr>
          <w:lang w:val="en-US"/>
        </w:rPr>
        <w:t>(</w:t>
      </w:r>
      <w:r w:rsidR="00BD2CC0" w:rsidRPr="00BD2CC0">
        <w:rPr>
          <w:lang w:val="en-US"/>
        </w:rPr>
        <w:t>0.1 ng I-TEQ Nm</w:t>
      </w:r>
      <w:r w:rsidR="00BD2CC0" w:rsidRPr="00BD2CC0">
        <w:rPr>
          <w:vertAlign w:val="superscript"/>
          <w:lang w:val="en-US"/>
        </w:rPr>
        <w:t>−3</w:t>
      </w:r>
      <w:r>
        <w:rPr>
          <w:lang w:val="en-US"/>
        </w:rPr>
        <w:t xml:space="preserve">) </w:t>
      </w:r>
      <w:sdt>
        <w:sdtPr>
          <w:rPr>
            <w:lang w:val="en-US"/>
          </w:rPr>
          <w:tag w:val="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
          <w:id w:val="1584877954"/>
          <w:placeholder>
            <w:docPart w:val="DefaultPlaceholder_-1854013440"/>
          </w:placeholder>
        </w:sdtPr>
        <w:sdtEndPr/>
        <w:sdtContent>
          <w:r w:rsidR="007E4089" w:rsidRPr="007E4089">
            <w:rPr>
              <w:lang w:val="en-US"/>
            </w:rPr>
            <w:t>(</w:t>
          </w:r>
          <w:proofErr w:type="spellStart"/>
          <w:r w:rsidR="007E4089" w:rsidRPr="007E4089">
            <w:rPr>
              <w:lang w:val="en-US"/>
            </w:rPr>
            <w:t>Paradiz</w:t>
          </w:r>
          <w:proofErr w:type="spellEnd"/>
          <w:r w:rsidR="007E4089" w:rsidRPr="007E4089">
            <w:rPr>
              <w:lang w:val="en-US"/>
            </w:rPr>
            <w:t xml:space="preserve"> &amp; Dilara, 2003)</w:t>
          </w:r>
        </w:sdtContent>
      </w:sdt>
      <w:r w:rsidR="00052D69">
        <w:rPr>
          <w:lang w:val="en-US"/>
        </w:rPr>
        <w:t>.</w:t>
      </w:r>
    </w:p>
    <w:p w14:paraId="3C0A2B52" w14:textId="77777777" w:rsidR="004E20E8" w:rsidRDefault="001727BD" w:rsidP="001727BD">
      <w:pPr>
        <w:pStyle w:val="Heading3"/>
        <w:rPr>
          <w:lang w:val="en-US"/>
        </w:rPr>
      </w:pPr>
      <w:r>
        <w:rPr>
          <w:lang w:val="en-US"/>
        </w:rPr>
        <w:t>Emission factors PAHs</w:t>
      </w:r>
    </w:p>
    <w:p w14:paraId="3EAFB4D4" w14:textId="79CE6D8F" w:rsidR="00885CAF" w:rsidRPr="00DE3112" w:rsidRDefault="00FD071D" w:rsidP="00885CAF">
      <w:pPr>
        <w:ind w:firstLine="0"/>
        <w:rPr>
          <w:lang w:val="en-US"/>
        </w:rPr>
      </w:pPr>
      <w:r>
        <w:rPr>
          <w:lang w:val="en-US"/>
        </w:rPr>
        <w:t>EF</w:t>
      </w:r>
      <w:r w:rsidR="00885CAF">
        <w:rPr>
          <w:lang w:val="en-US"/>
        </w:rPr>
        <w:t>s</w:t>
      </w:r>
      <w:r>
        <w:rPr>
          <w:lang w:val="en-US"/>
        </w:rPr>
        <w:t xml:space="preserve"> </w:t>
      </w:r>
      <w:r w:rsidR="006B6DA6">
        <w:rPr>
          <w:lang w:val="en-US"/>
        </w:rPr>
        <w:t xml:space="preserve">for </w:t>
      </w:r>
      <w:r>
        <w:rPr>
          <w:lang w:val="en-US"/>
        </w:rPr>
        <w:t>PAH-16 ranged from 4.7 to 30699 mg tonne</w:t>
      </w:r>
      <w:r>
        <w:rPr>
          <w:vertAlign w:val="superscript"/>
          <w:lang w:val="en-US"/>
        </w:rPr>
        <w:t>-1</w:t>
      </w:r>
      <w:r w:rsidR="007A5361">
        <w:rPr>
          <w:lang w:val="en-US"/>
        </w:rPr>
        <w:t xml:space="preserve"> (</w:t>
      </w:r>
      <w:r w:rsidR="007A5361">
        <w:rPr>
          <w:lang w:val="en-US"/>
        </w:rPr>
        <w:fldChar w:fldCharType="begin"/>
      </w:r>
      <w:r w:rsidR="007A5361">
        <w:rPr>
          <w:lang w:val="en-US"/>
        </w:rPr>
        <w:instrText xml:space="preserve"> REF _Ref131067259 \h </w:instrText>
      </w:r>
      <w:r w:rsidR="007A5361">
        <w:rPr>
          <w:lang w:val="en-US"/>
        </w:rPr>
      </w:r>
      <w:r w:rsidR="007A5361">
        <w:rPr>
          <w:lang w:val="en-US"/>
        </w:rPr>
        <w:fldChar w:fldCharType="separate"/>
      </w:r>
      <w:r w:rsidR="00F36692" w:rsidRPr="00D64F24">
        <w:rPr>
          <w:lang w:val="en-US"/>
        </w:rPr>
        <w:t xml:space="preserve">Table </w:t>
      </w:r>
      <w:r w:rsidR="00F36692">
        <w:rPr>
          <w:noProof/>
          <w:lang w:val="en-US"/>
        </w:rPr>
        <w:t>3</w:t>
      </w:r>
      <w:r w:rsidR="007A5361">
        <w:rPr>
          <w:lang w:val="en-US"/>
        </w:rPr>
        <w:fldChar w:fldCharType="end"/>
      </w:r>
      <w:r w:rsidR="007A5361">
        <w:rPr>
          <w:lang w:val="en-US"/>
        </w:rPr>
        <w:t>)</w:t>
      </w:r>
      <w:r>
        <w:rPr>
          <w:lang w:val="en-US"/>
        </w:rPr>
        <w:t xml:space="preserve">. </w:t>
      </w:r>
      <w:r w:rsidR="00577FC2">
        <w:rPr>
          <w:lang w:val="en-US"/>
        </w:rPr>
        <w:t>S</w:t>
      </w:r>
      <w:r w:rsidR="004E20E8">
        <w:rPr>
          <w:lang w:val="en-US"/>
        </w:rPr>
        <w:t>ørmo pyreg-700 emission factor</w:t>
      </w:r>
      <w:r w:rsidR="00577FC2">
        <w:rPr>
          <w:lang w:val="en-US"/>
        </w:rPr>
        <w:t xml:space="preserve"> for WT-700</w:t>
      </w:r>
      <w:r w:rsidR="004E20E8">
        <w:rPr>
          <w:lang w:val="en-US"/>
        </w:rPr>
        <w:t>:</w:t>
      </w:r>
      <w:r w:rsidR="00577FC2">
        <w:rPr>
          <w:lang w:val="en-US"/>
        </w:rPr>
        <w:t xml:space="preserve"> 20 </w:t>
      </w:r>
      <w:r w:rsidR="004E20E8" w:rsidRPr="004E20E8">
        <w:rPr>
          <w:lang w:val="en-US"/>
        </w:rPr>
        <w:t>± 0.2</w:t>
      </w:r>
      <w:r w:rsidR="00577FC2">
        <w:rPr>
          <w:lang w:val="en-US"/>
        </w:rPr>
        <w:t xml:space="preserve"> m</w:t>
      </w:r>
      <w:r w:rsidR="004E20E8">
        <w:rPr>
          <w:lang w:val="en-US"/>
        </w:rPr>
        <w:t>g</w:t>
      </w:r>
      <w:r w:rsidR="00577FC2">
        <w:rPr>
          <w:lang w:val="en-US"/>
        </w:rPr>
        <w:t xml:space="preserve"> tonne</w:t>
      </w:r>
      <w:r w:rsidR="00577FC2">
        <w:rPr>
          <w:vertAlign w:val="superscript"/>
          <w:lang w:val="en-US"/>
        </w:rPr>
        <w:t>-1</w:t>
      </w:r>
      <w:r w:rsidR="00577FC2">
        <w:rPr>
          <w:lang w:val="en-US"/>
        </w:rPr>
        <w:t xml:space="preserve"> was </w:t>
      </w:r>
      <w:proofErr w:type="gramStart"/>
      <w:r w:rsidR="00577FC2">
        <w:rPr>
          <w:lang w:val="en-US"/>
        </w:rPr>
        <w:t>similar to</w:t>
      </w:r>
      <w:proofErr w:type="gramEnd"/>
      <w:r w:rsidR="00577FC2">
        <w:rPr>
          <w:lang w:val="en-US"/>
        </w:rPr>
        <w:t xml:space="preserve"> EF in this study was</w:t>
      </w:r>
      <w:r w:rsidR="004E20E8">
        <w:rPr>
          <w:lang w:val="en-US"/>
        </w:rPr>
        <w:t xml:space="preserve"> 26</w:t>
      </w:r>
      <w:r w:rsidR="00577FC2">
        <w:rPr>
          <w:lang w:val="en-US"/>
        </w:rPr>
        <w:t xml:space="preserve"> mg tonne</w:t>
      </w:r>
      <w:r w:rsidR="00577FC2">
        <w:rPr>
          <w:vertAlign w:val="superscript"/>
          <w:lang w:val="en-US"/>
        </w:rPr>
        <w:t>-1</w:t>
      </w:r>
      <w:r w:rsidR="00577FC2">
        <w:rPr>
          <w:lang w:val="en-US"/>
        </w:rPr>
        <w:t xml:space="preserve"> </w:t>
      </w:r>
      <w:sdt>
        <w:sdtPr>
          <w:rPr>
            <w:color w:val="000000"/>
            <w:lang w:val="en-US"/>
          </w:rPr>
          <w:tag w:val="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
          <w:id w:val="-1171332174"/>
          <w:placeholder>
            <w:docPart w:val="DefaultPlaceholder_-1854013440"/>
          </w:placeholder>
        </w:sdtPr>
        <w:sdtEndPr/>
        <w:sdtContent>
          <w:r w:rsidR="007E4089" w:rsidRPr="007E4089">
            <w:rPr>
              <w:color w:val="000000"/>
              <w:lang w:val="en-US"/>
            </w:rPr>
            <w:t>(Sørmo et al., 2020)</w:t>
          </w:r>
        </w:sdtContent>
      </w:sdt>
      <w:r w:rsidR="00577FC2">
        <w:rPr>
          <w:color w:val="000000"/>
          <w:lang w:val="en-US"/>
        </w:rPr>
        <w:t>.</w:t>
      </w:r>
      <w:r w:rsidR="007772B6">
        <w:rPr>
          <w:color w:val="000000"/>
          <w:lang w:val="en-US"/>
        </w:rPr>
        <w:t xml:space="preserve"> Emission concentration WT-700-Pyreg: 0.18</w:t>
      </w:r>
      <w:r w:rsidR="00577FC2">
        <w:rPr>
          <w:color w:val="000000"/>
          <w:lang w:val="en-US"/>
        </w:rPr>
        <w:t xml:space="preserve"> </w:t>
      </w:r>
      <w:r w:rsidR="007772B6" w:rsidRPr="004E20E8">
        <w:rPr>
          <w:lang w:val="en-US"/>
        </w:rPr>
        <w:t>±</w:t>
      </w:r>
      <w:r w:rsidR="007772B6">
        <w:rPr>
          <w:lang w:val="en-US"/>
        </w:rPr>
        <w:t xml:space="preserve"> 0.03 µg m</w:t>
      </w:r>
      <w:r w:rsidR="007772B6">
        <w:rPr>
          <w:vertAlign w:val="superscript"/>
          <w:lang w:val="en-US"/>
        </w:rPr>
        <w:t>-3</w:t>
      </w:r>
      <w:r w:rsidR="007772B6">
        <w:rPr>
          <w:lang w:val="en-US"/>
        </w:rPr>
        <w:t xml:space="preserve">. The gas </w:t>
      </w:r>
      <w:r w:rsidR="007772B6">
        <w:rPr>
          <w:lang w:val="en-US"/>
        </w:rPr>
        <w:lastRenderedPageBreak/>
        <w:t>p</w:t>
      </w:r>
      <w:r w:rsidR="00885CAF">
        <w:rPr>
          <w:lang w:val="en-US"/>
        </w:rPr>
        <w:t>hase</w:t>
      </w:r>
      <w:r w:rsidR="007772B6">
        <w:rPr>
          <w:lang w:val="en-US"/>
        </w:rPr>
        <w:t xml:space="preserve"> fraction was 43 </w:t>
      </w:r>
      <w:r w:rsidR="007772B6" w:rsidRPr="004E20E8">
        <w:rPr>
          <w:lang w:val="en-US"/>
        </w:rPr>
        <w:t>±</w:t>
      </w:r>
      <w:r w:rsidR="007772B6">
        <w:rPr>
          <w:lang w:val="en-US"/>
        </w:rPr>
        <w:t xml:space="preserve"> 22% compared to 100% gaseous in this study.  </w:t>
      </w:r>
      <w:r w:rsidR="00577FC2">
        <w:rPr>
          <w:color w:val="000000"/>
          <w:lang w:val="en-US"/>
        </w:rPr>
        <w:t xml:space="preserve">Clean wood was significantly higher EF than WT. </w:t>
      </w:r>
      <w:r w:rsidR="00577FC2" w:rsidRPr="00577FC2">
        <w:rPr>
          <w:color w:val="000000"/>
          <w:lang w:val="en-US"/>
        </w:rPr>
        <w:t>satisfy premium or basic European Biochar Certificate criteria</w:t>
      </w:r>
      <w:r w:rsidR="00577FC2">
        <w:rPr>
          <w:color w:val="000000"/>
          <w:lang w:val="en-US"/>
        </w:rPr>
        <w:t>?</w:t>
      </w:r>
      <w:r w:rsidR="00885CAF">
        <w:rPr>
          <w:color w:val="000000"/>
          <w:lang w:val="en-US"/>
        </w:rPr>
        <w:t xml:space="preserve"> </w:t>
      </w:r>
      <w:r w:rsidR="00885CAF">
        <w:rPr>
          <w:lang w:val="en-US"/>
        </w:rPr>
        <w:t xml:space="preserve">PAHs were primarily detected in the gas phase—70-100% of the total PAHs in the exhaust were emitted as gas. </w:t>
      </w:r>
    </w:p>
    <w:p w14:paraId="61D8F480" w14:textId="75B8EE65" w:rsidR="0083482E" w:rsidRDefault="0083482E" w:rsidP="004E20E8">
      <w:pPr>
        <w:ind w:firstLine="0"/>
        <w:rPr>
          <w:lang w:val="en-US"/>
        </w:rPr>
      </w:pPr>
      <w:r>
        <w:rPr>
          <w:lang w:val="en-US"/>
        </w:rPr>
        <w:br w:type="page"/>
      </w:r>
    </w:p>
    <w:p w14:paraId="4C575325" w14:textId="77777777" w:rsidR="0083482E" w:rsidRDefault="0083482E" w:rsidP="0083482E">
      <w:pPr>
        <w:rPr>
          <w:lang w:val="en-US"/>
        </w:rPr>
        <w:sectPr w:rsidR="0083482E" w:rsidSect="0010092D">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lnNumType w:countBy="1" w:restart="continuous"/>
          <w:cols w:space="708"/>
          <w:docGrid w:linePitch="360"/>
        </w:sectPr>
      </w:pPr>
    </w:p>
    <w:p w14:paraId="4D421E38" w14:textId="08F08C11" w:rsidR="009C2B86" w:rsidRDefault="009C2B86" w:rsidP="009C2B86">
      <w:pPr>
        <w:pStyle w:val="Caption"/>
        <w:keepNext/>
        <w:rPr>
          <w:lang w:val="en-US"/>
        </w:rPr>
      </w:pPr>
      <w:bookmarkStart w:id="7" w:name="_Ref131067259"/>
      <w:r w:rsidRPr="00D64F24">
        <w:rPr>
          <w:lang w:val="en-US"/>
        </w:rPr>
        <w:lastRenderedPageBreak/>
        <w:t xml:space="preserve">Table </w:t>
      </w:r>
      <w:r>
        <w:fldChar w:fldCharType="begin"/>
      </w:r>
      <w:r w:rsidRPr="00D64F24">
        <w:rPr>
          <w:lang w:val="en-US"/>
        </w:rPr>
        <w:instrText xml:space="preserve"> SEQ Table \* ARABIC </w:instrText>
      </w:r>
      <w:r>
        <w:fldChar w:fldCharType="separate"/>
      </w:r>
      <w:r w:rsidR="00F36692">
        <w:rPr>
          <w:noProof/>
          <w:lang w:val="en-US"/>
        </w:rPr>
        <w:t>3</w:t>
      </w:r>
      <w:r>
        <w:fldChar w:fldCharType="end"/>
      </w:r>
      <w:bookmarkEnd w:id="7"/>
      <w:r w:rsidRPr="00D64F24">
        <w:rPr>
          <w:lang w:val="en-US"/>
        </w:rPr>
        <w:t xml:space="preserve"> Emission concentrations </w:t>
      </w:r>
      <w:r w:rsidR="0028677C">
        <w:rPr>
          <w:lang w:val="en-US"/>
        </w:rPr>
        <w:t xml:space="preserve">(EC) </w:t>
      </w:r>
      <w:r w:rsidR="00191471">
        <w:rPr>
          <w:lang w:val="en-US"/>
        </w:rPr>
        <w:t>and emission factors</w:t>
      </w:r>
      <w:r w:rsidR="0028677C">
        <w:rPr>
          <w:lang w:val="en-US"/>
        </w:rPr>
        <w:t xml:space="preserve"> (EF)</w:t>
      </w:r>
      <w:r w:rsidR="00191471">
        <w:rPr>
          <w:lang w:val="en-US"/>
        </w:rPr>
        <w:t xml:space="preserve"> </w:t>
      </w:r>
      <w:r>
        <w:rPr>
          <w:lang w:val="en-US"/>
        </w:rPr>
        <w:t xml:space="preserve">of PAH-16 and </w:t>
      </w:r>
      <w:r w:rsidR="00F0305F">
        <w:rPr>
          <w:lang w:val="en-US"/>
        </w:rPr>
        <w:t>PCDD</w:t>
      </w:r>
      <w:r>
        <w:rPr>
          <w:lang w:val="en-US"/>
        </w:rPr>
        <w:t>/F-17</w:t>
      </w:r>
      <w:r w:rsidR="00CF41F7">
        <w:rPr>
          <w:lang w:val="en-US"/>
        </w:rPr>
        <w:t xml:space="preserve"> and the respective toxic equivalents (TE</w:t>
      </w:r>
      <w:r w:rsidR="00191471">
        <w:rPr>
          <w:lang w:val="en-US"/>
        </w:rPr>
        <w:t>Q</w:t>
      </w:r>
      <w:r w:rsidR="00CF41F7">
        <w:rPr>
          <w:lang w:val="en-US"/>
        </w:rPr>
        <w:t>)</w:t>
      </w:r>
      <w:r>
        <w:rPr>
          <w:lang w:val="en-US"/>
        </w:rPr>
        <w:t xml:space="preserve"> detected in flue gas from the pyrolysis of sewage sludge (DSS-1, DSS-2, LSS), wood-based feedstocks (WT, GW, and CWC) and reject (FWR) </w:t>
      </w:r>
      <w:r w:rsidR="008B64F6">
        <w:rPr>
          <w:lang w:val="en-US"/>
        </w:rPr>
        <w:t xml:space="preserve">pyrolyzed at the temperatures specified, </w:t>
      </w:r>
      <w:r>
        <w:rPr>
          <w:lang w:val="en-US"/>
        </w:rPr>
        <w:t xml:space="preserve">along with the relative fractions of </w:t>
      </w:r>
      <w:r w:rsidR="00191471">
        <w:rPr>
          <w:lang w:val="en-US"/>
        </w:rPr>
        <w:t>∑</w:t>
      </w:r>
      <w:r>
        <w:rPr>
          <w:lang w:val="en-US"/>
        </w:rPr>
        <w:t xml:space="preserve">PAH-16  and </w:t>
      </w:r>
      <w:r w:rsidR="00191471">
        <w:rPr>
          <w:lang w:val="en-US"/>
        </w:rPr>
        <w:t>∑</w:t>
      </w:r>
      <w:r w:rsidR="00F0305F">
        <w:rPr>
          <w:lang w:val="en-US"/>
        </w:rPr>
        <w:t>PCDD</w:t>
      </w:r>
      <w:r>
        <w:rPr>
          <w:lang w:val="en-US"/>
        </w:rPr>
        <w:t xml:space="preserve">/F-17 found in the gaseous and particle-based fractions (%). </w:t>
      </w:r>
      <w:r w:rsidR="0075112B">
        <w:rPr>
          <w:lang w:val="en-US"/>
        </w:rPr>
        <w:t xml:space="preserve">The values are normalized </w:t>
      </w:r>
      <w:r w:rsidR="00287527">
        <w:rPr>
          <w:lang w:val="en-US"/>
        </w:rPr>
        <w:t xml:space="preserve">to </w:t>
      </w:r>
      <w:r w:rsidR="0075112B">
        <w:rPr>
          <w:lang w:val="en-US"/>
        </w:rPr>
        <w:t>per kg biochar produced.</w:t>
      </w:r>
    </w:p>
    <w:tbl>
      <w:tblPr>
        <w:tblW w:w="4865" w:type="pct"/>
        <w:tblCellMar>
          <w:left w:w="70" w:type="dxa"/>
          <w:right w:w="70" w:type="dxa"/>
        </w:tblCellMar>
        <w:tblLook w:val="04A0" w:firstRow="1" w:lastRow="0" w:firstColumn="1" w:lastColumn="0" w:noHBand="0" w:noVBand="1"/>
      </w:tblPr>
      <w:tblGrid>
        <w:gridCol w:w="1775"/>
        <w:gridCol w:w="792"/>
        <w:gridCol w:w="700"/>
        <w:gridCol w:w="702"/>
        <w:gridCol w:w="611"/>
        <w:gridCol w:w="611"/>
        <w:gridCol w:w="611"/>
        <w:gridCol w:w="565"/>
        <w:gridCol w:w="625"/>
        <w:gridCol w:w="554"/>
        <w:gridCol w:w="545"/>
        <w:gridCol w:w="556"/>
        <w:gridCol w:w="457"/>
        <w:gridCol w:w="653"/>
        <w:gridCol w:w="635"/>
        <w:gridCol w:w="545"/>
        <w:gridCol w:w="504"/>
        <w:gridCol w:w="635"/>
        <w:gridCol w:w="635"/>
        <w:gridCol w:w="504"/>
        <w:gridCol w:w="545"/>
      </w:tblGrid>
      <w:tr w:rsidR="00DE3112" w:rsidRPr="00191471" w14:paraId="47A2C642" w14:textId="77777777" w:rsidTr="00CC6325">
        <w:trPr>
          <w:trHeight w:val="300"/>
        </w:trPr>
        <w:tc>
          <w:tcPr>
            <w:tcW w:w="5000" w:type="pct"/>
            <w:gridSpan w:val="21"/>
            <w:tcBorders>
              <w:top w:val="single" w:sz="18" w:space="0" w:color="auto"/>
              <w:left w:val="single" w:sz="18" w:space="0" w:color="auto"/>
              <w:bottom w:val="single" w:sz="18" w:space="0" w:color="auto"/>
              <w:right w:val="single" w:sz="18" w:space="0" w:color="auto"/>
            </w:tcBorders>
            <w:shd w:val="clear" w:color="auto" w:fill="D9D9D9" w:themeFill="background1" w:themeFillShade="D9"/>
            <w:noWrap/>
            <w:vAlign w:val="center"/>
          </w:tcPr>
          <w:p w14:paraId="17C6FB48" w14:textId="1C193079"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PAH-16</w:t>
            </w:r>
          </w:p>
        </w:tc>
      </w:tr>
      <w:tr w:rsidR="00DE3112" w:rsidRPr="00191471" w14:paraId="29ACA74B" w14:textId="77777777" w:rsidTr="004B59C6">
        <w:trPr>
          <w:trHeight w:val="300"/>
        </w:trPr>
        <w:tc>
          <w:tcPr>
            <w:tcW w:w="645"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7008787D"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827"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00336C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911"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658D1A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448"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86F9BFA"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10"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CBFBB6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776"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284784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WT</w:t>
            </w:r>
          </w:p>
        </w:tc>
        <w:tc>
          <w:tcPr>
            <w:tcW w:w="582"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F07990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CWC</w:t>
            </w:r>
          </w:p>
        </w:tc>
        <w:tc>
          <w:tcPr>
            <w:tcW w:w="401"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618796A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GW</w:t>
            </w:r>
          </w:p>
        </w:tc>
      </w:tr>
      <w:tr w:rsidR="00DE3112" w:rsidRPr="00191471" w14:paraId="24807704" w14:textId="77777777" w:rsidTr="004B59C6">
        <w:trPr>
          <w:trHeight w:val="300"/>
        </w:trPr>
        <w:tc>
          <w:tcPr>
            <w:tcW w:w="645"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4E14C32C"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298" w:type="pct"/>
            <w:tcBorders>
              <w:left w:val="single" w:sz="8" w:space="0" w:color="auto"/>
              <w:bottom w:val="single" w:sz="8" w:space="0" w:color="auto"/>
            </w:tcBorders>
            <w:shd w:val="clear" w:color="auto" w:fill="F2F2F2" w:themeFill="background1" w:themeFillShade="F2"/>
            <w:noWrap/>
            <w:vAlign w:val="center"/>
            <w:hideMark/>
          </w:tcPr>
          <w:p w14:paraId="0D905D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64" w:type="pct"/>
            <w:tcBorders>
              <w:bottom w:val="single" w:sz="8" w:space="0" w:color="auto"/>
            </w:tcBorders>
            <w:shd w:val="clear" w:color="auto" w:fill="F2F2F2" w:themeFill="background1" w:themeFillShade="F2"/>
            <w:noWrap/>
            <w:vAlign w:val="center"/>
            <w:hideMark/>
          </w:tcPr>
          <w:p w14:paraId="766E53F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65" w:type="pct"/>
            <w:tcBorders>
              <w:bottom w:val="single" w:sz="8" w:space="0" w:color="auto"/>
              <w:right w:val="single" w:sz="8" w:space="0" w:color="auto"/>
            </w:tcBorders>
            <w:shd w:val="clear" w:color="auto" w:fill="F2F2F2" w:themeFill="background1" w:themeFillShade="F2"/>
            <w:noWrap/>
            <w:vAlign w:val="center"/>
            <w:hideMark/>
          </w:tcPr>
          <w:p w14:paraId="0198BCD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232" w:type="pct"/>
            <w:tcBorders>
              <w:left w:val="single" w:sz="8" w:space="0" w:color="auto"/>
              <w:bottom w:val="single" w:sz="8" w:space="0" w:color="auto"/>
            </w:tcBorders>
            <w:shd w:val="clear" w:color="auto" w:fill="F2F2F2" w:themeFill="background1" w:themeFillShade="F2"/>
            <w:noWrap/>
            <w:vAlign w:val="center"/>
            <w:hideMark/>
          </w:tcPr>
          <w:p w14:paraId="5B9088D9"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32" w:type="pct"/>
            <w:tcBorders>
              <w:bottom w:val="single" w:sz="8" w:space="0" w:color="auto"/>
            </w:tcBorders>
            <w:shd w:val="clear" w:color="auto" w:fill="F2F2F2" w:themeFill="background1" w:themeFillShade="F2"/>
            <w:noWrap/>
            <w:vAlign w:val="center"/>
            <w:hideMark/>
          </w:tcPr>
          <w:p w14:paraId="52DECE6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32" w:type="pct"/>
            <w:tcBorders>
              <w:bottom w:val="single" w:sz="8" w:space="0" w:color="auto"/>
            </w:tcBorders>
            <w:shd w:val="clear" w:color="auto" w:fill="F2F2F2" w:themeFill="background1" w:themeFillShade="F2"/>
            <w:noWrap/>
            <w:vAlign w:val="center"/>
            <w:hideMark/>
          </w:tcPr>
          <w:p w14:paraId="48A0A44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215" w:type="pct"/>
            <w:tcBorders>
              <w:bottom w:val="single" w:sz="8" w:space="0" w:color="auto"/>
              <w:right w:val="single" w:sz="8" w:space="0" w:color="auto"/>
            </w:tcBorders>
            <w:shd w:val="clear" w:color="auto" w:fill="F2F2F2" w:themeFill="background1" w:themeFillShade="F2"/>
            <w:noWrap/>
            <w:vAlign w:val="center"/>
            <w:hideMark/>
          </w:tcPr>
          <w:p w14:paraId="55CBECD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37" w:type="pct"/>
            <w:tcBorders>
              <w:left w:val="single" w:sz="8" w:space="0" w:color="auto"/>
              <w:bottom w:val="single" w:sz="8" w:space="0" w:color="auto"/>
            </w:tcBorders>
            <w:shd w:val="clear" w:color="auto" w:fill="F2F2F2" w:themeFill="background1" w:themeFillShade="F2"/>
            <w:noWrap/>
            <w:vAlign w:val="center"/>
            <w:hideMark/>
          </w:tcPr>
          <w:p w14:paraId="0B4B0B1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11" w:type="pct"/>
            <w:tcBorders>
              <w:bottom w:val="single" w:sz="8" w:space="0" w:color="auto"/>
              <w:right w:val="single" w:sz="8" w:space="0" w:color="auto"/>
            </w:tcBorders>
            <w:shd w:val="clear" w:color="auto" w:fill="F2F2F2" w:themeFill="background1" w:themeFillShade="F2"/>
            <w:noWrap/>
            <w:vAlign w:val="center"/>
            <w:hideMark/>
          </w:tcPr>
          <w:p w14:paraId="58F64B2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198" w:type="pct"/>
            <w:tcBorders>
              <w:left w:val="single" w:sz="8" w:space="0" w:color="auto"/>
              <w:bottom w:val="single" w:sz="8" w:space="0" w:color="auto"/>
            </w:tcBorders>
            <w:shd w:val="clear" w:color="auto" w:fill="F2F2F2" w:themeFill="background1" w:themeFillShade="F2"/>
            <w:noWrap/>
            <w:vAlign w:val="center"/>
            <w:hideMark/>
          </w:tcPr>
          <w:p w14:paraId="7BADD50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12" w:type="pct"/>
            <w:tcBorders>
              <w:bottom w:val="single" w:sz="8" w:space="0" w:color="auto"/>
              <w:right w:val="single" w:sz="8" w:space="0" w:color="auto"/>
            </w:tcBorders>
            <w:shd w:val="clear" w:color="auto" w:fill="F2F2F2" w:themeFill="background1" w:themeFillShade="F2"/>
            <w:noWrap/>
            <w:vAlign w:val="center"/>
            <w:hideMark/>
          </w:tcPr>
          <w:p w14:paraId="56D37BA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76" w:type="pct"/>
            <w:tcBorders>
              <w:left w:val="single" w:sz="8" w:space="0" w:color="auto"/>
              <w:bottom w:val="single" w:sz="8" w:space="0" w:color="auto"/>
            </w:tcBorders>
            <w:shd w:val="clear" w:color="auto" w:fill="F2F2F2" w:themeFill="background1" w:themeFillShade="F2"/>
            <w:noWrap/>
            <w:vAlign w:val="center"/>
            <w:hideMark/>
          </w:tcPr>
          <w:p w14:paraId="0A3AF84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47" w:type="pct"/>
            <w:tcBorders>
              <w:bottom w:val="single" w:sz="8" w:space="0" w:color="auto"/>
            </w:tcBorders>
            <w:shd w:val="clear" w:color="auto" w:fill="F2F2F2" w:themeFill="background1" w:themeFillShade="F2"/>
            <w:noWrap/>
            <w:vAlign w:val="center"/>
            <w:hideMark/>
          </w:tcPr>
          <w:p w14:paraId="135484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76" w:type="pct"/>
            <w:tcBorders>
              <w:bottom w:val="single" w:sz="8" w:space="0" w:color="auto"/>
            </w:tcBorders>
            <w:shd w:val="clear" w:color="auto" w:fill="F2F2F2" w:themeFill="background1" w:themeFillShade="F2"/>
            <w:noWrap/>
            <w:vAlign w:val="center"/>
            <w:hideMark/>
          </w:tcPr>
          <w:p w14:paraId="2C7A7C9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7" w:type="pct"/>
            <w:tcBorders>
              <w:bottom w:val="single" w:sz="8" w:space="0" w:color="auto"/>
              <w:right w:val="single" w:sz="8" w:space="0" w:color="auto"/>
            </w:tcBorders>
            <w:shd w:val="clear" w:color="auto" w:fill="F2F2F2" w:themeFill="background1" w:themeFillShade="F2"/>
            <w:noWrap/>
            <w:vAlign w:val="center"/>
            <w:hideMark/>
          </w:tcPr>
          <w:p w14:paraId="720A5FF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193" w:type="pct"/>
            <w:tcBorders>
              <w:left w:val="single" w:sz="8" w:space="0" w:color="auto"/>
              <w:bottom w:val="single" w:sz="8" w:space="0" w:color="auto"/>
            </w:tcBorders>
            <w:shd w:val="clear" w:color="auto" w:fill="F2F2F2" w:themeFill="background1" w:themeFillShade="F2"/>
            <w:noWrap/>
            <w:vAlign w:val="center"/>
            <w:hideMark/>
          </w:tcPr>
          <w:p w14:paraId="13100F3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11" w:type="pct"/>
            <w:tcBorders>
              <w:bottom w:val="single" w:sz="8" w:space="0" w:color="auto"/>
            </w:tcBorders>
            <w:shd w:val="clear" w:color="auto" w:fill="F2F2F2" w:themeFill="background1" w:themeFillShade="F2"/>
            <w:noWrap/>
            <w:vAlign w:val="center"/>
            <w:hideMark/>
          </w:tcPr>
          <w:p w14:paraId="6A23DF3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78" w:type="pct"/>
            <w:tcBorders>
              <w:bottom w:val="single" w:sz="8" w:space="0" w:color="auto"/>
              <w:right w:val="single" w:sz="8" w:space="0" w:color="auto"/>
            </w:tcBorders>
            <w:shd w:val="clear" w:color="auto" w:fill="F2F2F2" w:themeFill="background1" w:themeFillShade="F2"/>
            <w:noWrap/>
            <w:vAlign w:val="center"/>
            <w:hideMark/>
          </w:tcPr>
          <w:p w14:paraId="7D37D41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93" w:type="pct"/>
            <w:tcBorders>
              <w:left w:val="single" w:sz="8" w:space="0" w:color="auto"/>
              <w:bottom w:val="single" w:sz="8" w:space="0" w:color="auto"/>
            </w:tcBorders>
            <w:shd w:val="clear" w:color="auto" w:fill="F2F2F2" w:themeFill="background1" w:themeFillShade="F2"/>
            <w:noWrap/>
            <w:vAlign w:val="center"/>
            <w:hideMark/>
          </w:tcPr>
          <w:p w14:paraId="61D15C2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08" w:type="pct"/>
            <w:tcBorders>
              <w:bottom w:val="single" w:sz="8" w:space="0" w:color="auto"/>
              <w:right w:val="single" w:sz="18" w:space="0" w:color="auto"/>
            </w:tcBorders>
            <w:shd w:val="clear" w:color="auto" w:fill="F2F2F2" w:themeFill="background1" w:themeFillShade="F2"/>
            <w:noWrap/>
            <w:vAlign w:val="center"/>
            <w:hideMark/>
          </w:tcPr>
          <w:p w14:paraId="37C8917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r>
      <w:tr w:rsidR="00BD2CC0" w:rsidRPr="00191471" w14:paraId="19BF9954" w14:textId="77777777" w:rsidTr="00BD2CC0">
        <w:trPr>
          <w:trHeight w:val="300"/>
        </w:trPr>
        <w:tc>
          <w:tcPr>
            <w:tcW w:w="645" w:type="pct"/>
            <w:tcBorders>
              <w:top w:val="single" w:sz="8" w:space="0" w:color="auto"/>
              <w:left w:val="single" w:sz="18" w:space="0" w:color="auto"/>
              <w:right w:val="single" w:sz="8" w:space="0" w:color="auto"/>
            </w:tcBorders>
            <w:shd w:val="clear" w:color="auto" w:fill="FFFFFF" w:themeFill="background1"/>
            <w:noWrap/>
            <w:vAlign w:val="center"/>
            <w:hideMark/>
          </w:tcPr>
          <w:p w14:paraId="34F6A540" w14:textId="13982E4E" w:rsidR="00DE3112" w:rsidRPr="00191471" w:rsidRDefault="00DE3112" w:rsidP="0028677C">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C</w:t>
            </w:r>
            <w:r w:rsidRPr="00191471">
              <w:rPr>
                <w:b/>
                <w:bCs/>
                <w:color w:val="000000"/>
                <w:sz w:val="18"/>
                <w:szCs w:val="18"/>
                <w:lang w:val="en-US"/>
              </w:rPr>
              <w:t xml:space="preserve"> (</w:t>
            </w:r>
            <w:r>
              <w:rPr>
                <w:b/>
                <w:bCs/>
                <w:color w:val="000000"/>
                <w:sz w:val="18"/>
                <w:szCs w:val="18"/>
                <w:lang w:val="en-US"/>
              </w:rPr>
              <w:t>µ</w:t>
            </w:r>
            <w:r w:rsidRPr="00191471">
              <w:rPr>
                <w:b/>
                <w:bCs/>
                <w:color w:val="000000"/>
                <w:sz w:val="18"/>
                <w:szCs w:val="18"/>
                <w:lang w:val="en-US"/>
              </w:rPr>
              <w:t>g m</w:t>
            </w:r>
            <w:r w:rsidRPr="00191471">
              <w:rPr>
                <w:b/>
                <w:bCs/>
                <w:color w:val="000000"/>
                <w:sz w:val="18"/>
                <w:szCs w:val="18"/>
                <w:vertAlign w:val="superscript"/>
                <w:lang w:val="en-US"/>
              </w:rPr>
              <w:t>-3</w:t>
            </w:r>
            <w:r w:rsidRPr="00191471">
              <w:rPr>
                <w:b/>
                <w:bCs/>
                <w:color w:val="000000"/>
                <w:sz w:val="18"/>
                <w:szCs w:val="18"/>
                <w:lang w:val="en-US"/>
              </w:rPr>
              <w:t>)</w:t>
            </w:r>
          </w:p>
        </w:tc>
        <w:tc>
          <w:tcPr>
            <w:tcW w:w="298" w:type="pct"/>
            <w:tcBorders>
              <w:top w:val="single" w:sz="8" w:space="0" w:color="auto"/>
              <w:left w:val="single" w:sz="8" w:space="0" w:color="auto"/>
            </w:tcBorders>
            <w:shd w:val="clear" w:color="auto" w:fill="FFFFFF" w:themeFill="background1"/>
            <w:noWrap/>
            <w:vAlign w:val="center"/>
            <w:hideMark/>
          </w:tcPr>
          <w:p w14:paraId="752E5C18" w14:textId="7975DC57"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0.31</w:t>
            </w:r>
          </w:p>
        </w:tc>
        <w:tc>
          <w:tcPr>
            <w:tcW w:w="264" w:type="pct"/>
            <w:tcBorders>
              <w:top w:val="single" w:sz="8" w:space="0" w:color="auto"/>
            </w:tcBorders>
            <w:shd w:val="clear" w:color="auto" w:fill="FFFFFF" w:themeFill="background1"/>
            <w:noWrap/>
            <w:vAlign w:val="center"/>
            <w:hideMark/>
          </w:tcPr>
          <w:p w14:paraId="0E8FE860" w14:textId="55B63A54"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0.22</w:t>
            </w:r>
          </w:p>
        </w:tc>
        <w:tc>
          <w:tcPr>
            <w:tcW w:w="265" w:type="pct"/>
            <w:tcBorders>
              <w:top w:val="single" w:sz="8" w:space="0" w:color="auto"/>
              <w:right w:val="single" w:sz="8" w:space="0" w:color="auto"/>
            </w:tcBorders>
            <w:shd w:val="clear" w:color="auto" w:fill="FFFFFF" w:themeFill="background1"/>
            <w:noWrap/>
            <w:vAlign w:val="center"/>
            <w:hideMark/>
          </w:tcPr>
          <w:p w14:paraId="41D274D4" w14:textId="5508CCCA"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137</w:t>
            </w:r>
          </w:p>
        </w:tc>
        <w:tc>
          <w:tcPr>
            <w:tcW w:w="232" w:type="pct"/>
            <w:tcBorders>
              <w:top w:val="single" w:sz="8" w:space="0" w:color="auto"/>
              <w:left w:val="single" w:sz="8" w:space="0" w:color="auto"/>
            </w:tcBorders>
            <w:shd w:val="clear" w:color="auto" w:fill="FFFFFF" w:themeFill="background1"/>
            <w:noWrap/>
            <w:vAlign w:val="center"/>
            <w:hideMark/>
          </w:tcPr>
          <w:p w14:paraId="41D8CD92" w14:textId="5908926B"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1.7</w:t>
            </w:r>
          </w:p>
        </w:tc>
        <w:tc>
          <w:tcPr>
            <w:tcW w:w="232" w:type="pct"/>
            <w:tcBorders>
              <w:top w:val="single" w:sz="8" w:space="0" w:color="auto"/>
            </w:tcBorders>
            <w:shd w:val="clear" w:color="auto" w:fill="FFFFFF" w:themeFill="background1"/>
            <w:noWrap/>
            <w:vAlign w:val="center"/>
            <w:hideMark/>
          </w:tcPr>
          <w:p w14:paraId="35532ABD" w14:textId="692F62D8"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3.2</w:t>
            </w:r>
          </w:p>
        </w:tc>
        <w:tc>
          <w:tcPr>
            <w:tcW w:w="232" w:type="pct"/>
            <w:tcBorders>
              <w:top w:val="single" w:sz="8" w:space="0" w:color="auto"/>
            </w:tcBorders>
            <w:shd w:val="clear" w:color="auto" w:fill="FFFFFF" w:themeFill="background1"/>
            <w:noWrap/>
            <w:vAlign w:val="center"/>
            <w:hideMark/>
          </w:tcPr>
          <w:p w14:paraId="529B6030" w14:textId="65A815B7"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1.6</w:t>
            </w:r>
          </w:p>
        </w:tc>
        <w:tc>
          <w:tcPr>
            <w:tcW w:w="215" w:type="pct"/>
            <w:tcBorders>
              <w:top w:val="single" w:sz="8" w:space="0" w:color="auto"/>
              <w:right w:val="single" w:sz="8" w:space="0" w:color="auto"/>
            </w:tcBorders>
            <w:shd w:val="clear" w:color="auto" w:fill="FFFFFF" w:themeFill="background1"/>
            <w:noWrap/>
            <w:vAlign w:val="center"/>
            <w:hideMark/>
          </w:tcPr>
          <w:p w14:paraId="2DC5EEE0" w14:textId="0A15FE3F"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421</w:t>
            </w:r>
          </w:p>
        </w:tc>
        <w:tc>
          <w:tcPr>
            <w:tcW w:w="237" w:type="pct"/>
            <w:tcBorders>
              <w:top w:val="single" w:sz="8" w:space="0" w:color="auto"/>
              <w:left w:val="single" w:sz="8" w:space="0" w:color="auto"/>
            </w:tcBorders>
            <w:shd w:val="clear" w:color="auto" w:fill="FFFFFF" w:themeFill="background1"/>
            <w:noWrap/>
            <w:vAlign w:val="center"/>
            <w:hideMark/>
          </w:tcPr>
          <w:p w14:paraId="1D69CE42" w14:textId="62E11F22"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21</w:t>
            </w:r>
          </w:p>
        </w:tc>
        <w:tc>
          <w:tcPr>
            <w:tcW w:w="211" w:type="pct"/>
            <w:tcBorders>
              <w:top w:val="single" w:sz="8" w:space="0" w:color="auto"/>
              <w:right w:val="single" w:sz="8" w:space="0" w:color="auto"/>
            </w:tcBorders>
            <w:shd w:val="clear" w:color="auto" w:fill="FFFFFF" w:themeFill="background1"/>
            <w:noWrap/>
            <w:vAlign w:val="center"/>
            <w:hideMark/>
          </w:tcPr>
          <w:p w14:paraId="7F1A8D5E" w14:textId="1206EC07"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2.4</w:t>
            </w:r>
          </w:p>
        </w:tc>
        <w:tc>
          <w:tcPr>
            <w:tcW w:w="198" w:type="pct"/>
            <w:tcBorders>
              <w:top w:val="single" w:sz="8" w:space="0" w:color="auto"/>
              <w:left w:val="single" w:sz="8" w:space="0" w:color="auto"/>
            </w:tcBorders>
            <w:shd w:val="clear" w:color="auto" w:fill="FFFFFF" w:themeFill="background1"/>
            <w:noWrap/>
            <w:vAlign w:val="center"/>
            <w:hideMark/>
          </w:tcPr>
          <w:p w14:paraId="38AE55B8" w14:textId="52D58ADD"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5.1</w:t>
            </w:r>
          </w:p>
        </w:tc>
        <w:tc>
          <w:tcPr>
            <w:tcW w:w="212" w:type="pct"/>
            <w:tcBorders>
              <w:top w:val="single" w:sz="8" w:space="0" w:color="auto"/>
              <w:right w:val="single" w:sz="8" w:space="0" w:color="auto"/>
            </w:tcBorders>
            <w:shd w:val="clear" w:color="auto" w:fill="FFFFFF" w:themeFill="background1"/>
            <w:noWrap/>
            <w:vAlign w:val="center"/>
            <w:hideMark/>
          </w:tcPr>
          <w:p w14:paraId="131B5661" w14:textId="771CACE5"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2.3</w:t>
            </w:r>
          </w:p>
        </w:tc>
        <w:tc>
          <w:tcPr>
            <w:tcW w:w="176" w:type="pct"/>
            <w:tcBorders>
              <w:top w:val="single" w:sz="8" w:space="0" w:color="auto"/>
              <w:left w:val="single" w:sz="8" w:space="0" w:color="auto"/>
            </w:tcBorders>
            <w:shd w:val="clear" w:color="auto" w:fill="FFFFFF" w:themeFill="background1"/>
            <w:noWrap/>
            <w:vAlign w:val="center"/>
            <w:hideMark/>
          </w:tcPr>
          <w:p w14:paraId="1ACD753F" w14:textId="0273143D"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1.4</w:t>
            </w:r>
          </w:p>
        </w:tc>
        <w:tc>
          <w:tcPr>
            <w:tcW w:w="247" w:type="pct"/>
            <w:tcBorders>
              <w:top w:val="single" w:sz="8" w:space="0" w:color="auto"/>
            </w:tcBorders>
            <w:shd w:val="clear" w:color="auto" w:fill="FFFFFF" w:themeFill="background1"/>
            <w:noWrap/>
            <w:vAlign w:val="center"/>
            <w:hideMark/>
          </w:tcPr>
          <w:p w14:paraId="5717B998" w14:textId="006493A4"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0.27</w:t>
            </w:r>
          </w:p>
        </w:tc>
        <w:tc>
          <w:tcPr>
            <w:tcW w:w="176" w:type="pct"/>
            <w:tcBorders>
              <w:top w:val="single" w:sz="8" w:space="0" w:color="auto"/>
            </w:tcBorders>
            <w:shd w:val="clear" w:color="auto" w:fill="FFFFFF" w:themeFill="background1"/>
            <w:noWrap/>
            <w:vAlign w:val="center"/>
            <w:hideMark/>
          </w:tcPr>
          <w:p w14:paraId="4437CF8A" w14:textId="3B602F3F"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0.41</w:t>
            </w:r>
          </w:p>
        </w:tc>
        <w:tc>
          <w:tcPr>
            <w:tcW w:w="177" w:type="pct"/>
            <w:tcBorders>
              <w:top w:val="single" w:sz="8" w:space="0" w:color="auto"/>
              <w:right w:val="single" w:sz="8" w:space="0" w:color="auto"/>
            </w:tcBorders>
            <w:shd w:val="clear" w:color="auto" w:fill="FFFFFF" w:themeFill="background1"/>
            <w:noWrap/>
            <w:vAlign w:val="center"/>
            <w:hideMark/>
          </w:tcPr>
          <w:p w14:paraId="2C21BA60" w14:textId="6FFA6255"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2.0</w:t>
            </w:r>
          </w:p>
        </w:tc>
        <w:tc>
          <w:tcPr>
            <w:tcW w:w="193" w:type="pct"/>
            <w:tcBorders>
              <w:top w:val="single" w:sz="8" w:space="0" w:color="auto"/>
              <w:left w:val="single" w:sz="8" w:space="0" w:color="auto"/>
            </w:tcBorders>
            <w:shd w:val="clear" w:color="auto" w:fill="FFFFFF" w:themeFill="background1"/>
            <w:noWrap/>
            <w:vAlign w:val="center"/>
            <w:hideMark/>
          </w:tcPr>
          <w:p w14:paraId="24F7B52A" w14:textId="25524174" w:rsidR="00DE3112" w:rsidRPr="00C63165" w:rsidRDefault="00DE3112" w:rsidP="0028677C">
            <w:pPr>
              <w:spacing w:line="240" w:lineRule="auto"/>
              <w:ind w:firstLine="0"/>
              <w:jc w:val="center"/>
              <w:rPr>
                <w:rFonts w:asciiTheme="majorHAnsi" w:hAnsiTheme="majorHAnsi" w:cstheme="majorHAnsi"/>
                <w:color w:val="000000"/>
                <w:sz w:val="18"/>
                <w:szCs w:val="18"/>
                <w:highlight w:val="yellow"/>
                <w:lang w:val="en-US"/>
              </w:rPr>
            </w:pPr>
            <w:r w:rsidRPr="00C63165">
              <w:rPr>
                <w:rFonts w:asciiTheme="majorHAnsi" w:hAnsiTheme="majorHAnsi" w:cstheme="majorHAnsi"/>
                <w:color w:val="000000"/>
                <w:sz w:val="18"/>
                <w:szCs w:val="18"/>
              </w:rPr>
              <w:t>5.9</w:t>
            </w:r>
          </w:p>
        </w:tc>
        <w:tc>
          <w:tcPr>
            <w:tcW w:w="211" w:type="pct"/>
            <w:tcBorders>
              <w:top w:val="single" w:sz="8" w:space="0" w:color="auto"/>
            </w:tcBorders>
            <w:shd w:val="clear" w:color="auto" w:fill="FFFFFF" w:themeFill="background1"/>
            <w:noWrap/>
            <w:vAlign w:val="center"/>
            <w:hideMark/>
          </w:tcPr>
          <w:p w14:paraId="4DEDE040" w14:textId="745496F6" w:rsidR="00DE3112" w:rsidRPr="00C63165" w:rsidRDefault="00DE3112" w:rsidP="0028677C">
            <w:pPr>
              <w:spacing w:line="240" w:lineRule="auto"/>
              <w:ind w:firstLine="0"/>
              <w:jc w:val="center"/>
              <w:rPr>
                <w:rFonts w:asciiTheme="majorHAnsi" w:hAnsiTheme="majorHAnsi" w:cstheme="majorHAnsi"/>
                <w:color w:val="000000"/>
                <w:sz w:val="18"/>
                <w:szCs w:val="18"/>
                <w:highlight w:val="yellow"/>
                <w:lang w:val="en-US"/>
              </w:rPr>
            </w:pPr>
            <w:r w:rsidRPr="00C63165">
              <w:rPr>
                <w:rFonts w:asciiTheme="majorHAnsi" w:hAnsiTheme="majorHAnsi" w:cstheme="majorHAnsi"/>
                <w:color w:val="000000"/>
                <w:sz w:val="18"/>
                <w:szCs w:val="18"/>
              </w:rPr>
              <w:t>0.2</w:t>
            </w:r>
          </w:p>
        </w:tc>
        <w:tc>
          <w:tcPr>
            <w:tcW w:w="178" w:type="pct"/>
            <w:tcBorders>
              <w:top w:val="single" w:sz="8" w:space="0" w:color="auto"/>
              <w:right w:val="single" w:sz="8" w:space="0" w:color="auto"/>
            </w:tcBorders>
            <w:shd w:val="clear" w:color="auto" w:fill="FFFFFF" w:themeFill="background1"/>
            <w:noWrap/>
            <w:vAlign w:val="center"/>
            <w:hideMark/>
          </w:tcPr>
          <w:p w14:paraId="39C0E8D8" w14:textId="15EB0527" w:rsidR="00DE3112" w:rsidRPr="00C63165" w:rsidRDefault="00DE3112" w:rsidP="0028677C">
            <w:pPr>
              <w:spacing w:line="240" w:lineRule="auto"/>
              <w:ind w:firstLine="0"/>
              <w:jc w:val="center"/>
              <w:rPr>
                <w:rFonts w:asciiTheme="majorHAnsi" w:hAnsiTheme="majorHAnsi" w:cstheme="majorHAnsi"/>
                <w:color w:val="000000"/>
                <w:sz w:val="18"/>
                <w:szCs w:val="18"/>
                <w:highlight w:val="yellow"/>
                <w:lang w:val="en-US"/>
              </w:rPr>
            </w:pPr>
            <w:r w:rsidRPr="00C63165">
              <w:rPr>
                <w:rFonts w:asciiTheme="majorHAnsi" w:hAnsiTheme="majorHAnsi" w:cstheme="majorHAnsi"/>
                <w:color w:val="000000"/>
                <w:sz w:val="18"/>
                <w:szCs w:val="18"/>
              </w:rPr>
              <w:t>0.4</w:t>
            </w:r>
          </w:p>
        </w:tc>
        <w:tc>
          <w:tcPr>
            <w:tcW w:w="193" w:type="pct"/>
            <w:tcBorders>
              <w:top w:val="single" w:sz="8" w:space="0" w:color="auto"/>
              <w:left w:val="single" w:sz="8" w:space="0" w:color="auto"/>
            </w:tcBorders>
            <w:shd w:val="clear" w:color="auto" w:fill="FFFFFF" w:themeFill="background1"/>
            <w:noWrap/>
            <w:vAlign w:val="center"/>
            <w:hideMark/>
          </w:tcPr>
          <w:p w14:paraId="38B16808" w14:textId="248839F1"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25.8</w:t>
            </w:r>
          </w:p>
        </w:tc>
        <w:tc>
          <w:tcPr>
            <w:tcW w:w="208" w:type="pct"/>
            <w:tcBorders>
              <w:top w:val="single" w:sz="8" w:space="0" w:color="auto"/>
              <w:right w:val="single" w:sz="18" w:space="0" w:color="auto"/>
            </w:tcBorders>
            <w:shd w:val="clear" w:color="auto" w:fill="FFFFFF" w:themeFill="background1"/>
            <w:noWrap/>
            <w:vAlign w:val="center"/>
            <w:hideMark/>
          </w:tcPr>
          <w:p w14:paraId="08F0D247" w14:textId="5E6A4C27" w:rsidR="00DE3112" w:rsidRPr="00C63165" w:rsidRDefault="00DE3112" w:rsidP="0028677C">
            <w:pPr>
              <w:spacing w:line="240" w:lineRule="auto"/>
              <w:ind w:firstLine="0"/>
              <w:jc w:val="center"/>
              <w:rPr>
                <w:rFonts w:asciiTheme="majorHAnsi" w:hAnsiTheme="majorHAnsi" w:cstheme="majorHAnsi"/>
                <w:color w:val="000000"/>
                <w:sz w:val="18"/>
                <w:szCs w:val="18"/>
                <w:lang w:val="en-US"/>
              </w:rPr>
            </w:pPr>
            <w:r>
              <w:rPr>
                <w:rFonts w:asciiTheme="majorHAnsi" w:hAnsiTheme="majorHAnsi" w:cstheme="majorHAnsi"/>
                <w:color w:val="000000"/>
                <w:sz w:val="18"/>
                <w:szCs w:val="18"/>
                <w:lang w:val="en-US"/>
              </w:rPr>
              <w:t>4.5</w:t>
            </w:r>
          </w:p>
        </w:tc>
      </w:tr>
      <w:tr w:rsidR="004B59C6" w:rsidRPr="00191471" w14:paraId="70C2E30B" w14:textId="77777777" w:rsidTr="00BD2CC0">
        <w:trPr>
          <w:trHeight w:val="300"/>
        </w:trPr>
        <w:tc>
          <w:tcPr>
            <w:tcW w:w="645" w:type="pct"/>
            <w:tcBorders>
              <w:left w:val="single" w:sz="18" w:space="0" w:color="auto"/>
              <w:bottom w:val="single" w:sz="8" w:space="0" w:color="auto"/>
              <w:right w:val="single" w:sz="8" w:space="0" w:color="auto"/>
            </w:tcBorders>
            <w:shd w:val="clear" w:color="auto" w:fill="FFFFFF" w:themeFill="background1"/>
            <w:noWrap/>
            <w:vAlign w:val="center"/>
          </w:tcPr>
          <w:p w14:paraId="7FA0E380" w14:textId="31510674" w:rsidR="004B59C6" w:rsidRPr="0028677C" w:rsidRDefault="004B59C6" w:rsidP="004B59C6">
            <w:pPr>
              <w:spacing w:line="240" w:lineRule="auto"/>
              <w:ind w:firstLine="0"/>
              <w:rPr>
                <w:b/>
                <w:bCs/>
                <w:color w:val="000000"/>
                <w:sz w:val="18"/>
                <w:szCs w:val="18"/>
                <w:lang w:val="fi-FI"/>
              </w:rPr>
            </w:pPr>
            <w:r w:rsidRPr="0028677C">
              <w:rPr>
                <w:b/>
                <w:bCs/>
                <w:color w:val="000000"/>
                <w:sz w:val="18"/>
                <w:szCs w:val="18"/>
                <w:lang w:val="fi-FI"/>
              </w:rPr>
              <w:t>EC TE</w:t>
            </w:r>
            <w:r>
              <w:rPr>
                <w:b/>
                <w:bCs/>
                <w:color w:val="000000"/>
                <w:sz w:val="18"/>
                <w:szCs w:val="18"/>
                <w:lang w:val="fi-FI"/>
              </w:rPr>
              <w:t xml:space="preserve">Q </w:t>
            </w:r>
            <w:r w:rsidRPr="0028677C">
              <w:rPr>
                <w:b/>
                <w:bCs/>
                <w:color w:val="000000"/>
                <w:sz w:val="18"/>
                <w:szCs w:val="18"/>
                <w:lang w:val="fi-FI"/>
              </w:rPr>
              <w:t>(µg m</w:t>
            </w:r>
            <w:r w:rsidRPr="0028677C">
              <w:rPr>
                <w:b/>
                <w:bCs/>
                <w:color w:val="000000"/>
                <w:sz w:val="18"/>
                <w:szCs w:val="18"/>
                <w:vertAlign w:val="superscript"/>
                <w:lang w:val="fi-FI"/>
              </w:rPr>
              <w:t>-3</w:t>
            </w:r>
            <w:r w:rsidRPr="0028677C">
              <w:rPr>
                <w:b/>
                <w:bCs/>
                <w:color w:val="000000"/>
                <w:sz w:val="18"/>
                <w:szCs w:val="18"/>
                <w:lang w:val="fi-FI"/>
              </w:rPr>
              <w:t>)</w:t>
            </w:r>
          </w:p>
        </w:tc>
        <w:tc>
          <w:tcPr>
            <w:tcW w:w="298" w:type="pct"/>
            <w:tcBorders>
              <w:left w:val="single" w:sz="8" w:space="0" w:color="auto"/>
              <w:bottom w:val="single" w:sz="8" w:space="0" w:color="auto"/>
            </w:tcBorders>
            <w:shd w:val="clear" w:color="auto" w:fill="FFFFFF" w:themeFill="background1"/>
            <w:noWrap/>
            <w:vAlign w:val="center"/>
          </w:tcPr>
          <w:p w14:paraId="5A4492BF" w14:textId="750D3171"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0.0003</w:t>
            </w:r>
          </w:p>
        </w:tc>
        <w:tc>
          <w:tcPr>
            <w:tcW w:w="264" w:type="pct"/>
            <w:tcBorders>
              <w:bottom w:val="single" w:sz="8" w:space="0" w:color="auto"/>
            </w:tcBorders>
            <w:shd w:val="clear" w:color="auto" w:fill="FFFFFF" w:themeFill="background1"/>
            <w:noWrap/>
            <w:vAlign w:val="center"/>
          </w:tcPr>
          <w:p w14:paraId="13BE7CEF" w14:textId="15F98967"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0.0002</w:t>
            </w:r>
          </w:p>
        </w:tc>
        <w:tc>
          <w:tcPr>
            <w:tcW w:w="265" w:type="pct"/>
            <w:tcBorders>
              <w:bottom w:val="single" w:sz="8" w:space="0" w:color="auto"/>
              <w:right w:val="single" w:sz="8" w:space="0" w:color="auto"/>
            </w:tcBorders>
            <w:shd w:val="clear" w:color="auto" w:fill="FFFFFF" w:themeFill="background1"/>
            <w:noWrap/>
            <w:vAlign w:val="center"/>
          </w:tcPr>
          <w:p w14:paraId="0DCBA49C" w14:textId="55E39293"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1.9</w:t>
            </w:r>
          </w:p>
        </w:tc>
        <w:tc>
          <w:tcPr>
            <w:tcW w:w="232" w:type="pct"/>
            <w:tcBorders>
              <w:left w:val="single" w:sz="8" w:space="0" w:color="auto"/>
              <w:bottom w:val="single" w:sz="8" w:space="0" w:color="auto"/>
            </w:tcBorders>
            <w:shd w:val="clear" w:color="auto" w:fill="FFFFFF" w:themeFill="background1"/>
            <w:noWrap/>
            <w:vAlign w:val="center"/>
          </w:tcPr>
          <w:p w14:paraId="5876A899" w14:textId="0679C5DC"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0.002</w:t>
            </w:r>
          </w:p>
        </w:tc>
        <w:tc>
          <w:tcPr>
            <w:tcW w:w="232" w:type="pct"/>
            <w:tcBorders>
              <w:bottom w:val="single" w:sz="8" w:space="0" w:color="auto"/>
            </w:tcBorders>
            <w:shd w:val="clear" w:color="auto" w:fill="FFFFFF" w:themeFill="background1"/>
            <w:noWrap/>
            <w:vAlign w:val="center"/>
          </w:tcPr>
          <w:p w14:paraId="5B2ECAB3" w14:textId="3AA5F545"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0.01</w:t>
            </w:r>
          </w:p>
        </w:tc>
        <w:tc>
          <w:tcPr>
            <w:tcW w:w="232" w:type="pct"/>
            <w:tcBorders>
              <w:bottom w:val="single" w:sz="8" w:space="0" w:color="auto"/>
            </w:tcBorders>
            <w:shd w:val="clear" w:color="auto" w:fill="FFFFFF" w:themeFill="background1"/>
            <w:noWrap/>
            <w:vAlign w:val="center"/>
          </w:tcPr>
          <w:p w14:paraId="2D231C0E" w14:textId="3DF664F7"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0.003</w:t>
            </w:r>
          </w:p>
        </w:tc>
        <w:tc>
          <w:tcPr>
            <w:tcW w:w="215" w:type="pct"/>
            <w:tcBorders>
              <w:bottom w:val="single" w:sz="8" w:space="0" w:color="auto"/>
              <w:right w:val="single" w:sz="8" w:space="0" w:color="auto"/>
            </w:tcBorders>
            <w:shd w:val="clear" w:color="auto" w:fill="FFFFFF" w:themeFill="background1"/>
            <w:noWrap/>
            <w:vAlign w:val="center"/>
          </w:tcPr>
          <w:p w14:paraId="36F8158F" w14:textId="0EB80FCF"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3.7</w:t>
            </w:r>
          </w:p>
        </w:tc>
        <w:tc>
          <w:tcPr>
            <w:tcW w:w="237" w:type="pct"/>
            <w:tcBorders>
              <w:left w:val="single" w:sz="8" w:space="0" w:color="auto"/>
              <w:bottom w:val="single" w:sz="8" w:space="0" w:color="auto"/>
            </w:tcBorders>
            <w:shd w:val="clear" w:color="auto" w:fill="FFFFFF" w:themeFill="background1"/>
            <w:noWrap/>
            <w:vAlign w:val="center"/>
          </w:tcPr>
          <w:p w14:paraId="665FEBEF" w14:textId="18A4CC65"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0.07</w:t>
            </w:r>
          </w:p>
        </w:tc>
        <w:tc>
          <w:tcPr>
            <w:tcW w:w="211" w:type="pct"/>
            <w:tcBorders>
              <w:bottom w:val="single" w:sz="8" w:space="0" w:color="auto"/>
              <w:right w:val="single" w:sz="8" w:space="0" w:color="auto"/>
            </w:tcBorders>
            <w:shd w:val="clear" w:color="auto" w:fill="FFFFFF" w:themeFill="background1"/>
            <w:noWrap/>
            <w:vAlign w:val="center"/>
          </w:tcPr>
          <w:p w14:paraId="08EB19A0" w14:textId="4FEB36A9"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0.01</w:t>
            </w:r>
          </w:p>
        </w:tc>
        <w:tc>
          <w:tcPr>
            <w:tcW w:w="198" w:type="pct"/>
            <w:tcBorders>
              <w:left w:val="single" w:sz="8" w:space="0" w:color="auto"/>
              <w:bottom w:val="single" w:sz="8" w:space="0" w:color="auto"/>
            </w:tcBorders>
            <w:shd w:val="clear" w:color="auto" w:fill="FFFFFF" w:themeFill="background1"/>
            <w:noWrap/>
            <w:vAlign w:val="center"/>
          </w:tcPr>
          <w:p w14:paraId="3E42D4E2" w14:textId="544461EC"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0.03</w:t>
            </w:r>
          </w:p>
        </w:tc>
        <w:tc>
          <w:tcPr>
            <w:tcW w:w="212" w:type="pct"/>
            <w:tcBorders>
              <w:bottom w:val="single" w:sz="8" w:space="0" w:color="auto"/>
              <w:right w:val="single" w:sz="8" w:space="0" w:color="auto"/>
            </w:tcBorders>
            <w:shd w:val="clear" w:color="auto" w:fill="FFFFFF" w:themeFill="background1"/>
            <w:noWrap/>
            <w:vAlign w:val="center"/>
          </w:tcPr>
          <w:p w14:paraId="24EDC010" w14:textId="2B627771"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0.003</w:t>
            </w:r>
          </w:p>
        </w:tc>
        <w:tc>
          <w:tcPr>
            <w:tcW w:w="176" w:type="pct"/>
            <w:tcBorders>
              <w:left w:val="single" w:sz="8" w:space="0" w:color="auto"/>
              <w:bottom w:val="single" w:sz="8" w:space="0" w:color="auto"/>
            </w:tcBorders>
            <w:shd w:val="clear" w:color="auto" w:fill="FFFFFF" w:themeFill="background1"/>
            <w:noWrap/>
            <w:vAlign w:val="center"/>
          </w:tcPr>
          <w:p w14:paraId="4FEDF71C" w14:textId="6A4B8579"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0.01</w:t>
            </w:r>
          </w:p>
        </w:tc>
        <w:tc>
          <w:tcPr>
            <w:tcW w:w="247" w:type="pct"/>
            <w:tcBorders>
              <w:bottom w:val="single" w:sz="8" w:space="0" w:color="auto"/>
            </w:tcBorders>
            <w:shd w:val="clear" w:color="auto" w:fill="FFFFFF" w:themeFill="background1"/>
            <w:noWrap/>
            <w:vAlign w:val="center"/>
          </w:tcPr>
          <w:p w14:paraId="772DCA14" w14:textId="3223CA2B" w:rsidR="004B59C6" w:rsidRPr="004B59C6" w:rsidRDefault="004B59C6" w:rsidP="004B59C6">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0.0004</w:t>
            </w:r>
          </w:p>
        </w:tc>
        <w:tc>
          <w:tcPr>
            <w:tcW w:w="176" w:type="pct"/>
            <w:tcBorders>
              <w:bottom w:val="single" w:sz="8" w:space="0" w:color="auto"/>
            </w:tcBorders>
            <w:shd w:val="clear" w:color="auto" w:fill="FFFFFF" w:themeFill="background1"/>
            <w:noWrap/>
            <w:vAlign w:val="center"/>
          </w:tcPr>
          <w:p w14:paraId="32AE6A76" w14:textId="4A3FCA6D" w:rsidR="004B59C6" w:rsidRPr="004B59C6" w:rsidRDefault="004B59C6" w:rsidP="004B59C6">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0.0005</w:t>
            </w:r>
          </w:p>
        </w:tc>
        <w:tc>
          <w:tcPr>
            <w:tcW w:w="177" w:type="pct"/>
            <w:tcBorders>
              <w:bottom w:val="single" w:sz="8" w:space="0" w:color="auto"/>
              <w:right w:val="single" w:sz="8" w:space="0" w:color="auto"/>
            </w:tcBorders>
            <w:shd w:val="clear" w:color="auto" w:fill="FFFFFF" w:themeFill="background1"/>
            <w:noWrap/>
            <w:vAlign w:val="center"/>
          </w:tcPr>
          <w:p w14:paraId="6836FAD2" w14:textId="61936242" w:rsidR="004B59C6" w:rsidRPr="004B59C6" w:rsidRDefault="004B59C6" w:rsidP="004B59C6">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0.010</w:t>
            </w:r>
          </w:p>
        </w:tc>
        <w:tc>
          <w:tcPr>
            <w:tcW w:w="193" w:type="pct"/>
            <w:tcBorders>
              <w:left w:val="single" w:sz="8" w:space="0" w:color="auto"/>
              <w:bottom w:val="single" w:sz="8" w:space="0" w:color="auto"/>
            </w:tcBorders>
            <w:shd w:val="clear" w:color="auto" w:fill="FFFFFF" w:themeFill="background1"/>
            <w:noWrap/>
            <w:vAlign w:val="center"/>
          </w:tcPr>
          <w:p w14:paraId="20412ED8" w14:textId="5E77689C" w:rsidR="004B59C6" w:rsidRPr="004B59C6" w:rsidRDefault="004B59C6" w:rsidP="004B59C6">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0.02</w:t>
            </w:r>
          </w:p>
        </w:tc>
        <w:tc>
          <w:tcPr>
            <w:tcW w:w="211" w:type="pct"/>
            <w:tcBorders>
              <w:bottom w:val="single" w:sz="8" w:space="0" w:color="auto"/>
            </w:tcBorders>
            <w:shd w:val="clear" w:color="auto" w:fill="FFFFFF" w:themeFill="background1"/>
            <w:noWrap/>
            <w:vAlign w:val="center"/>
          </w:tcPr>
          <w:p w14:paraId="7FAEE52A" w14:textId="479B7D27" w:rsidR="004B59C6" w:rsidRPr="004B59C6" w:rsidRDefault="004B59C6" w:rsidP="004B59C6">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0.0002</w:t>
            </w:r>
          </w:p>
        </w:tc>
        <w:tc>
          <w:tcPr>
            <w:tcW w:w="178" w:type="pct"/>
            <w:tcBorders>
              <w:bottom w:val="single" w:sz="8" w:space="0" w:color="auto"/>
              <w:right w:val="single" w:sz="8" w:space="0" w:color="auto"/>
            </w:tcBorders>
            <w:shd w:val="clear" w:color="auto" w:fill="FFFFFF" w:themeFill="background1"/>
            <w:noWrap/>
            <w:vAlign w:val="center"/>
          </w:tcPr>
          <w:p w14:paraId="739A6E25" w14:textId="7ECA2B96" w:rsidR="004B59C6" w:rsidRPr="004B59C6" w:rsidRDefault="004B59C6" w:rsidP="004B59C6">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0.0004</w:t>
            </w:r>
          </w:p>
        </w:tc>
        <w:tc>
          <w:tcPr>
            <w:tcW w:w="193" w:type="pct"/>
            <w:tcBorders>
              <w:left w:val="single" w:sz="8" w:space="0" w:color="auto"/>
              <w:bottom w:val="single" w:sz="8" w:space="0" w:color="auto"/>
            </w:tcBorders>
            <w:shd w:val="clear" w:color="auto" w:fill="FFFFFF" w:themeFill="background1"/>
            <w:noWrap/>
            <w:vAlign w:val="center"/>
          </w:tcPr>
          <w:p w14:paraId="0680853E" w14:textId="1BAAB58E" w:rsidR="004B59C6" w:rsidRPr="004B59C6" w:rsidRDefault="004B59C6" w:rsidP="004B59C6">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0.09</w:t>
            </w:r>
          </w:p>
        </w:tc>
        <w:tc>
          <w:tcPr>
            <w:tcW w:w="208" w:type="pct"/>
            <w:tcBorders>
              <w:bottom w:val="single" w:sz="8" w:space="0" w:color="auto"/>
              <w:right w:val="single" w:sz="18" w:space="0" w:color="auto"/>
            </w:tcBorders>
            <w:shd w:val="clear" w:color="auto" w:fill="FFFFFF" w:themeFill="background1"/>
            <w:noWrap/>
            <w:vAlign w:val="center"/>
          </w:tcPr>
          <w:p w14:paraId="0B84627C" w14:textId="1FAB6A6A" w:rsidR="004B59C6" w:rsidRPr="00C63165" w:rsidRDefault="004B59C6" w:rsidP="004B59C6">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w:t>
            </w:r>
            <w:r>
              <w:rPr>
                <w:rFonts w:asciiTheme="majorHAnsi" w:hAnsiTheme="majorHAnsi" w:cstheme="majorHAnsi"/>
                <w:color w:val="000000"/>
                <w:sz w:val="18"/>
                <w:szCs w:val="18"/>
              </w:rPr>
              <w:t>02</w:t>
            </w:r>
          </w:p>
        </w:tc>
      </w:tr>
      <w:tr w:rsidR="00BD2CC0" w:rsidRPr="00191471" w14:paraId="68924E1B" w14:textId="77777777" w:rsidTr="00BD2CC0">
        <w:trPr>
          <w:trHeight w:val="300"/>
        </w:trPr>
        <w:tc>
          <w:tcPr>
            <w:tcW w:w="645" w:type="pct"/>
            <w:tcBorders>
              <w:top w:val="single" w:sz="8" w:space="0" w:color="auto"/>
              <w:left w:val="single" w:sz="18" w:space="0" w:color="auto"/>
              <w:right w:val="single" w:sz="8" w:space="0" w:color="auto"/>
            </w:tcBorders>
            <w:shd w:val="clear" w:color="auto" w:fill="FFFFFF" w:themeFill="background1"/>
            <w:noWrap/>
            <w:vAlign w:val="center"/>
            <w:hideMark/>
          </w:tcPr>
          <w:p w14:paraId="09AD44A5" w14:textId="02E038B5" w:rsidR="00DE3112" w:rsidRPr="00191471" w:rsidRDefault="00DE3112" w:rsidP="0028677C">
            <w:pPr>
              <w:spacing w:line="240" w:lineRule="auto"/>
              <w:ind w:firstLine="0"/>
              <w:rPr>
                <w:b/>
                <w:bCs/>
                <w:color w:val="000000"/>
                <w:sz w:val="18"/>
                <w:szCs w:val="18"/>
                <w:lang w:val="en-US"/>
              </w:rPr>
            </w:pPr>
            <w:r>
              <w:rPr>
                <w:b/>
                <w:bCs/>
                <w:color w:val="000000"/>
                <w:sz w:val="18"/>
                <w:szCs w:val="18"/>
                <w:lang w:val="en-US"/>
              </w:rPr>
              <w:t>EF</w:t>
            </w:r>
            <w:r w:rsidRPr="00191471">
              <w:rPr>
                <w:b/>
                <w:bCs/>
                <w:color w:val="000000"/>
                <w:sz w:val="18"/>
                <w:szCs w:val="18"/>
                <w:lang w:val="en-US"/>
              </w:rPr>
              <w:t xml:space="preserve"> (mg tonne</w:t>
            </w:r>
            <w:r w:rsidRPr="00191471">
              <w:rPr>
                <w:b/>
                <w:bCs/>
                <w:color w:val="000000"/>
                <w:sz w:val="18"/>
                <w:szCs w:val="18"/>
                <w:vertAlign w:val="superscript"/>
                <w:lang w:val="en-US"/>
              </w:rPr>
              <w:t>-1</w:t>
            </w:r>
            <w:r w:rsidRPr="00191471">
              <w:rPr>
                <w:b/>
                <w:bCs/>
                <w:color w:val="000000"/>
                <w:sz w:val="18"/>
                <w:szCs w:val="18"/>
                <w:lang w:val="en-US"/>
              </w:rPr>
              <w:t>)</w:t>
            </w:r>
          </w:p>
        </w:tc>
        <w:tc>
          <w:tcPr>
            <w:tcW w:w="298" w:type="pct"/>
            <w:tcBorders>
              <w:top w:val="single" w:sz="8" w:space="0" w:color="auto"/>
              <w:left w:val="single" w:sz="8" w:space="0" w:color="auto"/>
            </w:tcBorders>
            <w:shd w:val="clear" w:color="auto" w:fill="FFFFFF" w:themeFill="background1"/>
            <w:noWrap/>
            <w:vAlign w:val="center"/>
            <w:hideMark/>
          </w:tcPr>
          <w:p w14:paraId="572F1474" w14:textId="728C4A68"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203</w:t>
            </w:r>
          </w:p>
        </w:tc>
        <w:tc>
          <w:tcPr>
            <w:tcW w:w="264" w:type="pct"/>
            <w:tcBorders>
              <w:top w:val="single" w:sz="8" w:space="0" w:color="auto"/>
            </w:tcBorders>
            <w:shd w:val="clear" w:color="auto" w:fill="FFFFFF" w:themeFill="background1"/>
            <w:noWrap/>
            <w:vAlign w:val="center"/>
            <w:hideMark/>
          </w:tcPr>
          <w:p w14:paraId="44308DEB" w14:textId="6A5B5D39"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69</w:t>
            </w:r>
          </w:p>
        </w:tc>
        <w:tc>
          <w:tcPr>
            <w:tcW w:w="265" w:type="pct"/>
            <w:tcBorders>
              <w:top w:val="single" w:sz="8" w:space="0" w:color="auto"/>
              <w:right w:val="single" w:sz="8" w:space="0" w:color="auto"/>
            </w:tcBorders>
            <w:shd w:val="clear" w:color="auto" w:fill="FFFFFF" w:themeFill="background1"/>
            <w:noWrap/>
            <w:vAlign w:val="center"/>
            <w:hideMark/>
          </w:tcPr>
          <w:p w14:paraId="15C139CE" w14:textId="7C628922"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30699</w:t>
            </w:r>
          </w:p>
        </w:tc>
        <w:tc>
          <w:tcPr>
            <w:tcW w:w="232" w:type="pct"/>
            <w:tcBorders>
              <w:top w:val="single" w:sz="8" w:space="0" w:color="auto"/>
              <w:left w:val="single" w:sz="8" w:space="0" w:color="auto"/>
            </w:tcBorders>
            <w:shd w:val="clear" w:color="auto" w:fill="FFFFFF" w:themeFill="background1"/>
            <w:noWrap/>
            <w:vAlign w:val="center"/>
            <w:hideMark/>
          </w:tcPr>
          <w:p w14:paraId="30D3479D" w14:textId="3EC1CE07"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13</w:t>
            </w:r>
          </w:p>
        </w:tc>
        <w:tc>
          <w:tcPr>
            <w:tcW w:w="232" w:type="pct"/>
            <w:tcBorders>
              <w:top w:val="single" w:sz="8" w:space="0" w:color="auto"/>
            </w:tcBorders>
            <w:shd w:val="clear" w:color="auto" w:fill="FFFFFF" w:themeFill="background1"/>
            <w:noWrap/>
            <w:vAlign w:val="center"/>
            <w:hideMark/>
          </w:tcPr>
          <w:p w14:paraId="346F1938" w14:textId="0B33DCCC"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32</w:t>
            </w:r>
          </w:p>
        </w:tc>
        <w:tc>
          <w:tcPr>
            <w:tcW w:w="232" w:type="pct"/>
            <w:tcBorders>
              <w:top w:val="single" w:sz="8" w:space="0" w:color="auto"/>
            </w:tcBorders>
            <w:shd w:val="clear" w:color="auto" w:fill="FFFFFF" w:themeFill="background1"/>
            <w:noWrap/>
            <w:vAlign w:val="center"/>
            <w:hideMark/>
          </w:tcPr>
          <w:p w14:paraId="25274240" w14:textId="1E8AE12F"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11</w:t>
            </w:r>
          </w:p>
        </w:tc>
        <w:tc>
          <w:tcPr>
            <w:tcW w:w="215" w:type="pct"/>
            <w:tcBorders>
              <w:top w:val="single" w:sz="8" w:space="0" w:color="auto"/>
              <w:right w:val="single" w:sz="8" w:space="0" w:color="auto"/>
            </w:tcBorders>
            <w:shd w:val="clear" w:color="auto" w:fill="FFFFFF" w:themeFill="background1"/>
            <w:noWrap/>
            <w:vAlign w:val="center"/>
            <w:hideMark/>
          </w:tcPr>
          <w:p w14:paraId="6E2560F9" w14:textId="4563F6F5"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5288</w:t>
            </w:r>
          </w:p>
        </w:tc>
        <w:tc>
          <w:tcPr>
            <w:tcW w:w="237" w:type="pct"/>
            <w:tcBorders>
              <w:top w:val="single" w:sz="8" w:space="0" w:color="auto"/>
              <w:left w:val="single" w:sz="8" w:space="0" w:color="auto"/>
            </w:tcBorders>
            <w:shd w:val="clear" w:color="auto" w:fill="FFFFFF" w:themeFill="background1"/>
            <w:noWrap/>
            <w:vAlign w:val="center"/>
            <w:hideMark/>
          </w:tcPr>
          <w:p w14:paraId="2B06147D" w14:textId="2B85D0AD"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1221</w:t>
            </w:r>
          </w:p>
        </w:tc>
        <w:tc>
          <w:tcPr>
            <w:tcW w:w="211" w:type="pct"/>
            <w:tcBorders>
              <w:top w:val="single" w:sz="8" w:space="0" w:color="auto"/>
              <w:right w:val="single" w:sz="8" w:space="0" w:color="auto"/>
            </w:tcBorders>
            <w:shd w:val="clear" w:color="auto" w:fill="FFFFFF" w:themeFill="background1"/>
            <w:noWrap/>
            <w:vAlign w:val="center"/>
            <w:hideMark/>
          </w:tcPr>
          <w:p w14:paraId="234CC5C5" w14:textId="5B67A77A"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58</w:t>
            </w:r>
          </w:p>
        </w:tc>
        <w:tc>
          <w:tcPr>
            <w:tcW w:w="198" w:type="pct"/>
            <w:tcBorders>
              <w:top w:val="single" w:sz="8" w:space="0" w:color="auto"/>
              <w:left w:val="single" w:sz="8" w:space="0" w:color="auto"/>
            </w:tcBorders>
            <w:shd w:val="clear" w:color="auto" w:fill="FFFFFF" w:themeFill="background1"/>
            <w:noWrap/>
            <w:vAlign w:val="center"/>
            <w:hideMark/>
          </w:tcPr>
          <w:p w14:paraId="534BDF8C" w14:textId="7A601570"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164</w:t>
            </w:r>
          </w:p>
        </w:tc>
        <w:tc>
          <w:tcPr>
            <w:tcW w:w="212" w:type="pct"/>
            <w:tcBorders>
              <w:top w:val="single" w:sz="8" w:space="0" w:color="auto"/>
              <w:right w:val="single" w:sz="8" w:space="0" w:color="auto"/>
            </w:tcBorders>
            <w:shd w:val="clear" w:color="auto" w:fill="FFFFFF" w:themeFill="background1"/>
            <w:noWrap/>
            <w:vAlign w:val="center"/>
            <w:hideMark/>
          </w:tcPr>
          <w:p w14:paraId="20CBD48E" w14:textId="124B8E70"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100</w:t>
            </w:r>
          </w:p>
        </w:tc>
        <w:tc>
          <w:tcPr>
            <w:tcW w:w="176" w:type="pct"/>
            <w:tcBorders>
              <w:top w:val="single" w:sz="8" w:space="0" w:color="auto"/>
              <w:left w:val="single" w:sz="8" w:space="0" w:color="auto"/>
            </w:tcBorders>
            <w:shd w:val="clear" w:color="auto" w:fill="FFFFFF" w:themeFill="background1"/>
            <w:noWrap/>
            <w:vAlign w:val="center"/>
            <w:hideMark/>
          </w:tcPr>
          <w:p w14:paraId="46A60521" w14:textId="6DE934F3"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78</w:t>
            </w:r>
          </w:p>
        </w:tc>
        <w:tc>
          <w:tcPr>
            <w:tcW w:w="247" w:type="pct"/>
            <w:tcBorders>
              <w:top w:val="single" w:sz="8" w:space="0" w:color="auto"/>
            </w:tcBorders>
            <w:shd w:val="clear" w:color="auto" w:fill="FFFFFF" w:themeFill="background1"/>
            <w:noWrap/>
            <w:vAlign w:val="center"/>
            <w:hideMark/>
          </w:tcPr>
          <w:p w14:paraId="6A1FB002" w14:textId="15A2D28E"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11</w:t>
            </w:r>
          </w:p>
        </w:tc>
        <w:tc>
          <w:tcPr>
            <w:tcW w:w="176" w:type="pct"/>
            <w:tcBorders>
              <w:top w:val="single" w:sz="8" w:space="0" w:color="auto"/>
            </w:tcBorders>
            <w:shd w:val="clear" w:color="auto" w:fill="FFFFFF" w:themeFill="background1"/>
            <w:noWrap/>
            <w:vAlign w:val="center"/>
            <w:hideMark/>
          </w:tcPr>
          <w:p w14:paraId="5CB02194" w14:textId="613CABF9"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26</w:t>
            </w:r>
          </w:p>
        </w:tc>
        <w:tc>
          <w:tcPr>
            <w:tcW w:w="177" w:type="pct"/>
            <w:tcBorders>
              <w:top w:val="single" w:sz="8" w:space="0" w:color="auto"/>
              <w:right w:val="single" w:sz="8" w:space="0" w:color="auto"/>
            </w:tcBorders>
            <w:shd w:val="clear" w:color="auto" w:fill="FFFFFF" w:themeFill="background1"/>
            <w:noWrap/>
            <w:vAlign w:val="center"/>
            <w:hideMark/>
          </w:tcPr>
          <w:p w14:paraId="6C051756" w14:textId="2B8A9F71"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42</w:t>
            </w:r>
          </w:p>
        </w:tc>
        <w:tc>
          <w:tcPr>
            <w:tcW w:w="193" w:type="pct"/>
            <w:tcBorders>
              <w:top w:val="single" w:sz="8" w:space="0" w:color="auto"/>
              <w:left w:val="single" w:sz="8" w:space="0" w:color="auto"/>
            </w:tcBorders>
            <w:shd w:val="clear" w:color="auto" w:fill="FFFFFF" w:themeFill="background1"/>
            <w:noWrap/>
            <w:vAlign w:val="center"/>
            <w:hideMark/>
          </w:tcPr>
          <w:p w14:paraId="1A5D1FA7" w14:textId="03D17638" w:rsidR="00DE3112" w:rsidRPr="00191471" w:rsidRDefault="00DE3112" w:rsidP="0028677C">
            <w:pPr>
              <w:spacing w:line="240" w:lineRule="auto"/>
              <w:ind w:firstLine="0"/>
              <w:jc w:val="center"/>
              <w:rPr>
                <w:color w:val="000000"/>
                <w:sz w:val="18"/>
                <w:szCs w:val="18"/>
                <w:highlight w:val="yellow"/>
                <w:lang w:val="en-US"/>
              </w:rPr>
            </w:pPr>
            <w:r w:rsidRPr="00191471">
              <w:rPr>
                <w:color w:val="000000"/>
                <w:sz w:val="18"/>
                <w:szCs w:val="18"/>
              </w:rPr>
              <w:t>1738</w:t>
            </w:r>
          </w:p>
        </w:tc>
        <w:tc>
          <w:tcPr>
            <w:tcW w:w="211" w:type="pct"/>
            <w:tcBorders>
              <w:top w:val="single" w:sz="8" w:space="0" w:color="auto"/>
            </w:tcBorders>
            <w:shd w:val="clear" w:color="auto" w:fill="FFFFFF" w:themeFill="background1"/>
            <w:noWrap/>
            <w:vAlign w:val="center"/>
            <w:hideMark/>
          </w:tcPr>
          <w:p w14:paraId="0194023E" w14:textId="3F6EE8A7" w:rsidR="00DE3112" w:rsidRPr="00191471" w:rsidRDefault="00DE3112" w:rsidP="0028677C">
            <w:pPr>
              <w:spacing w:line="240" w:lineRule="auto"/>
              <w:ind w:firstLine="0"/>
              <w:jc w:val="center"/>
              <w:rPr>
                <w:color w:val="000000"/>
                <w:sz w:val="18"/>
                <w:szCs w:val="18"/>
                <w:highlight w:val="yellow"/>
                <w:lang w:val="en-US"/>
              </w:rPr>
            </w:pPr>
            <w:r w:rsidRPr="00191471">
              <w:rPr>
                <w:color w:val="000000"/>
                <w:sz w:val="18"/>
                <w:szCs w:val="18"/>
              </w:rPr>
              <w:t>4.7</w:t>
            </w:r>
          </w:p>
        </w:tc>
        <w:tc>
          <w:tcPr>
            <w:tcW w:w="178" w:type="pct"/>
            <w:tcBorders>
              <w:top w:val="single" w:sz="8" w:space="0" w:color="auto"/>
              <w:right w:val="single" w:sz="8" w:space="0" w:color="auto"/>
            </w:tcBorders>
            <w:shd w:val="clear" w:color="auto" w:fill="FFFFFF" w:themeFill="background1"/>
            <w:noWrap/>
            <w:vAlign w:val="center"/>
            <w:hideMark/>
          </w:tcPr>
          <w:p w14:paraId="2626BD52" w14:textId="5F6E221D" w:rsidR="00DE3112" w:rsidRPr="00191471" w:rsidRDefault="00DE3112" w:rsidP="0028677C">
            <w:pPr>
              <w:spacing w:line="240" w:lineRule="auto"/>
              <w:ind w:firstLine="0"/>
              <w:jc w:val="center"/>
              <w:rPr>
                <w:color w:val="000000"/>
                <w:sz w:val="18"/>
                <w:szCs w:val="18"/>
                <w:highlight w:val="yellow"/>
                <w:lang w:val="en-US"/>
              </w:rPr>
            </w:pPr>
            <w:r w:rsidRPr="00191471">
              <w:rPr>
                <w:color w:val="000000"/>
                <w:sz w:val="18"/>
                <w:szCs w:val="18"/>
              </w:rPr>
              <w:t>18</w:t>
            </w:r>
          </w:p>
        </w:tc>
        <w:tc>
          <w:tcPr>
            <w:tcW w:w="193" w:type="pct"/>
            <w:tcBorders>
              <w:top w:val="single" w:sz="8" w:space="0" w:color="auto"/>
              <w:left w:val="single" w:sz="8" w:space="0" w:color="auto"/>
            </w:tcBorders>
            <w:shd w:val="clear" w:color="auto" w:fill="FFFFFF" w:themeFill="background1"/>
            <w:noWrap/>
            <w:vAlign w:val="center"/>
            <w:hideMark/>
          </w:tcPr>
          <w:p w14:paraId="3739C07E" w14:textId="1859108D"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2356</w:t>
            </w:r>
          </w:p>
        </w:tc>
        <w:tc>
          <w:tcPr>
            <w:tcW w:w="208" w:type="pct"/>
            <w:tcBorders>
              <w:top w:val="single" w:sz="8" w:space="0" w:color="auto"/>
              <w:right w:val="single" w:sz="18" w:space="0" w:color="auto"/>
            </w:tcBorders>
            <w:shd w:val="clear" w:color="auto" w:fill="FFFFFF" w:themeFill="background1"/>
            <w:noWrap/>
            <w:vAlign w:val="center"/>
            <w:hideMark/>
          </w:tcPr>
          <w:p w14:paraId="3D9A6E9D" w14:textId="4A95F97A"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356</w:t>
            </w:r>
          </w:p>
        </w:tc>
      </w:tr>
      <w:tr w:rsidR="00BD2CC0" w:rsidRPr="00191471" w14:paraId="2C8B8F10" w14:textId="77777777" w:rsidTr="00BD2CC0">
        <w:trPr>
          <w:trHeight w:val="300"/>
        </w:trPr>
        <w:tc>
          <w:tcPr>
            <w:tcW w:w="645" w:type="pct"/>
            <w:tcBorders>
              <w:left w:val="single" w:sz="18" w:space="0" w:color="auto"/>
              <w:bottom w:val="single" w:sz="8" w:space="0" w:color="auto"/>
              <w:right w:val="single" w:sz="8" w:space="0" w:color="auto"/>
            </w:tcBorders>
            <w:shd w:val="clear" w:color="auto" w:fill="FFFFFF" w:themeFill="background1"/>
            <w:noWrap/>
            <w:vAlign w:val="center"/>
            <w:hideMark/>
          </w:tcPr>
          <w:p w14:paraId="6C3F617A" w14:textId="52295C4C" w:rsidR="00DE3112" w:rsidRPr="00191471" w:rsidRDefault="00DE3112" w:rsidP="0028677C">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 xml:space="preserve">F TEQ </w:t>
            </w:r>
            <w:r w:rsidRPr="00191471">
              <w:rPr>
                <w:b/>
                <w:bCs/>
                <w:color w:val="000000"/>
                <w:sz w:val="18"/>
                <w:szCs w:val="18"/>
                <w:lang w:val="en-US"/>
              </w:rPr>
              <w:t>(</w:t>
            </w:r>
            <w:r>
              <w:rPr>
                <w:b/>
                <w:bCs/>
                <w:color w:val="000000"/>
                <w:sz w:val="18"/>
                <w:szCs w:val="18"/>
                <w:lang w:val="en-US"/>
              </w:rPr>
              <w:t>m</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98" w:type="pct"/>
            <w:tcBorders>
              <w:left w:val="single" w:sz="8" w:space="0" w:color="auto"/>
              <w:bottom w:val="single" w:sz="8" w:space="0" w:color="auto"/>
            </w:tcBorders>
            <w:shd w:val="clear" w:color="auto" w:fill="FFFFFF" w:themeFill="background1"/>
            <w:noWrap/>
            <w:vAlign w:val="center"/>
            <w:hideMark/>
          </w:tcPr>
          <w:p w14:paraId="568B81C6" w14:textId="4F90E32D"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0.20</w:t>
            </w:r>
          </w:p>
        </w:tc>
        <w:tc>
          <w:tcPr>
            <w:tcW w:w="264" w:type="pct"/>
            <w:tcBorders>
              <w:bottom w:val="single" w:sz="8" w:space="0" w:color="auto"/>
            </w:tcBorders>
            <w:shd w:val="clear" w:color="auto" w:fill="FFFFFF" w:themeFill="background1"/>
            <w:noWrap/>
            <w:vAlign w:val="center"/>
            <w:hideMark/>
          </w:tcPr>
          <w:p w14:paraId="40FE7DE5" w14:textId="29E1762B"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0.07</w:t>
            </w:r>
          </w:p>
        </w:tc>
        <w:tc>
          <w:tcPr>
            <w:tcW w:w="265" w:type="pct"/>
            <w:tcBorders>
              <w:bottom w:val="single" w:sz="8" w:space="0" w:color="auto"/>
              <w:right w:val="single" w:sz="8" w:space="0" w:color="auto"/>
            </w:tcBorders>
            <w:shd w:val="clear" w:color="auto" w:fill="FFFFFF" w:themeFill="background1"/>
            <w:noWrap/>
            <w:vAlign w:val="center"/>
            <w:hideMark/>
          </w:tcPr>
          <w:p w14:paraId="7E30826B" w14:textId="2B44699F"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31</w:t>
            </w:r>
          </w:p>
        </w:tc>
        <w:tc>
          <w:tcPr>
            <w:tcW w:w="232" w:type="pct"/>
            <w:tcBorders>
              <w:left w:val="single" w:sz="8" w:space="0" w:color="auto"/>
              <w:bottom w:val="single" w:sz="8" w:space="0" w:color="auto"/>
            </w:tcBorders>
            <w:shd w:val="clear" w:color="auto" w:fill="FFFFFF" w:themeFill="background1"/>
            <w:noWrap/>
            <w:vAlign w:val="center"/>
            <w:hideMark/>
          </w:tcPr>
          <w:p w14:paraId="260846F9" w14:textId="3A23D255"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0.01</w:t>
            </w:r>
          </w:p>
        </w:tc>
        <w:tc>
          <w:tcPr>
            <w:tcW w:w="232" w:type="pct"/>
            <w:tcBorders>
              <w:bottom w:val="single" w:sz="8" w:space="0" w:color="auto"/>
            </w:tcBorders>
            <w:shd w:val="clear" w:color="auto" w:fill="FFFFFF" w:themeFill="background1"/>
            <w:noWrap/>
            <w:vAlign w:val="center"/>
            <w:hideMark/>
          </w:tcPr>
          <w:p w14:paraId="26977AED" w14:textId="074BF439"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0.03</w:t>
            </w:r>
          </w:p>
        </w:tc>
        <w:tc>
          <w:tcPr>
            <w:tcW w:w="232" w:type="pct"/>
            <w:tcBorders>
              <w:bottom w:val="single" w:sz="8" w:space="0" w:color="auto"/>
            </w:tcBorders>
            <w:shd w:val="clear" w:color="auto" w:fill="FFFFFF" w:themeFill="background1"/>
            <w:noWrap/>
            <w:vAlign w:val="center"/>
            <w:hideMark/>
          </w:tcPr>
          <w:p w14:paraId="1C539FFB" w14:textId="7560D8BD"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0.01</w:t>
            </w:r>
          </w:p>
        </w:tc>
        <w:tc>
          <w:tcPr>
            <w:tcW w:w="215" w:type="pct"/>
            <w:tcBorders>
              <w:bottom w:val="single" w:sz="8" w:space="0" w:color="auto"/>
              <w:right w:val="single" w:sz="8" w:space="0" w:color="auto"/>
            </w:tcBorders>
            <w:shd w:val="clear" w:color="auto" w:fill="FFFFFF" w:themeFill="background1"/>
            <w:noWrap/>
            <w:vAlign w:val="center"/>
            <w:hideMark/>
          </w:tcPr>
          <w:p w14:paraId="4F2D1768" w14:textId="6C400DA2"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5.3</w:t>
            </w:r>
          </w:p>
        </w:tc>
        <w:tc>
          <w:tcPr>
            <w:tcW w:w="237" w:type="pct"/>
            <w:tcBorders>
              <w:left w:val="single" w:sz="8" w:space="0" w:color="auto"/>
              <w:bottom w:val="single" w:sz="8" w:space="0" w:color="auto"/>
            </w:tcBorders>
            <w:shd w:val="clear" w:color="auto" w:fill="FFFFFF" w:themeFill="background1"/>
            <w:noWrap/>
            <w:vAlign w:val="center"/>
            <w:hideMark/>
          </w:tcPr>
          <w:p w14:paraId="0FE7C59A" w14:textId="7840EAB3"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1.2</w:t>
            </w:r>
          </w:p>
        </w:tc>
        <w:tc>
          <w:tcPr>
            <w:tcW w:w="211" w:type="pct"/>
            <w:tcBorders>
              <w:bottom w:val="single" w:sz="8" w:space="0" w:color="auto"/>
              <w:right w:val="single" w:sz="8" w:space="0" w:color="auto"/>
            </w:tcBorders>
            <w:shd w:val="clear" w:color="auto" w:fill="FFFFFF" w:themeFill="background1"/>
            <w:noWrap/>
            <w:vAlign w:val="center"/>
            <w:hideMark/>
          </w:tcPr>
          <w:p w14:paraId="49947019" w14:textId="4CDBA9BC"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0.06</w:t>
            </w:r>
          </w:p>
        </w:tc>
        <w:tc>
          <w:tcPr>
            <w:tcW w:w="198" w:type="pct"/>
            <w:tcBorders>
              <w:left w:val="single" w:sz="8" w:space="0" w:color="auto"/>
              <w:bottom w:val="single" w:sz="8" w:space="0" w:color="auto"/>
            </w:tcBorders>
            <w:shd w:val="clear" w:color="auto" w:fill="FFFFFF" w:themeFill="background1"/>
            <w:noWrap/>
            <w:vAlign w:val="center"/>
            <w:hideMark/>
          </w:tcPr>
          <w:p w14:paraId="5E9D500A" w14:textId="2D4D560A"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0.16</w:t>
            </w:r>
          </w:p>
        </w:tc>
        <w:tc>
          <w:tcPr>
            <w:tcW w:w="212" w:type="pct"/>
            <w:tcBorders>
              <w:bottom w:val="single" w:sz="8" w:space="0" w:color="auto"/>
              <w:right w:val="single" w:sz="8" w:space="0" w:color="auto"/>
            </w:tcBorders>
            <w:shd w:val="clear" w:color="auto" w:fill="FFFFFF" w:themeFill="background1"/>
            <w:noWrap/>
            <w:vAlign w:val="center"/>
            <w:hideMark/>
          </w:tcPr>
          <w:p w14:paraId="54146B1F" w14:textId="64601306"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0.10</w:t>
            </w:r>
          </w:p>
        </w:tc>
        <w:tc>
          <w:tcPr>
            <w:tcW w:w="176" w:type="pct"/>
            <w:tcBorders>
              <w:left w:val="single" w:sz="8" w:space="0" w:color="auto"/>
              <w:bottom w:val="single" w:sz="8" w:space="0" w:color="auto"/>
            </w:tcBorders>
            <w:shd w:val="clear" w:color="auto" w:fill="FFFFFF" w:themeFill="background1"/>
            <w:noWrap/>
            <w:vAlign w:val="center"/>
            <w:hideMark/>
          </w:tcPr>
          <w:p w14:paraId="2E5E55C9" w14:textId="67B11211"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0.08</w:t>
            </w:r>
          </w:p>
        </w:tc>
        <w:tc>
          <w:tcPr>
            <w:tcW w:w="247" w:type="pct"/>
            <w:tcBorders>
              <w:bottom w:val="single" w:sz="8" w:space="0" w:color="auto"/>
            </w:tcBorders>
            <w:shd w:val="clear" w:color="auto" w:fill="FFFFFF" w:themeFill="background1"/>
            <w:noWrap/>
            <w:vAlign w:val="center"/>
            <w:hideMark/>
          </w:tcPr>
          <w:p w14:paraId="740DCB78" w14:textId="4F702934"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0.01</w:t>
            </w:r>
          </w:p>
        </w:tc>
        <w:tc>
          <w:tcPr>
            <w:tcW w:w="176" w:type="pct"/>
            <w:tcBorders>
              <w:bottom w:val="single" w:sz="8" w:space="0" w:color="auto"/>
            </w:tcBorders>
            <w:shd w:val="clear" w:color="auto" w:fill="FFFFFF" w:themeFill="background1"/>
            <w:noWrap/>
            <w:vAlign w:val="center"/>
            <w:hideMark/>
          </w:tcPr>
          <w:p w14:paraId="5043B76C" w14:textId="4957F9F2"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0.03</w:t>
            </w:r>
          </w:p>
        </w:tc>
        <w:tc>
          <w:tcPr>
            <w:tcW w:w="177" w:type="pct"/>
            <w:tcBorders>
              <w:bottom w:val="single" w:sz="8" w:space="0" w:color="auto"/>
              <w:right w:val="single" w:sz="8" w:space="0" w:color="auto"/>
            </w:tcBorders>
            <w:shd w:val="clear" w:color="auto" w:fill="FFFFFF" w:themeFill="background1"/>
            <w:noWrap/>
            <w:vAlign w:val="center"/>
            <w:hideMark/>
          </w:tcPr>
          <w:p w14:paraId="50E09BC0" w14:textId="175BFA99"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0.04</w:t>
            </w:r>
          </w:p>
        </w:tc>
        <w:tc>
          <w:tcPr>
            <w:tcW w:w="193" w:type="pct"/>
            <w:tcBorders>
              <w:left w:val="single" w:sz="8" w:space="0" w:color="auto"/>
              <w:bottom w:val="single" w:sz="8" w:space="0" w:color="auto"/>
            </w:tcBorders>
            <w:shd w:val="clear" w:color="auto" w:fill="FFFFFF" w:themeFill="background1"/>
            <w:noWrap/>
            <w:vAlign w:val="center"/>
            <w:hideMark/>
          </w:tcPr>
          <w:p w14:paraId="53C3F5B5" w14:textId="05DDD60E" w:rsidR="00DE3112" w:rsidRPr="00191471" w:rsidRDefault="00DE3112" w:rsidP="0028677C">
            <w:pPr>
              <w:spacing w:line="240" w:lineRule="auto"/>
              <w:ind w:firstLine="0"/>
              <w:jc w:val="center"/>
              <w:rPr>
                <w:color w:val="000000"/>
                <w:sz w:val="18"/>
                <w:szCs w:val="18"/>
                <w:highlight w:val="yellow"/>
                <w:lang w:val="en-US"/>
              </w:rPr>
            </w:pPr>
            <w:r w:rsidRPr="00191471">
              <w:rPr>
                <w:color w:val="000000"/>
                <w:sz w:val="18"/>
                <w:szCs w:val="18"/>
              </w:rPr>
              <w:t>1.7</w:t>
            </w:r>
          </w:p>
        </w:tc>
        <w:tc>
          <w:tcPr>
            <w:tcW w:w="211" w:type="pct"/>
            <w:tcBorders>
              <w:bottom w:val="single" w:sz="8" w:space="0" w:color="auto"/>
            </w:tcBorders>
            <w:shd w:val="clear" w:color="auto" w:fill="FFFFFF" w:themeFill="background1"/>
            <w:noWrap/>
            <w:vAlign w:val="center"/>
            <w:hideMark/>
          </w:tcPr>
          <w:p w14:paraId="1FB5FC3E" w14:textId="2F823624" w:rsidR="00DE3112" w:rsidRPr="00191471" w:rsidRDefault="00DE3112" w:rsidP="0028677C">
            <w:pPr>
              <w:spacing w:line="240" w:lineRule="auto"/>
              <w:ind w:firstLine="0"/>
              <w:jc w:val="center"/>
              <w:rPr>
                <w:color w:val="000000"/>
                <w:sz w:val="18"/>
                <w:szCs w:val="18"/>
                <w:highlight w:val="yellow"/>
                <w:lang w:val="en-US"/>
              </w:rPr>
            </w:pPr>
            <w:r w:rsidRPr="00191471">
              <w:rPr>
                <w:color w:val="000000"/>
                <w:sz w:val="18"/>
                <w:szCs w:val="18"/>
              </w:rPr>
              <w:t>0.005</w:t>
            </w:r>
          </w:p>
        </w:tc>
        <w:tc>
          <w:tcPr>
            <w:tcW w:w="178" w:type="pct"/>
            <w:tcBorders>
              <w:bottom w:val="single" w:sz="8" w:space="0" w:color="auto"/>
              <w:right w:val="single" w:sz="8" w:space="0" w:color="auto"/>
            </w:tcBorders>
            <w:shd w:val="clear" w:color="auto" w:fill="FFFFFF" w:themeFill="background1"/>
            <w:noWrap/>
            <w:vAlign w:val="center"/>
            <w:hideMark/>
          </w:tcPr>
          <w:p w14:paraId="239AA80C" w14:textId="5A50AC65" w:rsidR="00DE3112" w:rsidRPr="00191471" w:rsidRDefault="00DE3112" w:rsidP="0028677C">
            <w:pPr>
              <w:spacing w:line="240" w:lineRule="auto"/>
              <w:ind w:firstLine="0"/>
              <w:jc w:val="center"/>
              <w:rPr>
                <w:color w:val="000000"/>
                <w:sz w:val="18"/>
                <w:szCs w:val="18"/>
                <w:highlight w:val="yellow"/>
                <w:lang w:val="en-US"/>
              </w:rPr>
            </w:pPr>
            <w:r w:rsidRPr="00191471">
              <w:rPr>
                <w:color w:val="000000"/>
                <w:sz w:val="18"/>
                <w:szCs w:val="18"/>
              </w:rPr>
              <w:t>0.02</w:t>
            </w:r>
          </w:p>
        </w:tc>
        <w:tc>
          <w:tcPr>
            <w:tcW w:w="193" w:type="pct"/>
            <w:tcBorders>
              <w:left w:val="single" w:sz="8" w:space="0" w:color="auto"/>
              <w:bottom w:val="single" w:sz="8" w:space="0" w:color="auto"/>
            </w:tcBorders>
            <w:shd w:val="clear" w:color="auto" w:fill="FFFFFF" w:themeFill="background1"/>
            <w:noWrap/>
            <w:vAlign w:val="center"/>
            <w:hideMark/>
          </w:tcPr>
          <w:p w14:paraId="7F2D9FCF" w14:textId="67D30D67"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2.4</w:t>
            </w:r>
          </w:p>
        </w:tc>
        <w:tc>
          <w:tcPr>
            <w:tcW w:w="208" w:type="pct"/>
            <w:tcBorders>
              <w:bottom w:val="single" w:sz="8" w:space="0" w:color="auto"/>
              <w:right w:val="single" w:sz="18" w:space="0" w:color="auto"/>
            </w:tcBorders>
            <w:shd w:val="clear" w:color="auto" w:fill="FFFFFF" w:themeFill="background1"/>
            <w:noWrap/>
            <w:vAlign w:val="center"/>
            <w:hideMark/>
          </w:tcPr>
          <w:p w14:paraId="1458C508" w14:textId="34CE329C" w:rsidR="00DE3112" w:rsidRPr="00191471" w:rsidRDefault="00DE3112" w:rsidP="0028677C">
            <w:pPr>
              <w:spacing w:line="240" w:lineRule="auto"/>
              <w:ind w:firstLine="0"/>
              <w:jc w:val="center"/>
              <w:rPr>
                <w:color w:val="000000"/>
                <w:sz w:val="18"/>
                <w:szCs w:val="18"/>
                <w:lang w:val="en-US"/>
              </w:rPr>
            </w:pPr>
            <w:r w:rsidRPr="00191471">
              <w:rPr>
                <w:color w:val="000000"/>
                <w:sz w:val="18"/>
                <w:szCs w:val="18"/>
              </w:rPr>
              <w:t>0.4</w:t>
            </w:r>
          </w:p>
        </w:tc>
      </w:tr>
      <w:tr w:rsidR="00BD2CC0" w:rsidRPr="00191471" w14:paraId="393B1C66" w14:textId="77777777" w:rsidTr="00BD2CC0">
        <w:trPr>
          <w:trHeight w:val="290"/>
        </w:trPr>
        <w:tc>
          <w:tcPr>
            <w:tcW w:w="645" w:type="pct"/>
            <w:tcBorders>
              <w:top w:val="single" w:sz="8" w:space="0" w:color="auto"/>
              <w:left w:val="single" w:sz="18" w:space="0" w:color="auto"/>
              <w:right w:val="single" w:sz="8" w:space="0" w:color="auto"/>
            </w:tcBorders>
            <w:shd w:val="clear" w:color="auto" w:fill="FFFFFF" w:themeFill="background1"/>
            <w:noWrap/>
            <w:vAlign w:val="center"/>
            <w:hideMark/>
          </w:tcPr>
          <w:p w14:paraId="61815844" w14:textId="77777777" w:rsidR="00DE3112" w:rsidRPr="00191471" w:rsidRDefault="00DE3112" w:rsidP="0028677C">
            <w:pPr>
              <w:spacing w:line="240" w:lineRule="auto"/>
              <w:ind w:firstLine="0"/>
              <w:rPr>
                <w:b/>
                <w:bCs/>
                <w:color w:val="000000"/>
                <w:sz w:val="18"/>
                <w:szCs w:val="18"/>
                <w:lang w:val="en-US"/>
              </w:rPr>
            </w:pPr>
            <w:r w:rsidRPr="00191471">
              <w:rPr>
                <w:b/>
                <w:bCs/>
                <w:color w:val="000000"/>
                <w:sz w:val="18"/>
                <w:szCs w:val="18"/>
                <w:lang w:val="en-US"/>
              </w:rPr>
              <w:t>Particles (%)</w:t>
            </w:r>
          </w:p>
        </w:tc>
        <w:tc>
          <w:tcPr>
            <w:tcW w:w="298" w:type="pct"/>
            <w:tcBorders>
              <w:top w:val="single" w:sz="8" w:space="0" w:color="auto"/>
              <w:left w:val="single" w:sz="8" w:space="0" w:color="auto"/>
            </w:tcBorders>
            <w:shd w:val="clear" w:color="auto" w:fill="FFFFFF" w:themeFill="background1"/>
            <w:noWrap/>
            <w:vAlign w:val="center"/>
            <w:hideMark/>
          </w:tcPr>
          <w:p w14:paraId="3A242097" w14:textId="1C5544D6" w:rsidR="00DE3112" w:rsidRPr="00191471" w:rsidRDefault="00DE3112" w:rsidP="0028677C">
            <w:pPr>
              <w:spacing w:line="240" w:lineRule="auto"/>
              <w:ind w:firstLine="0"/>
              <w:jc w:val="center"/>
              <w:rPr>
                <w:color w:val="000000"/>
                <w:sz w:val="18"/>
                <w:szCs w:val="18"/>
                <w:lang w:val="en-US"/>
              </w:rPr>
            </w:pPr>
            <w:r w:rsidRPr="00191471">
              <w:rPr>
                <w:sz w:val="18"/>
                <w:szCs w:val="18"/>
              </w:rPr>
              <w:t>7</w:t>
            </w:r>
          </w:p>
        </w:tc>
        <w:tc>
          <w:tcPr>
            <w:tcW w:w="264" w:type="pct"/>
            <w:tcBorders>
              <w:top w:val="single" w:sz="8" w:space="0" w:color="auto"/>
            </w:tcBorders>
            <w:shd w:val="clear" w:color="auto" w:fill="FFFFFF" w:themeFill="background1"/>
            <w:noWrap/>
            <w:vAlign w:val="center"/>
            <w:hideMark/>
          </w:tcPr>
          <w:p w14:paraId="170317C6" w14:textId="0DE84914" w:rsidR="00DE3112" w:rsidRPr="00191471" w:rsidRDefault="00DE3112" w:rsidP="0028677C">
            <w:pPr>
              <w:spacing w:line="240" w:lineRule="auto"/>
              <w:ind w:firstLine="0"/>
              <w:jc w:val="center"/>
              <w:rPr>
                <w:color w:val="000000"/>
                <w:sz w:val="18"/>
                <w:szCs w:val="18"/>
                <w:lang w:val="en-US"/>
              </w:rPr>
            </w:pPr>
            <w:r w:rsidRPr="00191471">
              <w:rPr>
                <w:sz w:val="18"/>
                <w:szCs w:val="18"/>
              </w:rPr>
              <w:t>14</w:t>
            </w:r>
          </w:p>
        </w:tc>
        <w:tc>
          <w:tcPr>
            <w:tcW w:w="265" w:type="pct"/>
            <w:tcBorders>
              <w:top w:val="single" w:sz="8" w:space="0" w:color="auto"/>
              <w:right w:val="single" w:sz="8" w:space="0" w:color="auto"/>
            </w:tcBorders>
            <w:shd w:val="clear" w:color="auto" w:fill="FFFFFF" w:themeFill="background1"/>
            <w:noWrap/>
            <w:vAlign w:val="center"/>
            <w:hideMark/>
          </w:tcPr>
          <w:p w14:paraId="6CB3D561" w14:textId="26BA0CBD" w:rsidR="00DE3112" w:rsidRPr="00191471" w:rsidRDefault="00DE3112" w:rsidP="0028677C">
            <w:pPr>
              <w:spacing w:line="240" w:lineRule="auto"/>
              <w:ind w:firstLine="0"/>
              <w:jc w:val="center"/>
              <w:rPr>
                <w:color w:val="000000"/>
                <w:sz w:val="18"/>
                <w:szCs w:val="18"/>
                <w:lang w:val="en-US"/>
              </w:rPr>
            </w:pPr>
            <w:r w:rsidRPr="00191471">
              <w:rPr>
                <w:sz w:val="18"/>
                <w:szCs w:val="18"/>
              </w:rPr>
              <w:t>30</w:t>
            </w:r>
          </w:p>
        </w:tc>
        <w:tc>
          <w:tcPr>
            <w:tcW w:w="232" w:type="pct"/>
            <w:tcBorders>
              <w:top w:val="single" w:sz="8" w:space="0" w:color="auto"/>
              <w:left w:val="single" w:sz="8" w:space="0" w:color="auto"/>
            </w:tcBorders>
            <w:shd w:val="clear" w:color="auto" w:fill="FFFFFF" w:themeFill="background1"/>
            <w:noWrap/>
            <w:vAlign w:val="center"/>
            <w:hideMark/>
          </w:tcPr>
          <w:p w14:paraId="4A0DCAE5" w14:textId="48453972" w:rsidR="00DE3112" w:rsidRPr="00191471" w:rsidRDefault="00DE3112" w:rsidP="0028677C">
            <w:pPr>
              <w:spacing w:line="240" w:lineRule="auto"/>
              <w:ind w:firstLine="0"/>
              <w:jc w:val="center"/>
              <w:rPr>
                <w:color w:val="000000"/>
                <w:sz w:val="18"/>
                <w:szCs w:val="18"/>
                <w:lang w:val="en-US"/>
              </w:rPr>
            </w:pPr>
            <w:r w:rsidRPr="00191471">
              <w:rPr>
                <w:sz w:val="18"/>
                <w:szCs w:val="18"/>
              </w:rPr>
              <w:t>0</w:t>
            </w:r>
          </w:p>
        </w:tc>
        <w:tc>
          <w:tcPr>
            <w:tcW w:w="232" w:type="pct"/>
            <w:tcBorders>
              <w:top w:val="single" w:sz="8" w:space="0" w:color="auto"/>
            </w:tcBorders>
            <w:shd w:val="clear" w:color="auto" w:fill="FFFFFF" w:themeFill="background1"/>
            <w:noWrap/>
            <w:vAlign w:val="center"/>
            <w:hideMark/>
          </w:tcPr>
          <w:p w14:paraId="0E2D9952" w14:textId="466388D9" w:rsidR="00DE3112" w:rsidRPr="00191471" w:rsidRDefault="00DE3112" w:rsidP="0028677C">
            <w:pPr>
              <w:spacing w:line="240" w:lineRule="auto"/>
              <w:ind w:firstLine="0"/>
              <w:jc w:val="center"/>
              <w:rPr>
                <w:color w:val="000000"/>
                <w:sz w:val="18"/>
                <w:szCs w:val="18"/>
                <w:lang w:val="en-US"/>
              </w:rPr>
            </w:pPr>
            <w:r w:rsidRPr="00191471">
              <w:rPr>
                <w:sz w:val="18"/>
                <w:szCs w:val="18"/>
              </w:rPr>
              <w:t>0</w:t>
            </w:r>
          </w:p>
        </w:tc>
        <w:tc>
          <w:tcPr>
            <w:tcW w:w="232" w:type="pct"/>
            <w:tcBorders>
              <w:top w:val="single" w:sz="8" w:space="0" w:color="auto"/>
            </w:tcBorders>
            <w:shd w:val="clear" w:color="auto" w:fill="FFFFFF" w:themeFill="background1"/>
            <w:noWrap/>
            <w:vAlign w:val="center"/>
            <w:hideMark/>
          </w:tcPr>
          <w:p w14:paraId="065FA85F" w14:textId="6BE1C026" w:rsidR="00DE3112" w:rsidRPr="00191471" w:rsidRDefault="00DE3112" w:rsidP="0028677C">
            <w:pPr>
              <w:spacing w:line="240" w:lineRule="auto"/>
              <w:ind w:firstLine="0"/>
              <w:jc w:val="center"/>
              <w:rPr>
                <w:color w:val="000000"/>
                <w:sz w:val="18"/>
                <w:szCs w:val="18"/>
                <w:lang w:val="en-US"/>
              </w:rPr>
            </w:pPr>
            <w:r w:rsidRPr="00191471">
              <w:rPr>
                <w:sz w:val="18"/>
                <w:szCs w:val="18"/>
              </w:rPr>
              <w:t>0</w:t>
            </w:r>
          </w:p>
        </w:tc>
        <w:tc>
          <w:tcPr>
            <w:tcW w:w="215" w:type="pct"/>
            <w:tcBorders>
              <w:top w:val="single" w:sz="8" w:space="0" w:color="auto"/>
              <w:right w:val="single" w:sz="8" w:space="0" w:color="auto"/>
            </w:tcBorders>
            <w:shd w:val="clear" w:color="auto" w:fill="FFFFFF" w:themeFill="background1"/>
            <w:noWrap/>
            <w:vAlign w:val="center"/>
            <w:hideMark/>
          </w:tcPr>
          <w:p w14:paraId="1ECB063A" w14:textId="53DC6426" w:rsidR="00DE3112" w:rsidRPr="00191471" w:rsidRDefault="00DE3112" w:rsidP="0028677C">
            <w:pPr>
              <w:spacing w:line="240" w:lineRule="auto"/>
              <w:ind w:firstLine="0"/>
              <w:jc w:val="center"/>
              <w:rPr>
                <w:color w:val="000000"/>
                <w:sz w:val="18"/>
                <w:szCs w:val="18"/>
                <w:lang w:val="en-US"/>
              </w:rPr>
            </w:pPr>
            <w:r w:rsidRPr="00191471">
              <w:rPr>
                <w:sz w:val="18"/>
                <w:szCs w:val="18"/>
              </w:rPr>
              <w:t>14</w:t>
            </w:r>
          </w:p>
        </w:tc>
        <w:tc>
          <w:tcPr>
            <w:tcW w:w="237" w:type="pct"/>
            <w:tcBorders>
              <w:top w:val="single" w:sz="8" w:space="0" w:color="auto"/>
              <w:left w:val="single" w:sz="8" w:space="0" w:color="auto"/>
              <w:bottom w:val="nil"/>
            </w:tcBorders>
            <w:shd w:val="clear" w:color="auto" w:fill="FFFFFF" w:themeFill="background1"/>
            <w:noWrap/>
            <w:vAlign w:val="center"/>
            <w:hideMark/>
          </w:tcPr>
          <w:p w14:paraId="6DBA9E02" w14:textId="5C4B6423" w:rsidR="00DE3112" w:rsidRPr="00191471" w:rsidRDefault="00DE3112" w:rsidP="0028677C">
            <w:pPr>
              <w:spacing w:line="240" w:lineRule="auto"/>
              <w:ind w:firstLine="0"/>
              <w:jc w:val="center"/>
              <w:rPr>
                <w:color w:val="000000"/>
                <w:sz w:val="18"/>
                <w:szCs w:val="18"/>
                <w:lang w:val="en-US"/>
              </w:rPr>
            </w:pPr>
            <w:r w:rsidRPr="00191471">
              <w:rPr>
                <w:sz w:val="18"/>
                <w:szCs w:val="18"/>
              </w:rPr>
              <w:t>16</w:t>
            </w:r>
          </w:p>
        </w:tc>
        <w:tc>
          <w:tcPr>
            <w:tcW w:w="211" w:type="pct"/>
            <w:tcBorders>
              <w:top w:val="single" w:sz="8" w:space="0" w:color="auto"/>
              <w:bottom w:val="nil"/>
              <w:right w:val="single" w:sz="8" w:space="0" w:color="auto"/>
            </w:tcBorders>
            <w:shd w:val="clear" w:color="auto" w:fill="FFFFFF" w:themeFill="background1"/>
            <w:noWrap/>
            <w:vAlign w:val="center"/>
            <w:hideMark/>
          </w:tcPr>
          <w:p w14:paraId="2B4CA2BF" w14:textId="5DF0E23F" w:rsidR="00DE3112" w:rsidRPr="00191471" w:rsidRDefault="00DE3112" w:rsidP="0028677C">
            <w:pPr>
              <w:spacing w:line="240" w:lineRule="auto"/>
              <w:ind w:firstLine="0"/>
              <w:jc w:val="center"/>
              <w:rPr>
                <w:color w:val="000000"/>
                <w:sz w:val="18"/>
                <w:szCs w:val="18"/>
                <w:lang w:val="en-US"/>
              </w:rPr>
            </w:pPr>
            <w:r w:rsidRPr="00191471">
              <w:rPr>
                <w:sz w:val="18"/>
                <w:szCs w:val="18"/>
              </w:rPr>
              <w:t>5</w:t>
            </w:r>
          </w:p>
        </w:tc>
        <w:tc>
          <w:tcPr>
            <w:tcW w:w="198" w:type="pct"/>
            <w:tcBorders>
              <w:top w:val="single" w:sz="8" w:space="0" w:color="auto"/>
              <w:left w:val="single" w:sz="8" w:space="0" w:color="auto"/>
              <w:bottom w:val="nil"/>
            </w:tcBorders>
            <w:shd w:val="clear" w:color="auto" w:fill="FFFFFF" w:themeFill="background1"/>
            <w:noWrap/>
            <w:vAlign w:val="center"/>
            <w:hideMark/>
          </w:tcPr>
          <w:p w14:paraId="360C4225" w14:textId="795B582D" w:rsidR="00DE3112" w:rsidRPr="00191471" w:rsidRDefault="00DE3112" w:rsidP="0028677C">
            <w:pPr>
              <w:spacing w:line="240" w:lineRule="auto"/>
              <w:ind w:firstLine="0"/>
              <w:jc w:val="center"/>
              <w:rPr>
                <w:color w:val="000000"/>
                <w:sz w:val="18"/>
                <w:szCs w:val="18"/>
                <w:lang w:val="en-US"/>
              </w:rPr>
            </w:pPr>
            <w:r w:rsidRPr="00191471">
              <w:rPr>
                <w:sz w:val="18"/>
                <w:szCs w:val="18"/>
              </w:rPr>
              <w:t>6</w:t>
            </w:r>
          </w:p>
        </w:tc>
        <w:tc>
          <w:tcPr>
            <w:tcW w:w="212" w:type="pct"/>
            <w:tcBorders>
              <w:top w:val="single" w:sz="8" w:space="0" w:color="auto"/>
              <w:bottom w:val="nil"/>
              <w:right w:val="single" w:sz="8" w:space="0" w:color="auto"/>
            </w:tcBorders>
            <w:shd w:val="clear" w:color="auto" w:fill="FFFFFF" w:themeFill="background1"/>
            <w:noWrap/>
            <w:vAlign w:val="center"/>
            <w:hideMark/>
          </w:tcPr>
          <w:p w14:paraId="0F52473B" w14:textId="410107A9" w:rsidR="00DE3112" w:rsidRPr="00191471" w:rsidRDefault="00DE3112" w:rsidP="0028677C">
            <w:pPr>
              <w:spacing w:line="240" w:lineRule="auto"/>
              <w:ind w:firstLine="0"/>
              <w:jc w:val="center"/>
              <w:rPr>
                <w:color w:val="000000"/>
                <w:sz w:val="18"/>
                <w:szCs w:val="18"/>
                <w:lang w:val="en-US"/>
              </w:rPr>
            </w:pPr>
            <w:r w:rsidRPr="00191471">
              <w:rPr>
                <w:sz w:val="18"/>
                <w:szCs w:val="18"/>
              </w:rPr>
              <w:t>17</w:t>
            </w:r>
          </w:p>
        </w:tc>
        <w:tc>
          <w:tcPr>
            <w:tcW w:w="176" w:type="pct"/>
            <w:tcBorders>
              <w:top w:val="single" w:sz="8" w:space="0" w:color="auto"/>
              <w:left w:val="single" w:sz="8" w:space="0" w:color="auto"/>
              <w:bottom w:val="nil"/>
            </w:tcBorders>
            <w:shd w:val="clear" w:color="auto" w:fill="FFFFFF" w:themeFill="background1"/>
            <w:noWrap/>
            <w:vAlign w:val="center"/>
            <w:hideMark/>
          </w:tcPr>
          <w:p w14:paraId="62836857" w14:textId="245CECD9" w:rsidR="00DE3112" w:rsidRPr="00191471" w:rsidRDefault="00DE3112" w:rsidP="0028677C">
            <w:pPr>
              <w:spacing w:line="240" w:lineRule="auto"/>
              <w:ind w:firstLine="0"/>
              <w:jc w:val="center"/>
              <w:rPr>
                <w:color w:val="000000"/>
                <w:sz w:val="18"/>
                <w:szCs w:val="18"/>
                <w:lang w:val="en-US"/>
              </w:rPr>
            </w:pPr>
            <w:r w:rsidRPr="00191471">
              <w:rPr>
                <w:sz w:val="18"/>
                <w:szCs w:val="18"/>
              </w:rPr>
              <w:t>12</w:t>
            </w:r>
          </w:p>
        </w:tc>
        <w:tc>
          <w:tcPr>
            <w:tcW w:w="247" w:type="pct"/>
            <w:tcBorders>
              <w:top w:val="single" w:sz="8" w:space="0" w:color="auto"/>
              <w:bottom w:val="nil"/>
            </w:tcBorders>
            <w:shd w:val="clear" w:color="auto" w:fill="FFFFFF" w:themeFill="background1"/>
            <w:noWrap/>
            <w:vAlign w:val="center"/>
            <w:hideMark/>
          </w:tcPr>
          <w:p w14:paraId="6646BD80" w14:textId="6C382A2C" w:rsidR="00DE3112" w:rsidRPr="00191471" w:rsidRDefault="00DE3112" w:rsidP="0028677C">
            <w:pPr>
              <w:spacing w:line="240" w:lineRule="auto"/>
              <w:ind w:firstLine="0"/>
              <w:jc w:val="center"/>
              <w:rPr>
                <w:color w:val="000000"/>
                <w:sz w:val="18"/>
                <w:szCs w:val="18"/>
                <w:lang w:val="en-US"/>
              </w:rPr>
            </w:pPr>
            <w:r w:rsidRPr="00191471">
              <w:rPr>
                <w:sz w:val="18"/>
                <w:szCs w:val="18"/>
              </w:rPr>
              <w:t>0</w:t>
            </w:r>
          </w:p>
        </w:tc>
        <w:tc>
          <w:tcPr>
            <w:tcW w:w="176" w:type="pct"/>
            <w:tcBorders>
              <w:top w:val="single" w:sz="8" w:space="0" w:color="auto"/>
              <w:bottom w:val="nil"/>
            </w:tcBorders>
            <w:shd w:val="clear" w:color="auto" w:fill="FFFFFF" w:themeFill="background1"/>
            <w:noWrap/>
            <w:vAlign w:val="center"/>
            <w:hideMark/>
          </w:tcPr>
          <w:p w14:paraId="42E0C6EB" w14:textId="1A0C0CBE" w:rsidR="00DE3112" w:rsidRPr="00191471" w:rsidRDefault="00DE3112" w:rsidP="0028677C">
            <w:pPr>
              <w:spacing w:line="240" w:lineRule="auto"/>
              <w:ind w:firstLine="0"/>
              <w:jc w:val="center"/>
              <w:rPr>
                <w:color w:val="000000"/>
                <w:sz w:val="18"/>
                <w:szCs w:val="18"/>
                <w:lang w:val="en-US"/>
              </w:rPr>
            </w:pPr>
            <w:r w:rsidRPr="00191471">
              <w:rPr>
                <w:sz w:val="18"/>
                <w:szCs w:val="18"/>
              </w:rPr>
              <w:t>0</w:t>
            </w:r>
          </w:p>
        </w:tc>
        <w:tc>
          <w:tcPr>
            <w:tcW w:w="177" w:type="pct"/>
            <w:tcBorders>
              <w:top w:val="single" w:sz="8" w:space="0" w:color="auto"/>
              <w:bottom w:val="nil"/>
              <w:right w:val="single" w:sz="8" w:space="0" w:color="auto"/>
            </w:tcBorders>
            <w:shd w:val="clear" w:color="auto" w:fill="FFFFFF" w:themeFill="background1"/>
            <w:noWrap/>
            <w:vAlign w:val="center"/>
            <w:hideMark/>
          </w:tcPr>
          <w:p w14:paraId="443C0308" w14:textId="646F6B55" w:rsidR="00DE3112" w:rsidRPr="00191471" w:rsidRDefault="00DE3112" w:rsidP="0028677C">
            <w:pPr>
              <w:spacing w:line="240" w:lineRule="auto"/>
              <w:ind w:firstLine="0"/>
              <w:jc w:val="center"/>
              <w:rPr>
                <w:color w:val="000000"/>
                <w:sz w:val="18"/>
                <w:szCs w:val="18"/>
                <w:lang w:val="en-US"/>
              </w:rPr>
            </w:pPr>
            <w:r w:rsidRPr="00191471">
              <w:rPr>
                <w:sz w:val="18"/>
                <w:szCs w:val="18"/>
              </w:rPr>
              <w:t>14</w:t>
            </w:r>
          </w:p>
        </w:tc>
        <w:tc>
          <w:tcPr>
            <w:tcW w:w="193" w:type="pct"/>
            <w:tcBorders>
              <w:top w:val="single" w:sz="8" w:space="0" w:color="auto"/>
              <w:left w:val="single" w:sz="8" w:space="0" w:color="auto"/>
              <w:bottom w:val="nil"/>
            </w:tcBorders>
            <w:shd w:val="clear" w:color="auto" w:fill="FFFFFF" w:themeFill="background1"/>
            <w:noWrap/>
            <w:vAlign w:val="center"/>
            <w:hideMark/>
          </w:tcPr>
          <w:p w14:paraId="4D4D25B1" w14:textId="3262C351" w:rsidR="00DE3112" w:rsidRPr="00191471" w:rsidRDefault="00DE3112" w:rsidP="0028677C">
            <w:pPr>
              <w:spacing w:line="240" w:lineRule="auto"/>
              <w:ind w:firstLine="0"/>
              <w:jc w:val="center"/>
              <w:rPr>
                <w:color w:val="000000"/>
                <w:sz w:val="18"/>
                <w:szCs w:val="18"/>
                <w:lang w:val="en-US"/>
              </w:rPr>
            </w:pPr>
            <w:r w:rsidRPr="00191471">
              <w:rPr>
                <w:sz w:val="18"/>
                <w:szCs w:val="18"/>
              </w:rPr>
              <w:t>6</w:t>
            </w:r>
          </w:p>
        </w:tc>
        <w:tc>
          <w:tcPr>
            <w:tcW w:w="211" w:type="pct"/>
            <w:tcBorders>
              <w:top w:val="single" w:sz="8" w:space="0" w:color="auto"/>
              <w:bottom w:val="nil"/>
            </w:tcBorders>
            <w:shd w:val="clear" w:color="auto" w:fill="FFFFFF" w:themeFill="background1"/>
            <w:noWrap/>
            <w:vAlign w:val="center"/>
            <w:hideMark/>
          </w:tcPr>
          <w:p w14:paraId="23ABE4B3" w14:textId="20299BA5" w:rsidR="00DE3112" w:rsidRPr="00191471" w:rsidRDefault="00DE3112" w:rsidP="0028677C">
            <w:pPr>
              <w:spacing w:line="240" w:lineRule="auto"/>
              <w:ind w:firstLine="0"/>
              <w:jc w:val="center"/>
              <w:rPr>
                <w:color w:val="000000"/>
                <w:sz w:val="18"/>
                <w:szCs w:val="18"/>
                <w:lang w:val="en-US"/>
              </w:rPr>
            </w:pPr>
            <w:r w:rsidRPr="00191471">
              <w:rPr>
                <w:sz w:val="18"/>
                <w:szCs w:val="18"/>
              </w:rPr>
              <w:t>16</w:t>
            </w:r>
          </w:p>
        </w:tc>
        <w:tc>
          <w:tcPr>
            <w:tcW w:w="178" w:type="pct"/>
            <w:tcBorders>
              <w:top w:val="single" w:sz="8" w:space="0" w:color="auto"/>
              <w:bottom w:val="nil"/>
              <w:right w:val="single" w:sz="8" w:space="0" w:color="auto"/>
            </w:tcBorders>
            <w:shd w:val="clear" w:color="auto" w:fill="FFFFFF" w:themeFill="background1"/>
            <w:noWrap/>
            <w:vAlign w:val="center"/>
            <w:hideMark/>
          </w:tcPr>
          <w:p w14:paraId="14716200" w14:textId="236781C3" w:rsidR="00DE3112" w:rsidRPr="00191471" w:rsidRDefault="00DE3112" w:rsidP="0028677C">
            <w:pPr>
              <w:spacing w:line="240" w:lineRule="auto"/>
              <w:ind w:firstLine="0"/>
              <w:jc w:val="center"/>
              <w:rPr>
                <w:color w:val="000000"/>
                <w:sz w:val="18"/>
                <w:szCs w:val="18"/>
                <w:lang w:val="en-US"/>
              </w:rPr>
            </w:pPr>
            <w:r w:rsidRPr="00191471">
              <w:rPr>
                <w:sz w:val="18"/>
                <w:szCs w:val="18"/>
              </w:rPr>
              <w:t>2</w:t>
            </w:r>
          </w:p>
        </w:tc>
        <w:tc>
          <w:tcPr>
            <w:tcW w:w="193" w:type="pct"/>
            <w:tcBorders>
              <w:top w:val="single" w:sz="8" w:space="0" w:color="auto"/>
              <w:left w:val="single" w:sz="8" w:space="0" w:color="auto"/>
              <w:bottom w:val="nil"/>
            </w:tcBorders>
            <w:shd w:val="clear" w:color="auto" w:fill="FFFFFF" w:themeFill="background1"/>
            <w:noWrap/>
            <w:vAlign w:val="center"/>
            <w:hideMark/>
          </w:tcPr>
          <w:p w14:paraId="5CC94B9A" w14:textId="27F3F911" w:rsidR="00DE3112" w:rsidRPr="00191471" w:rsidRDefault="00DE3112" w:rsidP="0028677C">
            <w:pPr>
              <w:spacing w:line="240" w:lineRule="auto"/>
              <w:ind w:firstLine="0"/>
              <w:jc w:val="center"/>
              <w:rPr>
                <w:color w:val="000000"/>
                <w:sz w:val="18"/>
                <w:szCs w:val="18"/>
                <w:lang w:val="en-US"/>
              </w:rPr>
            </w:pPr>
            <w:r w:rsidRPr="00191471">
              <w:rPr>
                <w:sz w:val="18"/>
                <w:szCs w:val="18"/>
              </w:rPr>
              <w:t>10</w:t>
            </w:r>
          </w:p>
        </w:tc>
        <w:tc>
          <w:tcPr>
            <w:tcW w:w="208" w:type="pct"/>
            <w:tcBorders>
              <w:top w:val="single" w:sz="8" w:space="0" w:color="auto"/>
              <w:bottom w:val="nil"/>
              <w:right w:val="single" w:sz="18" w:space="0" w:color="auto"/>
            </w:tcBorders>
            <w:shd w:val="clear" w:color="auto" w:fill="FFFFFF" w:themeFill="background1"/>
            <w:noWrap/>
            <w:vAlign w:val="center"/>
            <w:hideMark/>
          </w:tcPr>
          <w:p w14:paraId="3166363A" w14:textId="782AF3CD" w:rsidR="00DE3112" w:rsidRPr="00191471" w:rsidRDefault="00DE3112" w:rsidP="0028677C">
            <w:pPr>
              <w:spacing w:line="240" w:lineRule="auto"/>
              <w:ind w:firstLine="0"/>
              <w:jc w:val="center"/>
              <w:rPr>
                <w:color w:val="000000"/>
                <w:sz w:val="18"/>
                <w:szCs w:val="18"/>
                <w:lang w:val="en-US"/>
              </w:rPr>
            </w:pPr>
            <w:r w:rsidRPr="00191471">
              <w:rPr>
                <w:sz w:val="18"/>
                <w:szCs w:val="18"/>
              </w:rPr>
              <w:t>11</w:t>
            </w:r>
          </w:p>
        </w:tc>
      </w:tr>
      <w:tr w:rsidR="004B59C6" w:rsidRPr="00191471" w14:paraId="72E4B3D5" w14:textId="77777777" w:rsidTr="00BD2CC0">
        <w:trPr>
          <w:trHeight w:val="300"/>
        </w:trPr>
        <w:tc>
          <w:tcPr>
            <w:tcW w:w="645" w:type="pct"/>
            <w:tcBorders>
              <w:left w:val="single" w:sz="18" w:space="0" w:color="auto"/>
              <w:bottom w:val="single" w:sz="18" w:space="0" w:color="auto"/>
              <w:right w:val="single" w:sz="8" w:space="0" w:color="auto"/>
            </w:tcBorders>
            <w:shd w:val="clear" w:color="auto" w:fill="FFFFFF" w:themeFill="background1"/>
            <w:noWrap/>
            <w:vAlign w:val="center"/>
            <w:hideMark/>
          </w:tcPr>
          <w:p w14:paraId="15639D14" w14:textId="77777777" w:rsidR="00DE3112" w:rsidRPr="00191471" w:rsidRDefault="00DE3112" w:rsidP="0028677C">
            <w:pPr>
              <w:spacing w:line="240" w:lineRule="auto"/>
              <w:ind w:firstLine="0"/>
              <w:rPr>
                <w:b/>
                <w:bCs/>
                <w:color w:val="000000"/>
                <w:sz w:val="18"/>
                <w:szCs w:val="18"/>
                <w:lang w:val="en-US"/>
              </w:rPr>
            </w:pPr>
            <w:r w:rsidRPr="00191471">
              <w:rPr>
                <w:b/>
                <w:bCs/>
                <w:color w:val="000000"/>
                <w:sz w:val="18"/>
                <w:szCs w:val="18"/>
                <w:lang w:val="en-US"/>
              </w:rPr>
              <w:t>Gaseous (%)</w:t>
            </w:r>
          </w:p>
        </w:tc>
        <w:tc>
          <w:tcPr>
            <w:tcW w:w="298" w:type="pct"/>
            <w:tcBorders>
              <w:left w:val="single" w:sz="8" w:space="0" w:color="auto"/>
              <w:bottom w:val="single" w:sz="18" w:space="0" w:color="auto"/>
            </w:tcBorders>
            <w:shd w:val="clear" w:color="auto" w:fill="FFFFFF" w:themeFill="background1"/>
            <w:noWrap/>
            <w:vAlign w:val="center"/>
            <w:hideMark/>
          </w:tcPr>
          <w:p w14:paraId="298DBE4A" w14:textId="52E2E852" w:rsidR="00DE3112" w:rsidRPr="00191471" w:rsidRDefault="00DE3112" w:rsidP="0028677C">
            <w:pPr>
              <w:spacing w:line="240" w:lineRule="auto"/>
              <w:ind w:firstLine="0"/>
              <w:jc w:val="center"/>
              <w:rPr>
                <w:color w:val="000000"/>
                <w:sz w:val="18"/>
                <w:szCs w:val="18"/>
                <w:lang w:val="en-US"/>
              </w:rPr>
            </w:pPr>
            <w:r w:rsidRPr="00191471">
              <w:rPr>
                <w:sz w:val="18"/>
                <w:szCs w:val="18"/>
              </w:rPr>
              <w:t>93</w:t>
            </w:r>
          </w:p>
        </w:tc>
        <w:tc>
          <w:tcPr>
            <w:tcW w:w="264" w:type="pct"/>
            <w:tcBorders>
              <w:bottom w:val="single" w:sz="18" w:space="0" w:color="auto"/>
            </w:tcBorders>
            <w:shd w:val="clear" w:color="auto" w:fill="FFFFFF" w:themeFill="background1"/>
            <w:noWrap/>
            <w:vAlign w:val="center"/>
            <w:hideMark/>
          </w:tcPr>
          <w:p w14:paraId="3DC9F54C" w14:textId="5E818153" w:rsidR="00DE3112" w:rsidRPr="00191471" w:rsidRDefault="00DE3112" w:rsidP="0028677C">
            <w:pPr>
              <w:spacing w:line="240" w:lineRule="auto"/>
              <w:ind w:firstLine="0"/>
              <w:jc w:val="center"/>
              <w:rPr>
                <w:color w:val="000000"/>
                <w:sz w:val="18"/>
                <w:szCs w:val="18"/>
                <w:lang w:val="en-US"/>
              </w:rPr>
            </w:pPr>
            <w:r w:rsidRPr="00191471">
              <w:rPr>
                <w:sz w:val="18"/>
                <w:szCs w:val="18"/>
              </w:rPr>
              <w:t>86</w:t>
            </w:r>
          </w:p>
        </w:tc>
        <w:tc>
          <w:tcPr>
            <w:tcW w:w="265" w:type="pct"/>
            <w:tcBorders>
              <w:bottom w:val="single" w:sz="18" w:space="0" w:color="auto"/>
              <w:right w:val="single" w:sz="8" w:space="0" w:color="auto"/>
            </w:tcBorders>
            <w:shd w:val="clear" w:color="auto" w:fill="FFFFFF" w:themeFill="background1"/>
            <w:noWrap/>
            <w:vAlign w:val="center"/>
            <w:hideMark/>
          </w:tcPr>
          <w:p w14:paraId="07D44B57" w14:textId="4587F466" w:rsidR="00DE3112" w:rsidRPr="00191471" w:rsidRDefault="00DE3112" w:rsidP="0028677C">
            <w:pPr>
              <w:spacing w:line="240" w:lineRule="auto"/>
              <w:ind w:firstLine="0"/>
              <w:jc w:val="center"/>
              <w:rPr>
                <w:color w:val="000000"/>
                <w:sz w:val="18"/>
                <w:szCs w:val="18"/>
                <w:lang w:val="en-US"/>
              </w:rPr>
            </w:pPr>
            <w:r w:rsidRPr="00191471">
              <w:rPr>
                <w:sz w:val="18"/>
                <w:szCs w:val="18"/>
              </w:rPr>
              <w:t>70</w:t>
            </w:r>
          </w:p>
        </w:tc>
        <w:tc>
          <w:tcPr>
            <w:tcW w:w="232" w:type="pct"/>
            <w:tcBorders>
              <w:left w:val="single" w:sz="8" w:space="0" w:color="auto"/>
              <w:bottom w:val="single" w:sz="18" w:space="0" w:color="auto"/>
            </w:tcBorders>
            <w:shd w:val="clear" w:color="auto" w:fill="FFFFFF" w:themeFill="background1"/>
            <w:noWrap/>
            <w:vAlign w:val="center"/>
            <w:hideMark/>
          </w:tcPr>
          <w:p w14:paraId="765AFD34" w14:textId="24F429C1" w:rsidR="00DE3112" w:rsidRPr="00191471" w:rsidRDefault="00DE3112" w:rsidP="0028677C">
            <w:pPr>
              <w:spacing w:line="240" w:lineRule="auto"/>
              <w:ind w:firstLine="0"/>
              <w:jc w:val="center"/>
              <w:rPr>
                <w:color w:val="000000"/>
                <w:sz w:val="18"/>
                <w:szCs w:val="18"/>
                <w:lang w:val="en-US"/>
              </w:rPr>
            </w:pPr>
            <w:r w:rsidRPr="00191471">
              <w:rPr>
                <w:sz w:val="18"/>
                <w:szCs w:val="18"/>
              </w:rPr>
              <w:t>100</w:t>
            </w:r>
          </w:p>
        </w:tc>
        <w:tc>
          <w:tcPr>
            <w:tcW w:w="232" w:type="pct"/>
            <w:tcBorders>
              <w:bottom w:val="single" w:sz="18" w:space="0" w:color="auto"/>
            </w:tcBorders>
            <w:shd w:val="clear" w:color="auto" w:fill="FFFFFF" w:themeFill="background1"/>
            <w:noWrap/>
            <w:vAlign w:val="center"/>
            <w:hideMark/>
          </w:tcPr>
          <w:p w14:paraId="1BB0A15D" w14:textId="044B413B" w:rsidR="00DE3112" w:rsidRPr="00191471" w:rsidRDefault="00DE3112" w:rsidP="0028677C">
            <w:pPr>
              <w:spacing w:line="240" w:lineRule="auto"/>
              <w:ind w:firstLine="0"/>
              <w:jc w:val="center"/>
              <w:rPr>
                <w:color w:val="000000"/>
                <w:sz w:val="18"/>
                <w:szCs w:val="18"/>
                <w:lang w:val="en-US"/>
              </w:rPr>
            </w:pPr>
            <w:r w:rsidRPr="00191471">
              <w:rPr>
                <w:sz w:val="18"/>
                <w:szCs w:val="18"/>
              </w:rPr>
              <w:t>100</w:t>
            </w:r>
          </w:p>
        </w:tc>
        <w:tc>
          <w:tcPr>
            <w:tcW w:w="232" w:type="pct"/>
            <w:tcBorders>
              <w:bottom w:val="single" w:sz="18" w:space="0" w:color="auto"/>
            </w:tcBorders>
            <w:shd w:val="clear" w:color="auto" w:fill="FFFFFF" w:themeFill="background1"/>
            <w:noWrap/>
            <w:vAlign w:val="center"/>
            <w:hideMark/>
          </w:tcPr>
          <w:p w14:paraId="622B2ECC" w14:textId="0F2DA2DE" w:rsidR="00DE3112" w:rsidRPr="00191471" w:rsidRDefault="00DE3112" w:rsidP="0028677C">
            <w:pPr>
              <w:spacing w:line="240" w:lineRule="auto"/>
              <w:ind w:firstLine="0"/>
              <w:jc w:val="center"/>
              <w:rPr>
                <w:color w:val="000000"/>
                <w:sz w:val="18"/>
                <w:szCs w:val="18"/>
                <w:lang w:val="en-US"/>
              </w:rPr>
            </w:pPr>
            <w:r w:rsidRPr="00191471">
              <w:rPr>
                <w:sz w:val="18"/>
                <w:szCs w:val="18"/>
              </w:rPr>
              <w:t>100</w:t>
            </w:r>
          </w:p>
        </w:tc>
        <w:tc>
          <w:tcPr>
            <w:tcW w:w="215" w:type="pct"/>
            <w:tcBorders>
              <w:bottom w:val="single" w:sz="18" w:space="0" w:color="auto"/>
              <w:right w:val="single" w:sz="8" w:space="0" w:color="auto"/>
            </w:tcBorders>
            <w:shd w:val="clear" w:color="auto" w:fill="FFFFFF" w:themeFill="background1"/>
            <w:noWrap/>
            <w:vAlign w:val="center"/>
            <w:hideMark/>
          </w:tcPr>
          <w:p w14:paraId="2DAF22ED" w14:textId="46424FF6" w:rsidR="00DE3112" w:rsidRPr="00191471" w:rsidRDefault="00DE3112" w:rsidP="0028677C">
            <w:pPr>
              <w:spacing w:line="240" w:lineRule="auto"/>
              <w:ind w:firstLine="0"/>
              <w:jc w:val="center"/>
              <w:rPr>
                <w:color w:val="000000"/>
                <w:sz w:val="18"/>
                <w:szCs w:val="18"/>
                <w:lang w:val="en-US"/>
              </w:rPr>
            </w:pPr>
            <w:r w:rsidRPr="00191471">
              <w:rPr>
                <w:sz w:val="18"/>
                <w:szCs w:val="18"/>
              </w:rPr>
              <w:t>86</w:t>
            </w:r>
          </w:p>
        </w:tc>
        <w:tc>
          <w:tcPr>
            <w:tcW w:w="237" w:type="pct"/>
            <w:tcBorders>
              <w:top w:val="nil"/>
              <w:left w:val="single" w:sz="8" w:space="0" w:color="auto"/>
              <w:bottom w:val="single" w:sz="18" w:space="0" w:color="auto"/>
            </w:tcBorders>
            <w:shd w:val="clear" w:color="auto" w:fill="FFFFFF" w:themeFill="background1"/>
            <w:noWrap/>
            <w:vAlign w:val="center"/>
            <w:hideMark/>
          </w:tcPr>
          <w:p w14:paraId="32DB9745" w14:textId="6DC258A3" w:rsidR="00DE3112" w:rsidRPr="00191471" w:rsidRDefault="00DE3112" w:rsidP="0028677C">
            <w:pPr>
              <w:spacing w:line="240" w:lineRule="auto"/>
              <w:ind w:firstLine="0"/>
              <w:jc w:val="center"/>
              <w:rPr>
                <w:color w:val="000000"/>
                <w:sz w:val="18"/>
                <w:szCs w:val="18"/>
                <w:lang w:val="en-US"/>
              </w:rPr>
            </w:pPr>
            <w:r w:rsidRPr="00191471">
              <w:rPr>
                <w:sz w:val="18"/>
                <w:szCs w:val="18"/>
              </w:rPr>
              <w:t>84</w:t>
            </w:r>
          </w:p>
        </w:tc>
        <w:tc>
          <w:tcPr>
            <w:tcW w:w="211" w:type="pct"/>
            <w:tcBorders>
              <w:top w:val="nil"/>
              <w:bottom w:val="single" w:sz="18" w:space="0" w:color="auto"/>
              <w:right w:val="single" w:sz="8" w:space="0" w:color="auto"/>
            </w:tcBorders>
            <w:shd w:val="clear" w:color="auto" w:fill="FFFFFF" w:themeFill="background1"/>
            <w:noWrap/>
            <w:vAlign w:val="center"/>
            <w:hideMark/>
          </w:tcPr>
          <w:p w14:paraId="2D46FC3F" w14:textId="553659D8" w:rsidR="00DE3112" w:rsidRPr="00191471" w:rsidRDefault="00DE3112" w:rsidP="0028677C">
            <w:pPr>
              <w:spacing w:line="240" w:lineRule="auto"/>
              <w:ind w:firstLine="0"/>
              <w:jc w:val="center"/>
              <w:rPr>
                <w:color w:val="000000"/>
                <w:sz w:val="18"/>
                <w:szCs w:val="18"/>
                <w:lang w:val="en-US"/>
              </w:rPr>
            </w:pPr>
            <w:r w:rsidRPr="00191471">
              <w:rPr>
                <w:sz w:val="18"/>
                <w:szCs w:val="18"/>
              </w:rPr>
              <w:t>95</w:t>
            </w:r>
          </w:p>
        </w:tc>
        <w:tc>
          <w:tcPr>
            <w:tcW w:w="198" w:type="pct"/>
            <w:tcBorders>
              <w:top w:val="nil"/>
              <w:left w:val="single" w:sz="8" w:space="0" w:color="auto"/>
              <w:bottom w:val="single" w:sz="18" w:space="0" w:color="auto"/>
            </w:tcBorders>
            <w:shd w:val="clear" w:color="auto" w:fill="FFFFFF" w:themeFill="background1"/>
            <w:noWrap/>
            <w:vAlign w:val="center"/>
            <w:hideMark/>
          </w:tcPr>
          <w:p w14:paraId="1747CFFC" w14:textId="1F22C247" w:rsidR="00DE3112" w:rsidRPr="00191471" w:rsidRDefault="00DE3112" w:rsidP="0028677C">
            <w:pPr>
              <w:spacing w:line="240" w:lineRule="auto"/>
              <w:ind w:firstLine="0"/>
              <w:jc w:val="center"/>
              <w:rPr>
                <w:color w:val="000000"/>
                <w:sz w:val="18"/>
                <w:szCs w:val="18"/>
                <w:lang w:val="en-US"/>
              </w:rPr>
            </w:pPr>
            <w:r w:rsidRPr="00191471">
              <w:rPr>
                <w:sz w:val="18"/>
                <w:szCs w:val="18"/>
              </w:rPr>
              <w:t>94</w:t>
            </w:r>
          </w:p>
        </w:tc>
        <w:tc>
          <w:tcPr>
            <w:tcW w:w="212" w:type="pct"/>
            <w:tcBorders>
              <w:top w:val="nil"/>
              <w:bottom w:val="single" w:sz="18" w:space="0" w:color="auto"/>
              <w:right w:val="single" w:sz="8" w:space="0" w:color="auto"/>
            </w:tcBorders>
            <w:shd w:val="clear" w:color="auto" w:fill="FFFFFF" w:themeFill="background1"/>
            <w:noWrap/>
            <w:vAlign w:val="center"/>
            <w:hideMark/>
          </w:tcPr>
          <w:p w14:paraId="3902BAE2" w14:textId="474184B9" w:rsidR="00DE3112" w:rsidRPr="00191471" w:rsidRDefault="00DE3112" w:rsidP="0028677C">
            <w:pPr>
              <w:spacing w:line="240" w:lineRule="auto"/>
              <w:ind w:firstLine="0"/>
              <w:jc w:val="center"/>
              <w:rPr>
                <w:color w:val="000000"/>
                <w:sz w:val="18"/>
                <w:szCs w:val="18"/>
                <w:lang w:val="en-US"/>
              </w:rPr>
            </w:pPr>
            <w:r w:rsidRPr="00191471">
              <w:rPr>
                <w:sz w:val="18"/>
                <w:szCs w:val="18"/>
              </w:rPr>
              <w:t>83</w:t>
            </w:r>
          </w:p>
        </w:tc>
        <w:tc>
          <w:tcPr>
            <w:tcW w:w="176" w:type="pct"/>
            <w:tcBorders>
              <w:top w:val="nil"/>
              <w:left w:val="single" w:sz="8" w:space="0" w:color="auto"/>
              <w:bottom w:val="single" w:sz="18" w:space="0" w:color="auto"/>
            </w:tcBorders>
            <w:shd w:val="clear" w:color="auto" w:fill="FFFFFF" w:themeFill="background1"/>
            <w:noWrap/>
            <w:vAlign w:val="center"/>
            <w:hideMark/>
          </w:tcPr>
          <w:p w14:paraId="38C83CC1" w14:textId="4D17F6CC" w:rsidR="00DE3112" w:rsidRPr="00191471" w:rsidRDefault="00DE3112" w:rsidP="0028677C">
            <w:pPr>
              <w:spacing w:line="240" w:lineRule="auto"/>
              <w:ind w:firstLine="0"/>
              <w:jc w:val="center"/>
              <w:rPr>
                <w:color w:val="000000"/>
                <w:sz w:val="18"/>
                <w:szCs w:val="18"/>
                <w:lang w:val="en-US"/>
              </w:rPr>
            </w:pPr>
            <w:r w:rsidRPr="00191471">
              <w:rPr>
                <w:sz w:val="18"/>
                <w:szCs w:val="18"/>
              </w:rPr>
              <w:t>88</w:t>
            </w:r>
          </w:p>
        </w:tc>
        <w:tc>
          <w:tcPr>
            <w:tcW w:w="247" w:type="pct"/>
            <w:tcBorders>
              <w:top w:val="nil"/>
              <w:bottom w:val="single" w:sz="18" w:space="0" w:color="auto"/>
            </w:tcBorders>
            <w:shd w:val="clear" w:color="auto" w:fill="FFFFFF" w:themeFill="background1"/>
            <w:noWrap/>
            <w:vAlign w:val="center"/>
            <w:hideMark/>
          </w:tcPr>
          <w:p w14:paraId="74CF8AFB" w14:textId="2D5E6B6D" w:rsidR="00DE3112" w:rsidRPr="00191471" w:rsidRDefault="00DE3112" w:rsidP="0028677C">
            <w:pPr>
              <w:spacing w:line="240" w:lineRule="auto"/>
              <w:ind w:firstLine="0"/>
              <w:jc w:val="center"/>
              <w:rPr>
                <w:color w:val="000000"/>
                <w:sz w:val="18"/>
                <w:szCs w:val="18"/>
                <w:lang w:val="en-US"/>
              </w:rPr>
            </w:pPr>
            <w:r w:rsidRPr="00191471">
              <w:rPr>
                <w:sz w:val="18"/>
                <w:szCs w:val="18"/>
              </w:rPr>
              <w:t>100</w:t>
            </w:r>
          </w:p>
        </w:tc>
        <w:tc>
          <w:tcPr>
            <w:tcW w:w="176" w:type="pct"/>
            <w:tcBorders>
              <w:top w:val="nil"/>
              <w:bottom w:val="single" w:sz="18" w:space="0" w:color="auto"/>
            </w:tcBorders>
            <w:shd w:val="clear" w:color="auto" w:fill="FFFFFF" w:themeFill="background1"/>
            <w:noWrap/>
            <w:vAlign w:val="center"/>
            <w:hideMark/>
          </w:tcPr>
          <w:p w14:paraId="5913BB57" w14:textId="7109A4EB" w:rsidR="00DE3112" w:rsidRPr="00191471" w:rsidRDefault="00DE3112" w:rsidP="0028677C">
            <w:pPr>
              <w:spacing w:line="240" w:lineRule="auto"/>
              <w:ind w:firstLine="0"/>
              <w:jc w:val="center"/>
              <w:rPr>
                <w:color w:val="000000"/>
                <w:sz w:val="18"/>
                <w:szCs w:val="18"/>
                <w:lang w:val="en-US"/>
              </w:rPr>
            </w:pPr>
            <w:r w:rsidRPr="00191471">
              <w:rPr>
                <w:sz w:val="18"/>
                <w:szCs w:val="18"/>
              </w:rPr>
              <w:t>100</w:t>
            </w:r>
          </w:p>
        </w:tc>
        <w:tc>
          <w:tcPr>
            <w:tcW w:w="177" w:type="pct"/>
            <w:tcBorders>
              <w:top w:val="nil"/>
              <w:bottom w:val="single" w:sz="18" w:space="0" w:color="auto"/>
              <w:right w:val="single" w:sz="8" w:space="0" w:color="auto"/>
            </w:tcBorders>
            <w:shd w:val="clear" w:color="auto" w:fill="FFFFFF" w:themeFill="background1"/>
            <w:noWrap/>
            <w:vAlign w:val="center"/>
            <w:hideMark/>
          </w:tcPr>
          <w:p w14:paraId="6506D1B1" w14:textId="5EDB33B2" w:rsidR="00DE3112" w:rsidRPr="00191471" w:rsidRDefault="00DE3112" w:rsidP="0028677C">
            <w:pPr>
              <w:spacing w:line="240" w:lineRule="auto"/>
              <w:ind w:firstLine="0"/>
              <w:jc w:val="center"/>
              <w:rPr>
                <w:color w:val="000000"/>
                <w:sz w:val="18"/>
                <w:szCs w:val="18"/>
                <w:lang w:val="en-US"/>
              </w:rPr>
            </w:pPr>
            <w:r w:rsidRPr="00191471">
              <w:rPr>
                <w:sz w:val="18"/>
                <w:szCs w:val="18"/>
              </w:rPr>
              <w:t>86</w:t>
            </w:r>
          </w:p>
        </w:tc>
        <w:tc>
          <w:tcPr>
            <w:tcW w:w="193" w:type="pct"/>
            <w:tcBorders>
              <w:top w:val="nil"/>
              <w:left w:val="single" w:sz="8" w:space="0" w:color="auto"/>
              <w:bottom w:val="single" w:sz="18" w:space="0" w:color="auto"/>
            </w:tcBorders>
            <w:shd w:val="clear" w:color="auto" w:fill="FFFFFF" w:themeFill="background1"/>
            <w:noWrap/>
            <w:vAlign w:val="center"/>
            <w:hideMark/>
          </w:tcPr>
          <w:p w14:paraId="51A77261" w14:textId="3588D85A" w:rsidR="00DE3112" w:rsidRPr="00191471" w:rsidRDefault="00DE3112" w:rsidP="0028677C">
            <w:pPr>
              <w:spacing w:line="240" w:lineRule="auto"/>
              <w:ind w:firstLine="0"/>
              <w:jc w:val="center"/>
              <w:rPr>
                <w:color w:val="000000"/>
                <w:sz w:val="18"/>
                <w:szCs w:val="18"/>
                <w:lang w:val="en-US"/>
              </w:rPr>
            </w:pPr>
            <w:r w:rsidRPr="00191471">
              <w:rPr>
                <w:sz w:val="18"/>
                <w:szCs w:val="18"/>
              </w:rPr>
              <w:t>94</w:t>
            </w:r>
          </w:p>
        </w:tc>
        <w:tc>
          <w:tcPr>
            <w:tcW w:w="211" w:type="pct"/>
            <w:tcBorders>
              <w:top w:val="nil"/>
              <w:bottom w:val="single" w:sz="18" w:space="0" w:color="auto"/>
            </w:tcBorders>
            <w:shd w:val="clear" w:color="auto" w:fill="FFFFFF" w:themeFill="background1"/>
            <w:noWrap/>
            <w:vAlign w:val="center"/>
            <w:hideMark/>
          </w:tcPr>
          <w:p w14:paraId="1FDBCF7A" w14:textId="11273490" w:rsidR="00DE3112" w:rsidRPr="00191471" w:rsidRDefault="00DE3112" w:rsidP="0028677C">
            <w:pPr>
              <w:spacing w:line="240" w:lineRule="auto"/>
              <w:ind w:firstLine="0"/>
              <w:jc w:val="center"/>
              <w:rPr>
                <w:color w:val="000000"/>
                <w:sz w:val="18"/>
                <w:szCs w:val="18"/>
                <w:lang w:val="en-US"/>
              </w:rPr>
            </w:pPr>
            <w:r w:rsidRPr="00191471">
              <w:rPr>
                <w:sz w:val="18"/>
                <w:szCs w:val="18"/>
              </w:rPr>
              <w:t>84</w:t>
            </w:r>
          </w:p>
        </w:tc>
        <w:tc>
          <w:tcPr>
            <w:tcW w:w="178" w:type="pct"/>
            <w:tcBorders>
              <w:top w:val="nil"/>
              <w:bottom w:val="single" w:sz="18" w:space="0" w:color="auto"/>
              <w:right w:val="single" w:sz="8" w:space="0" w:color="auto"/>
            </w:tcBorders>
            <w:shd w:val="clear" w:color="auto" w:fill="FFFFFF" w:themeFill="background1"/>
            <w:noWrap/>
            <w:vAlign w:val="center"/>
            <w:hideMark/>
          </w:tcPr>
          <w:p w14:paraId="4EB345CC" w14:textId="41496215" w:rsidR="00DE3112" w:rsidRPr="00191471" w:rsidRDefault="00DE3112" w:rsidP="0028677C">
            <w:pPr>
              <w:spacing w:line="240" w:lineRule="auto"/>
              <w:ind w:firstLine="0"/>
              <w:jc w:val="center"/>
              <w:rPr>
                <w:color w:val="000000"/>
                <w:sz w:val="18"/>
                <w:szCs w:val="18"/>
                <w:lang w:val="en-US"/>
              </w:rPr>
            </w:pPr>
            <w:r w:rsidRPr="00191471">
              <w:rPr>
                <w:sz w:val="18"/>
                <w:szCs w:val="18"/>
              </w:rPr>
              <w:t>98</w:t>
            </w:r>
          </w:p>
        </w:tc>
        <w:tc>
          <w:tcPr>
            <w:tcW w:w="193" w:type="pct"/>
            <w:tcBorders>
              <w:top w:val="nil"/>
              <w:left w:val="single" w:sz="8" w:space="0" w:color="auto"/>
              <w:bottom w:val="single" w:sz="18" w:space="0" w:color="auto"/>
            </w:tcBorders>
            <w:shd w:val="clear" w:color="auto" w:fill="FFFFFF" w:themeFill="background1"/>
            <w:noWrap/>
            <w:vAlign w:val="center"/>
            <w:hideMark/>
          </w:tcPr>
          <w:p w14:paraId="4E899214" w14:textId="5DA0C3B0" w:rsidR="00DE3112" w:rsidRPr="00191471" w:rsidRDefault="00DE3112" w:rsidP="0028677C">
            <w:pPr>
              <w:spacing w:line="240" w:lineRule="auto"/>
              <w:ind w:firstLine="0"/>
              <w:jc w:val="center"/>
              <w:rPr>
                <w:color w:val="000000"/>
                <w:sz w:val="18"/>
                <w:szCs w:val="18"/>
                <w:lang w:val="en-US"/>
              </w:rPr>
            </w:pPr>
            <w:r w:rsidRPr="00191471">
              <w:rPr>
                <w:sz w:val="18"/>
                <w:szCs w:val="18"/>
              </w:rPr>
              <w:t>90</w:t>
            </w:r>
          </w:p>
        </w:tc>
        <w:tc>
          <w:tcPr>
            <w:tcW w:w="208" w:type="pct"/>
            <w:tcBorders>
              <w:top w:val="nil"/>
              <w:bottom w:val="single" w:sz="18" w:space="0" w:color="auto"/>
              <w:right w:val="single" w:sz="18" w:space="0" w:color="auto"/>
            </w:tcBorders>
            <w:shd w:val="clear" w:color="auto" w:fill="FFFFFF" w:themeFill="background1"/>
            <w:noWrap/>
            <w:vAlign w:val="center"/>
            <w:hideMark/>
          </w:tcPr>
          <w:p w14:paraId="0EB5E37C" w14:textId="7C0A88B6" w:rsidR="00DE3112" w:rsidRPr="00191471" w:rsidRDefault="00DE3112" w:rsidP="0028677C">
            <w:pPr>
              <w:spacing w:line="240" w:lineRule="auto"/>
              <w:ind w:firstLine="0"/>
              <w:jc w:val="center"/>
              <w:rPr>
                <w:color w:val="000000"/>
                <w:sz w:val="18"/>
                <w:szCs w:val="18"/>
                <w:lang w:val="en-US"/>
              </w:rPr>
            </w:pPr>
            <w:r w:rsidRPr="00191471">
              <w:rPr>
                <w:sz w:val="18"/>
                <w:szCs w:val="18"/>
              </w:rPr>
              <w:t>89</w:t>
            </w:r>
          </w:p>
        </w:tc>
      </w:tr>
      <w:tr w:rsidR="00DE3112" w:rsidRPr="00191471" w14:paraId="057335F8" w14:textId="77777777" w:rsidTr="004B59C6">
        <w:trPr>
          <w:trHeight w:val="300"/>
        </w:trPr>
        <w:tc>
          <w:tcPr>
            <w:tcW w:w="3241" w:type="pct"/>
            <w:gridSpan w:val="12"/>
            <w:tcBorders>
              <w:top w:val="single" w:sz="18" w:space="0" w:color="auto"/>
              <w:left w:val="single" w:sz="18" w:space="0" w:color="auto"/>
              <w:right w:val="single" w:sz="18" w:space="0" w:color="auto"/>
            </w:tcBorders>
            <w:shd w:val="clear" w:color="auto" w:fill="D9D9D9" w:themeFill="background1" w:themeFillShade="D9"/>
            <w:noWrap/>
            <w:vAlign w:val="center"/>
          </w:tcPr>
          <w:p w14:paraId="4245DDC0" w14:textId="36777440"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PCDD/F-17</w:t>
            </w:r>
          </w:p>
        </w:tc>
        <w:tc>
          <w:tcPr>
            <w:tcW w:w="176" w:type="pct"/>
            <w:tcBorders>
              <w:top w:val="single" w:sz="18" w:space="0" w:color="auto"/>
              <w:left w:val="single" w:sz="18" w:space="0" w:color="auto"/>
            </w:tcBorders>
            <w:shd w:val="clear" w:color="auto" w:fill="auto"/>
            <w:noWrap/>
            <w:vAlign w:val="center"/>
          </w:tcPr>
          <w:p w14:paraId="0D58E55F" w14:textId="77777777" w:rsidR="00DE3112" w:rsidRPr="00191471" w:rsidRDefault="00DE3112" w:rsidP="00FD5937">
            <w:pPr>
              <w:spacing w:line="240" w:lineRule="auto"/>
              <w:ind w:firstLine="0"/>
              <w:jc w:val="center"/>
              <w:rPr>
                <w:b/>
                <w:bCs/>
                <w:color w:val="000000"/>
                <w:sz w:val="18"/>
                <w:szCs w:val="18"/>
                <w:lang w:val="en-US"/>
              </w:rPr>
            </w:pPr>
          </w:p>
        </w:tc>
        <w:tc>
          <w:tcPr>
            <w:tcW w:w="247" w:type="pct"/>
            <w:tcBorders>
              <w:top w:val="single" w:sz="18" w:space="0" w:color="auto"/>
            </w:tcBorders>
            <w:shd w:val="clear" w:color="auto" w:fill="auto"/>
            <w:noWrap/>
            <w:vAlign w:val="center"/>
          </w:tcPr>
          <w:p w14:paraId="26642017" w14:textId="77777777" w:rsidR="00DE3112" w:rsidRPr="00191471" w:rsidRDefault="00DE3112" w:rsidP="00FD5937">
            <w:pPr>
              <w:spacing w:line="240" w:lineRule="auto"/>
              <w:ind w:firstLine="0"/>
              <w:jc w:val="center"/>
              <w:rPr>
                <w:sz w:val="18"/>
                <w:szCs w:val="18"/>
                <w:lang w:val="en-US"/>
              </w:rPr>
            </w:pPr>
          </w:p>
        </w:tc>
        <w:tc>
          <w:tcPr>
            <w:tcW w:w="176" w:type="pct"/>
            <w:tcBorders>
              <w:top w:val="single" w:sz="18" w:space="0" w:color="auto"/>
            </w:tcBorders>
            <w:shd w:val="clear" w:color="auto" w:fill="auto"/>
            <w:noWrap/>
            <w:vAlign w:val="center"/>
          </w:tcPr>
          <w:p w14:paraId="6A2FDD22" w14:textId="77777777" w:rsidR="00DE3112" w:rsidRPr="00191471" w:rsidRDefault="00DE3112" w:rsidP="00FD5937">
            <w:pPr>
              <w:spacing w:line="240" w:lineRule="auto"/>
              <w:ind w:firstLine="0"/>
              <w:jc w:val="center"/>
              <w:rPr>
                <w:sz w:val="18"/>
                <w:szCs w:val="18"/>
                <w:lang w:val="en-US"/>
              </w:rPr>
            </w:pPr>
          </w:p>
        </w:tc>
        <w:tc>
          <w:tcPr>
            <w:tcW w:w="177" w:type="pct"/>
            <w:tcBorders>
              <w:top w:val="single" w:sz="18" w:space="0" w:color="auto"/>
            </w:tcBorders>
            <w:shd w:val="clear" w:color="auto" w:fill="auto"/>
            <w:noWrap/>
            <w:vAlign w:val="center"/>
          </w:tcPr>
          <w:p w14:paraId="494345D5" w14:textId="77777777" w:rsidR="00DE3112" w:rsidRPr="00191471" w:rsidRDefault="00DE3112" w:rsidP="00FD5937">
            <w:pPr>
              <w:spacing w:line="240" w:lineRule="auto"/>
              <w:ind w:firstLine="0"/>
              <w:jc w:val="center"/>
              <w:rPr>
                <w:sz w:val="18"/>
                <w:szCs w:val="18"/>
                <w:lang w:val="en-US"/>
              </w:rPr>
            </w:pPr>
          </w:p>
        </w:tc>
        <w:tc>
          <w:tcPr>
            <w:tcW w:w="193" w:type="pct"/>
            <w:tcBorders>
              <w:top w:val="single" w:sz="18" w:space="0" w:color="auto"/>
            </w:tcBorders>
            <w:shd w:val="clear" w:color="auto" w:fill="auto"/>
            <w:noWrap/>
            <w:vAlign w:val="center"/>
          </w:tcPr>
          <w:p w14:paraId="34DAC61C" w14:textId="77777777" w:rsidR="00DE3112" w:rsidRPr="00191471" w:rsidRDefault="00DE3112" w:rsidP="00FD5937">
            <w:pPr>
              <w:spacing w:line="240" w:lineRule="auto"/>
              <w:ind w:firstLine="0"/>
              <w:jc w:val="center"/>
              <w:rPr>
                <w:sz w:val="18"/>
                <w:szCs w:val="18"/>
                <w:lang w:val="en-US"/>
              </w:rPr>
            </w:pPr>
          </w:p>
        </w:tc>
        <w:tc>
          <w:tcPr>
            <w:tcW w:w="211" w:type="pct"/>
            <w:tcBorders>
              <w:top w:val="single" w:sz="18" w:space="0" w:color="auto"/>
            </w:tcBorders>
            <w:shd w:val="clear" w:color="auto" w:fill="auto"/>
            <w:noWrap/>
            <w:vAlign w:val="center"/>
          </w:tcPr>
          <w:p w14:paraId="47EEEFD2" w14:textId="77777777" w:rsidR="00DE3112" w:rsidRPr="00191471" w:rsidRDefault="00DE3112" w:rsidP="00FD5937">
            <w:pPr>
              <w:spacing w:line="240" w:lineRule="auto"/>
              <w:ind w:firstLine="0"/>
              <w:jc w:val="center"/>
              <w:rPr>
                <w:sz w:val="18"/>
                <w:szCs w:val="18"/>
                <w:lang w:val="en-US"/>
              </w:rPr>
            </w:pPr>
          </w:p>
        </w:tc>
        <w:tc>
          <w:tcPr>
            <w:tcW w:w="178" w:type="pct"/>
            <w:tcBorders>
              <w:top w:val="single" w:sz="18" w:space="0" w:color="auto"/>
            </w:tcBorders>
            <w:shd w:val="clear" w:color="auto" w:fill="auto"/>
            <w:noWrap/>
            <w:vAlign w:val="center"/>
          </w:tcPr>
          <w:p w14:paraId="3473285A" w14:textId="77777777" w:rsidR="00DE3112" w:rsidRPr="00191471" w:rsidRDefault="00DE3112" w:rsidP="00FD5937">
            <w:pPr>
              <w:spacing w:line="240" w:lineRule="auto"/>
              <w:ind w:firstLine="0"/>
              <w:jc w:val="center"/>
              <w:rPr>
                <w:sz w:val="18"/>
                <w:szCs w:val="18"/>
                <w:lang w:val="en-US"/>
              </w:rPr>
            </w:pPr>
          </w:p>
        </w:tc>
        <w:tc>
          <w:tcPr>
            <w:tcW w:w="193" w:type="pct"/>
            <w:tcBorders>
              <w:top w:val="single" w:sz="18" w:space="0" w:color="auto"/>
            </w:tcBorders>
            <w:shd w:val="clear" w:color="auto" w:fill="auto"/>
            <w:noWrap/>
            <w:vAlign w:val="center"/>
          </w:tcPr>
          <w:p w14:paraId="40DFCF19" w14:textId="77777777" w:rsidR="00DE3112" w:rsidRPr="00191471" w:rsidRDefault="00DE3112" w:rsidP="00FD5937">
            <w:pPr>
              <w:spacing w:line="240" w:lineRule="auto"/>
              <w:ind w:firstLine="0"/>
              <w:jc w:val="center"/>
              <w:rPr>
                <w:sz w:val="18"/>
                <w:szCs w:val="18"/>
                <w:lang w:val="en-US"/>
              </w:rPr>
            </w:pPr>
          </w:p>
        </w:tc>
        <w:tc>
          <w:tcPr>
            <w:tcW w:w="208" w:type="pct"/>
            <w:tcBorders>
              <w:top w:val="single" w:sz="18" w:space="0" w:color="auto"/>
            </w:tcBorders>
            <w:shd w:val="clear" w:color="auto" w:fill="auto"/>
            <w:noWrap/>
            <w:vAlign w:val="center"/>
          </w:tcPr>
          <w:p w14:paraId="6518DA15" w14:textId="77777777" w:rsidR="00DE3112" w:rsidRPr="00191471" w:rsidRDefault="00DE3112" w:rsidP="00FD5937">
            <w:pPr>
              <w:spacing w:line="240" w:lineRule="auto"/>
              <w:ind w:firstLine="0"/>
              <w:jc w:val="center"/>
              <w:rPr>
                <w:sz w:val="18"/>
                <w:szCs w:val="18"/>
                <w:lang w:val="en-US"/>
              </w:rPr>
            </w:pPr>
          </w:p>
        </w:tc>
      </w:tr>
      <w:tr w:rsidR="00DE3112" w:rsidRPr="00191471" w14:paraId="3139481E" w14:textId="77777777" w:rsidTr="004B59C6">
        <w:trPr>
          <w:trHeight w:val="300"/>
        </w:trPr>
        <w:tc>
          <w:tcPr>
            <w:tcW w:w="645"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461169E7" w14:textId="776F037D"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827"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251897D0" w14:textId="1DD752F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911"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3B84D8AF" w14:textId="0354ABB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448"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2798E68" w14:textId="14EC4661"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10"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3C592E02" w14:textId="198FD8D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176" w:type="pct"/>
            <w:tcBorders>
              <w:left w:val="single" w:sz="18" w:space="0" w:color="auto"/>
            </w:tcBorders>
            <w:shd w:val="clear" w:color="auto" w:fill="auto"/>
            <w:noWrap/>
            <w:vAlign w:val="center"/>
          </w:tcPr>
          <w:p w14:paraId="4446D0E0" w14:textId="17CBE746" w:rsidR="00DE3112" w:rsidRPr="00191471" w:rsidRDefault="00DE3112" w:rsidP="00FD5937">
            <w:pPr>
              <w:spacing w:line="240" w:lineRule="auto"/>
              <w:ind w:firstLine="0"/>
              <w:jc w:val="center"/>
              <w:rPr>
                <w:b/>
                <w:bCs/>
                <w:color w:val="000000"/>
                <w:sz w:val="18"/>
                <w:szCs w:val="18"/>
                <w:lang w:val="en-US"/>
              </w:rPr>
            </w:pPr>
          </w:p>
        </w:tc>
        <w:tc>
          <w:tcPr>
            <w:tcW w:w="247" w:type="pct"/>
            <w:shd w:val="clear" w:color="auto" w:fill="auto"/>
            <w:noWrap/>
            <w:vAlign w:val="center"/>
          </w:tcPr>
          <w:p w14:paraId="6BC80C85" w14:textId="30FA9250" w:rsidR="00DE3112" w:rsidRPr="00191471" w:rsidRDefault="00DE3112" w:rsidP="00FD5937">
            <w:pPr>
              <w:spacing w:line="240" w:lineRule="auto"/>
              <w:ind w:firstLine="0"/>
              <w:jc w:val="center"/>
              <w:rPr>
                <w:sz w:val="18"/>
                <w:szCs w:val="18"/>
                <w:lang w:val="en-US"/>
              </w:rPr>
            </w:pPr>
          </w:p>
        </w:tc>
        <w:tc>
          <w:tcPr>
            <w:tcW w:w="176" w:type="pct"/>
            <w:shd w:val="clear" w:color="auto" w:fill="auto"/>
            <w:noWrap/>
            <w:vAlign w:val="center"/>
          </w:tcPr>
          <w:p w14:paraId="749540C6" w14:textId="37E395E7" w:rsidR="00DE3112" w:rsidRPr="00191471" w:rsidRDefault="00DE3112" w:rsidP="00FD5937">
            <w:pPr>
              <w:spacing w:line="240" w:lineRule="auto"/>
              <w:ind w:firstLine="0"/>
              <w:jc w:val="center"/>
              <w:rPr>
                <w:sz w:val="18"/>
                <w:szCs w:val="18"/>
                <w:lang w:val="en-US"/>
              </w:rPr>
            </w:pPr>
          </w:p>
        </w:tc>
        <w:tc>
          <w:tcPr>
            <w:tcW w:w="177" w:type="pct"/>
            <w:shd w:val="clear" w:color="auto" w:fill="auto"/>
            <w:noWrap/>
            <w:vAlign w:val="center"/>
          </w:tcPr>
          <w:p w14:paraId="1CE2F2E1" w14:textId="1CB070C9" w:rsidR="00DE3112" w:rsidRPr="00191471" w:rsidRDefault="00DE3112" w:rsidP="00FD5937">
            <w:pPr>
              <w:spacing w:line="240" w:lineRule="auto"/>
              <w:ind w:firstLine="0"/>
              <w:jc w:val="center"/>
              <w:rPr>
                <w:sz w:val="18"/>
                <w:szCs w:val="18"/>
                <w:lang w:val="en-US"/>
              </w:rPr>
            </w:pPr>
          </w:p>
        </w:tc>
        <w:tc>
          <w:tcPr>
            <w:tcW w:w="193" w:type="pct"/>
            <w:shd w:val="clear" w:color="auto" w:fill="auto"/>
            <w:noWrap/>
            <w:vAlign w:val="center"/>
          </w:tcPr>
          <w:p w14:paraId="498C5A75" w14:textId="23F8D92E" w:rsidR="00DE3112" w:rsidRPr="00191471" w:rsidRDefault="00DE3112" w:rsidP="00FD5937">
            <w:pPr>
              <w:spacing w:line="240" w:lineRule="auto"/>
              <w:ind w:firstLine="0"/>
              <w:jc w:val="center"/>
              <w:rPr>
                <w:sz w:val="18"/>
                <w:szCs w:val="18"/>
                <w:lang w:val="en-US"/>
              </w:rPr>
            </w:pPr>
          </w:p>
        </w:tc>
        <w:tc>
          <w:tcPr>
            <w:tcW w:w="211" w:type="pct"/>
            <w:shd w:val="clear" w:color="auto" w:fill="auto"/>
            <w:noWrap/>
            <w:vAlign w:val="center"/>
          </w:tcPr>
          <w:p w14:paraId="2877279A" w14:textId="7F6D6CEE" w:rsidR="00DE3112" w:rsidRPr="00191471" w:rsidRDefault="00DE3112" w:rsidP="00FD5937">
            <w:pPr>
              <w:spacing w:line="240" w:lineRule="auto"/>
              <w:ind w:firstLine="0"/>
              <w:jc w:val="center"/>
              <w:rPr>
                <w:sz w:val="18"/>
                <w:szCs w:val="18"/>
                <w:lang w:val="en-US"/>
              </w:rPr>
            </w:pPr>
          </w:p>
        </w:tc>
        <w:tc>
          <w:tcPr>
            <w:tcW w:w="178" w:type="pct"/>
            <w:shd w:val="clear" w:color="auto" w:fill="auto"/>
            <w:noWrap/>
            <w:vAlign w:val="center"/>
          </w:tcPr>
          <w:p w14:paraId="7E370466" w14:textId="3EDEABB1" w:rsidR="00DE3112" w:rsidRPr="00191471" w:rsidRDefault="00DE3112" w:rsidP="00FD5937">
            <w:pPr>
              <w:spacing w:line="240" w:lineRule="auto"/>
              <w:ind w:firstLine="0"/>
              <w:jc w:val="center"/>
              <w:rPr>
                <w:sz w:val="18"/>
                <w:szCs w:val="18"/>
                <w:lang w:val="en-US"/>
              </w:rPr>
            </w:pPr>
          </w:p>
        </w:tc>
        <w:tc>
          <w:tcPr>
            <w:tcW w:w="193" w:type="pct"/>
            <w:shd w:val="clear" w:color="auto" w:fill="auto"/>
            <w:noWrap/>
            <w:vAlign w:val="center"/>
            <w:hideMark/>
          </w:tcPr>
          <w:p w14:paraId="1FB0CBDF" w14:textId="77777777" w:rsidR="00DE3112" w:rsidRPr="00191471" w:rsidRDefault="00DE3112" w:rsidP="00FD5937">
            <w:pPr>
              <w:spacing w:line="240" w:lineRule="auto"/>
              <w:ind w:firstLine="0"/>
              <w:jc w:val="center"/>
              <w:rPr>
                <w:sz w:val="18"/>
                <w:szCs w:val="18"/>
                <w:lang w:val="en-US"/>
              </w:rPr>
            </w:pPr>
          </w:p>
        </w:tc>
        <w:tc>
          <w:tcPr>
            <w:tcW w:w="208" w:type="pct"/>
            <w:shd w:val="clear" w:color="auto" w:fill="auto"/>
            <w:noWrap/>
            <w:vAlign w:val="center"/>
            <w:hideMark/>
          </w:tcPr>
          <w:p w14:paraId="5C89E594" w14:textId="77777777" w:rsidR="00DE3112" w:rsidRPr="00191471" w:rsidRDefault="00DE3112" w:rsidP="00FD5937">
            <w:pPr>
              <w:spacing w:line="240" w:lineRule="auto"/>
              <w:ind w:firstLine="0"/>
              <w:jc w:val="center"/>
              <w:rPr>
                <w:sz w:val="18"/>
                <w:szCs w:val="18"/>
                <w:lang w:val="en-US"/>
              </w:rPr>
            </w:pPr>
          </w:p>
        </w:tc>
      </w:tr>
      <w:tr w:rsidR="00DE3112" w:rsidRPr="00191471" w14:paraId="6D5AA028" w14:textId="77777777" w:rsidTr="004B59C6">
        <w:trPr>
          <w:trHeight w:val="300"/>
        </w:trPr>
        <w:tc>
          <w:tcPr>
            <w:tcW w:w="645"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28210CF1" w14:textId="77777777"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298" w:type="pct"/>
            <w:tcBorders>
              <w:left w:val="single" w:sz="8" w:space="0" w:color="auto"/>
              <w:bottom w:val="single" w:sz="8" w:space="0" w:color="auto"/>
            </w:tcBorders>
            <w:shd w:val="clear" w:color="auto" w:fill="F2F2F2" w:themeFill="background1" w:themeFillShade="F2"/>
            <w:noWrap/>
            <w:vAlign w:val="center"/>
            <w:hideMark/>
          </w:tcPr>
          <w:p w14:paraId="16FA489A" w14:textId="13A7C6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64" w:type="pct"/>
            <w:tcBorders>
              <w:bottom w:val="single" w:sz="8" w:space="0" w:color="auto"/>
            </w:tcBorders>
            <w:shd w:val="clear" w:color="auto" w:fill="F2F2F2" w:themeFill="background1" w:themeFillShade="F2"/>
            <w:noWrap/>
            <w:vAlign w:val="center"/>
            <w:hideMark/>
          </w:tcPr>
          <w:p w14:paraId="1AC007A0" w14:textId="0CEDD7FC"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65" w:type="pct"/>
            <w:tcBorders>
              <w:bottom w:val="single" w:sz="8" w:space="0" w:color="auto"/>
              <w:right w:val="single" w:sz="8" w:space="0" w:color="auto"/>
            </w:tcBorders>
            <w:shd w:val="clear" w:color="auto" w:fill="F2F2F2" w:themeFill="background1" w:themeFillShade="F2"/>
            <w:noWrap/>
            <w:vAlign w:val="center"/>
            <w:hideMark/>
          </w:tcPr>
          <w:p w14:paraId="53F14A22" w14:textId="21AE000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232" w:type="pct"/>
            <w:tcBorders>
              <w:left w:val="single" w:sz="8" w:space="0" w:color="auto"/>
              <w:bottom w:val="single" w:sz="8" w:space="0" w:color="auto"/>
            </w:tcBorders>
            <w:shd w:val="clear" w:color="auto" w:fill="F2F2F2" w:themeFill="background1" w:themeFillShade="F2"/>
            <w:noWrap/>
            <w:vAlign w:val="center"/>
            <w:hideMark/>
          </w:tcPr>
          <w:p w14:paraId="6AB5DF5A" w14:textId="7AF2288E"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32" w:type="pct"/>
            <w:tcBorders>
              <w:bottom w:val="single" w:sz="8" w:space="0" w:color="auto"/>
            </w:tcBorders>
            <w:shd w:val="clear" w:color="auto" w:fill="F2F2F2" w:themeFill="background1" w:themeFillShade="F2"/>
            <w:noWrap/>
            <w:vAlign w:val="center"/>
            <w:hideMark/>
          </w:tcPr>
          <w:p w14:paraId="5E467A34" w14:textId="61A56C51"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6</w:t>
            </w:r>
            <w:r w:rsidRPr="00191471">
              <w:rPr>
                <w:b/>
                <w:bCs/>
                <w:color w:val="000000"/>
                <w:sz w:val="18"/>
                <w:szCs w:val="18"/>
                <w:lang w:val="en-US"/>
              </w:rPr>
              <w:t>00</w:t>
            </w:r>
          </w:p>
        </w:tc>
        <w:tc>
          <w:tcPr>
            <w:tcW w:w="232" w:type="pct"/>
            <w:tcBorders>
              <w:bottom w:val="single" w:sz="8" w:space="0" w:color="auto"/>
            </w:tcBorders>
            <w:shd w:val="clear" w:color="auto" w:fill="F2F2F2" w:themeFill="background1" w:themeFillShade="F2"/>
            <w:noWrap/>
            <w:vAlign w:val="center"/>
            <w:hideMark/>
          </w:tcPr>
          <w:p w14:paraId="50CAF60E" w14:textId="09596BB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7</w:t>
            </w:r>
            <w:r w:rsidRPr="00191471">
              <w:rPr>
                <w:b/>
                <w:bCs/>
                <w:color w:val="000000"/>
                <w:sz w:val="18"/>
                <w:szCs w:val="18"/>
                <w:lang w:val="en-US"/>
              </w:rPr>
              <w:t>00</w:t>
            </w:r>
          </w:p>
        </w:tc>
        <w:tc>
          <w:tcPr>
            <w:tcW w:w="215" w:type="pct"/>
            <w:tcBorders>
              <w:bottom w:val="single" w:sz="8" w:space="0" w:color="auto"/>
              <w:right w:val="single" w:sz="8" w:space="0" w:color="auto"/>
            </w:tcBorders>
            <w:shd w:val="clear" w:color="auto" w:fill="F2F2F2" w:themeFill="background1" w:themeFillShade="F2"/>
            <w:noWrap/>
            <w:vAlign w:val="center"/>
            <w:hideMark/>
          </w:tcPr>
          <w:p w14:paraId="154E56C6" w14:textId="41E8AC2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8</w:t>
            </w:r>
            <w:r w:rsidRPr="00191471">
              <w:rPr>
                <w:b/>
                <w:bCs/>
                <w:color w:val="000000"/>
                <w:sz w:val="18"/>
                <w:szCs w:val="18"/>
                <w:lang w:val="en-US"/>
              </w:rPr>
              <w:t>00</w:t>
            </w:r>
          </w:p>
        </w:tc>
        <w:tc>
          <w:tcPr>
            <w:tcW w:w="237" w:type="pct"/>
            <w:tcBorders>
              <w:left w:val="single" w:sz="8" w:space="0" w:color="auto"/>
              <w:bottom w:val="single" w:sz="8" w:space="0" w:color="auto"/>
            </w:tcBorders>
            <w:shd w:val="clear" w:color="auto" w:fill="F2F2F2" w:themeFill="background1" w:themeFillShade="F2"/>
            <w:noWrap/>
            <w:vAlign w:val="center"/>
            <w:hideMark/>
          </w:tcPr>
          <w:p w14:paraId="79639BAE" w14:textId="01E8A5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11" w:type="pct"/>
            <w:tcBorders>
              <w:bottom w:val="single" w:sz="8" w:space="0" w:color="auto"/>
              <w:right w:val="single" w:sz="8" w:space="0" w:color="auto"/>
            </w:tcBorders>
            <w:shd w:val="clear" w:color="auto" w:fill="F2F2F2" w:themeFill="background1" w:themeFillShade="F2"/>
            <w:noWrap/>
            <w:vAlign w:val="center"/>
            <w:hideMark/>
          </w:tcPr>
          <w:p w14:paraId="7D58536D" w14:textId="6451C58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198" w:type="pct"/>
            <w:tcBorders>
              <w:left w:val="single" w:sz="8" w:space="0" w:color="auto"/>
              <w:bottom w:val="single" w:sz="8" w:space="0" w:color="auto"/>
            </w:tcBorders>
            <w:shd w:val="clear" w:color="auto" w:fill="F2F2F2" w:themeFill="background1" w:themeFillShade="F2"/>
            <w:noWrap/>
            <w:vAlign w:val="center"/>
            <w:hideMark/>
          </w:tcPr>
          <w:p w14:paraId="4085681F" w14:textId="05CD9D4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12" w:type="pct"/>
            <w:tcBorders>
              <w:bottom w:val="single" w:sz="8" w:space="0" w:color="auto"/>
              <w:right w:val="single" w:sz="18" w:space="0" w:color="auto"/>
            </w:tcBorders>
            <w:shd w:val="clear" w:color="auto" w:fill="F2F2F2" w:themeFill="background1" w:themeFillShade="F2"/>
            <w:noWrap/>
            <w:vAlign w:val="center"/>
            <w:hideMark/>
          </w:tcPr>
          <w:p w14:paraId="58F839EA" w14:textId="1292662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76" w:type="pct"/>
            <w:vMerge w:val="restart"/>
            <w:tcBorders>
              <w:top w:val="nil"/>
              <w:left w:val="single" w:sz="18" w:space="0" w:color="auto"/>
            </w:tcBorders>
            <w:shd w:val="clear" w:color="auto" w:fill="auto"/>
            <w:noWrap/>
            <w:vAlign w:val="center"/>
            <w:hideMark/>
          </w:tcPr>
          <w:p w14:paraId="45D298E1" w14:textId="77777777" w:rsidR="00DE3112" w:rsidRPr="00191471" w:rsidRDefault="00DE3112" w:rsidP="00FD5937">
            <w:pPr>
              <w:spacing w:line="240" w:lineRule="auto"/>
              <w:ind w:firstLine="0"/>
              <w:jc w:val="center"/>
              <w:rPr>
                <w:b/>
                <w:bCs/>
                <w:color w:val="000000"/>
                <w:sz w:val="18"/>
                <w:szCs w:val="18"/>
                <w:lang w:val="en-US"/>
              </w:rPr>
            </w:pPr>
          </w:p>
        </w:tc>
        <w:tc>
          <w:tcPr>
            <w:tcW w:w="247" w:type="pct"/>
            <w:vMerge w:val="restart"/>
            <w:tcBorders>
              <w:top w:val="nil"/>
            </w:tcBorders>
            <w:shd w:val="clear" w:color="auto" w:fill="auto"/>
            <w:noWrap/>
            <w:vAlign w:val="center"/>
            <w:hideMark/>
          </w:tcPr>
          <w:p w14:paraId="3B3FC588" w14:textId="77777777" w:rsidR="00DE3112" w:rsidRPr="00191471" w:rsidRDefault="00DE3112" w:rsidP="00FD5937">
            <w:pPr>
              <w:spacing w:line="240" w:lineRule="auto"/>
              <w:ind w:firstLine="0"/>
              <w:jc w:val="center"/>
              <w:rPr>
                <w:sz w:val="18"/>
                <w:szCs w:val="18"/>
                <w:lang w:val="en-US"/>
              </w:rPr>
            </w:pPr>
          </w:p>
        </w:tc>
        <w:tc>
          <w:tcPr>
            <w:tcW w:w="176" w:type="pct"/>
            <w:tcBorders>
              <w:top w:val="nil"/>
            </w:tcBorders>
            <w:shd w:val="clear" w:color="auto" w:fill="auto"/>
            <w:noWrap/>
            <w:vAlign w:val="center"/>
            <w:hideMark/>
          </w:tcPr>
          <w:p w14:paraId="1889CB6C" w14:textId="77777777" w:rsidR="00DE3112" w:rsidRPr="00191471" w:rsidRDefault="00DE3112" w:rsidP="00FD5937">
            <w:pPr>
              <w:spacing w:line="240" w:lineRule="auto"/>
              <w:ind w:firstLine="0"/>
              <w:jc w:val="center"/>
              <w:rPr>
                <w:sz w:val="18"/>
                <w:szCs w:val="18"/>
                <w:lang w:val="en-US"/>
              </w:rPr>
            </w:pPr>
          </w:p>
        </w:tc>
        <w:tc>
          <w:tcPr>
            <w:tcW w:w="177" w:type="pct"/>
            <w:tcBorders>
              <w:top w:val="nil"/>
            </w:tcBorders>
            <w:shd w:val="clear" w:color="auto" w:fill="auto"/>
            <w:noWrap/>
            <w:vAlign w:val="center"/>
            <w:hideMark/>
          </w:tcPr>
          <w:p w14:paraId="794DBFFA" w14:textId="77777777" w:rsidR="00DE3112" w:rsidRPr="00191471" w:rsidRDefault="00DE3112" w:rsidP="00FD5937">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36CAE08B" w14:textId="77777777" w:rsidR="00DE3112" w:rsidRPr="00191471" w:rsidRDefault="00DE3112" w:rsidP="00FD5937">
            <w:pPr>
              <w:spacing w:line="240" w:lineRule="auto"/>
              <w:ind w:firstLine="0"/>
              <w:jc w:val="center"/>
              <w:rPr>
                <w:sz w:val="18"/>
                <w:szCs w:val="18"/>
                <w:lang w:val="en-US"/>
              </w:rPr>
            </w:pPr>
          </w:p>
        </w:tc>
        <w:tc>
          <w:tcPr>
            <w:tcW w:w="211" w:type="pct"/>
            <w:tcBorders>
              <w:top w:val="nil"/>
            </w:tcBorders>
            <w:shd w:val="clear" w:color="auto" w:fill="auto"/>
            <w:noWrap/>
            <w:vAlign w:val="center"/>
            <w:hideMark/>
          </w:tcPr>
          <w:p w14:paraId="2014FEC1" w14:textId="77777777" w:rsidR="00DE3112" w:rsidRPr="00191471" w:rsidRDefault="00DE3112" w:rsidP="00FD5937">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607DE5D0" w14:textId="77777777" w:rsidR="00DE3112" w:rsidRPr="00191471" w:rsidRDefault="00DE3112" w:rsidP="00FD5937">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58E64323" w14:textId="77777777" w:rsidR="00DE3112" w:rsidRPr="00191471" w:rsidRDefault="00DE3112" w:rsidP="00FD5937">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14AA891B" w14:textId="77777777" w:rsidR="00DE3112" w:rsidRPr="00191471" w:rsidRDefault="00DE3112" w:rsidP="00FD5937">
            <w:pPr>
              <w:spacing w:line="240" w:lineRule="auto"/>
              <w:ind w:firstLine="0"/>
              <w:jc w:val="center"/>
              <w:rPr>
                <w:sz w:val="18"/>
                <w:szCs w:val="18"/>
                <w:lang w:val="en-US"/>
              </w:rPr>
            </w:pPr>
          </w:p>
        </w:tc>
      </w:tr>
      <w:tr w:rsidR="00BD2CC0" w:rsidRPr="00191471" w14:paraId="60B4B2B8" w14:textId="77777777" w:rsidTr="00BD2CC0">
        <w:trPr>
          <w:trHeight w:val="300"/>
        </w:trPr>
        <w:tc>
          <w:tcPr>
            <w:tcW w:w="645" w:type="pct"/>
            <w:tcBorders>
              <w:top w:val="single" w:sz="8" w:space="0" w:color="auto"/>
              <w:left w:val="single" w:sz="18" w:space="0" w:color="auto"/>
              <w:right w:val="single" w:sz="8" w:space="0" w:color="auto"/>
            </w:tcBorders>
            <w:shd w:val="clear" w:color="auto" w:fill="FFFFFF" w:themeFill="background1"/>
            <w:noWrap/>
            <w:vAlign w:val="center"/>
            <w:hideMark/>
          </w:tcPr>
          <w:p w14:paraId="63592EAA" w14:textId="3C327F2F"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 xml:space="preserve">EC </w:t>
            </w:r>
            <w:r w:rsidRPr="00191471">
              <w:rPr>
                <w:b/>
                <w:bCs/>
                <w:color w:val="000000"/>
                <w:sz w:val="18"/>
                <w:szCs w:val="18"/>
                <w:lang w:val="en-US"/>
              </w:rPr>
              <w:t>(pg m</w:t>
            </w:r>
            <w:r w:rsidRPr="00191471">
              <w:rPr>
                <w:b/>
                <w:bCs/>
                <w:color w:val="000000"/>
                <w:sz w:val="18"/>
                <w:szCs w:val="18"/>
                <w:vertAlign w:val="superscript"/>
                <w:lang w:val="en-US"/>
              </w:rPr>
              <w:t>-3</w:t>
            </w:r>
            <w:r w:rsidRPr="00191471">
              <w:rPr>
                <w:b/>
                <w:bCs/>
                <w:color w:val="000000"/>
                <w:sz w:val="18"/>
                <w:szCs w:val="18"/>
                <w:lang w:val="en-US"/>
              </w:rPr>
              <w:t>)</w:t>
            </w:r>
          </w:p>
        </w:tc>
        <w:tc>
          <w:tcPr>
            <w:tcW w:w="298" w:type="pct"/>
            <w:tcBorders>
              <w:top w:val="single" w:sz="8" w:space="0" w:color="auto"/>
              <w:left w:val="single" w:sz="8" w:space="0" w:color="auto"/>
            </w:tcBorders>
            <w:shd w:val="clear" w:color="auto" w:fill="FFFFFF" w:themeFill="background1"/>
            <w:noWrap/>
            <w:vAlign w:val="center"/>
            <w:hideMark/>
          </w:tcPr>
          <w:p w14:paraId="6F602432" w14:textId="3907657E"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64" w:type="pct"/>
            <w:tcBorders>
              <w:top w:val="single" w:sz="8" w:space="0" w:color="auto"/>
            </w:tcBorders>
            <w:shd w:val="clear" w:color="auto" w:fill="FFFFFF" w:themeFill="background1"/>
            <w:noWrap/>
            <w:vAlign w:val="center"/>
            <w:hideMark/>
          </w:tcPr>
          <w:p w14:paraId="56597658" w14:textId="4020737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65" w:type="pct"/>
            <w:tcBorders>
              <w:top w:val="single" w:sz="8" w:space="0" w:color="auto"/>
              <w:right w:val="single" w:sz="8" w:space="0" w:color="auto"/>
            </w:tcBorders>
            <w:shd w:val="clear" w:color="auto" w:fill="FFFFFF" w:themeFill="background1"/>
            <w:noWrap/>
            <w:vAlign w:val="center"/>
            <w:hideMark/>
          </w:tcPr>
          <w:p w14:paraId="411DE243" w14:textId="3E7F726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32" w:type="pct"/>
            <w:tcBorders>
              <w:top w:val="single" w:sz="8" w:space="0" w:color="auto"/>
              <w:left w:val="single" w:sz="8" w:space="0" w:color="auto"/>
            </w:tcBorders>
            <w:shd w:val="clear" w:color="auto" w:fill="FFFFFF" w:themeFill="background1"/>
            <w:noWrap/>
            <w:vAlign w:val="center"/>
            <w:hideMark/>
          </w:tcPr>
          <w:p w14:paraId="327E0B71" w14:textId="6C65C12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41</w:t>
            </w:r>
          </w:p>
        </w:tc>
        <w:tc>
          <w:tcPr>
            <w:tcW w:w="232" w:type="pct"/>
            <w:tcBorders>
              <w:top w:val="single" w:sz="8" w:space="0" w:color="auto"/>
            </w:tcBorders>
            <w:shd w:val="clear" w:color="auto" w:fill="FFFFFF" w:themeFill="background1"/>
            <w:noWrap/>
            <w:vAlign w:val="center"/>
            <w:hideMark/>
          </w:tcPr>
          <w:p w14:paraId="2889C57E" w14:textId="5A6FBCB7"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32" w:type="pct"/>
            <w:tcBorders>
              <w:top w:val="single" w:sz="8" w:space="0" w:color="auto"/>
            </w:tcBorders>
            <w:shd w:val="clear" w:color="auto" w:fill="FFFFFF" w:themeFill="background1"/>
            <w:noWrap/>
            <w:vAlign w:val="center"/>
            <w:hideMark/>
          </w:tcPr>
          <w:p w14:paraId="486A4BA3" w14:textId="36D0438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3.1</w:t>
            </w:r>
          </w:p>
        </w:tc>
        <w:tc>
          <w:tcPr>
            <w:tcW w:w="215" w:type="pct"/>
            <w:tcBorders>
              <w:top w:val="single" w:sz="8" w:space="0" w:color="auto"/>
              <w:right w:val="single" w:sz="8" w:space="0" w:color="auto"/>
            </w:tcBorders>
            <w:shd w:val="clear" w:color="auto" w:fill="FFFFFF" w:themeFill="background1"/>
            <w:noWrap/>
            <w:vAlign w:val="center"/>
            <w:hideMark/>
          </w:tcPr>
          <w:p w14:paraId="30E49664" w14:textId="1DD1DA3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38</w:t>
            </w:r>
          </w:p>
        </w:tc>
        <w:tc>
          <w:tcPr>
            <w:tcW w:w="237" w:type="pct"/>
            <w:tcBorders>
              <w:top w:val="single" w:sz="8" w:space="0" w:color="auto"/>
              <w:left w:val="single" w:sz="8" w:space="0" w:color="auto"/>
            </w:tcBorders>
            <w:shd w:val="clear" w:color="auto" w:fill="FFFFFF" w:themeFill="background1"/>
            <w:noWrap/>
            <w:vAlign w:val="center"/>
            <w:hideMark/>
          </w:tcPr>
          <w:p w14:paraId="4C6A3C90" w14:textId="3AAF6E6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211" w:type="pct"/>
            <w:tcBorders>
              <w:top w:val="single" w:sz="8" w:space="0" w:color="auto"/>
              <w:right w:val="single" w:sz="8" w:space="0" w:color="auto"/>
            </w:tcBorders>
            <w:shd w:val="clear" w:color="auto" w:fill="FFFFFF" w:themeFill="background1"/>
            <w:noWrap/>
            <w:vAlign w:val="center"/>
            <w:hideMark/>
          </w:tcPr>
          <w:p w14:paraId="22A25008" w14:textId="390DEE2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16</w:t>
            </w:r>
          </w:p>
        </w:tc>
        <w:tc>
          <w:tcPr>
            <w:tcW w:w="198" w:type="pct"/>
            <w:tcBorders>
              <w:top w:val="single" w:sz="8" w:space="0" w:color="auto"/>
              <w:left w:val="single" w:sz="8" w:space="0" w:color="auto"/>
            </w:tcBorders>
            <w:shd w:val="clear" w:color="auto" w:fill="FFFFFF" w:themeFill="background1"/>
            <w:noWrap/>
            <w:vAlign w:val="center"/>
            <w:hideMark/>
          </w:tcPr>
          <w:p w14:paraId="47E51614" w14:textId="091EB4C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12" w:type="pct"/>
            <w:tcBorders>
              <w:top w:val="single" w:sz="8" w:space="0" w:color="auto"/>
              <w:right w:val="single" w:sz="18" w:space="0" w:color="auto"/>
            </w:tcBorders>
            <w:shd w:val="clear" w:color="auto" w:fill="FFFFFF" w:themeFill="background1"/>
            <w:noWrap/>
            <w:vAlign w:val="center"/>
            <w:hideMark/>
          </w:tcPr>
          <w:p w14:paraId="3A8CC892" w14:textId="4A791FE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21</w:t>
            </w:r>
          </w:p>
        </w:tc>
        <w:tc>
          <w:tcPr>
            <w:tcW w:w="176" w:type="pct"/>
            <w:vMerge/>
            <w:tcBorders>
              <w:left w:val="single" w:sz="18" w:space="0" w:color="auto"/>
            </w:tcBorders>
            <w:shd w:val="clear" w:color="auto" w:fill="auto"/>
            <w:noWrap/>
            <w:vAlign w:val="center"/>
            <w:hideMark/>
          </w:tcPr>
          <w:p w14:paraId="45F75192" w14:textId="77777777" w:rsidR="00DE3112" w:rsidRPr="00191471" w:rsidRDefault="00DE3112" w:rsidP="00415A0F">
            <w:pPr>
              <w:spacing w:line="240" w:lineRule="auto"/>
              <w:ind w:firstLine="0"/>
              <w:jc w:val="center"/>
              <w:rPr>
                <w:color w:val="000000"/>
                <w:sz w:val="18"/>
                <w:szCs w:val="18"/>
                <w:lang w:val="en-US"/>
              </w:rPr>
            </w:pPr>
          </w:p>
        </w:tc>
        <w:tc>
          <w:tcPr>
            <w:tcW w:w="247" w:type="pct"/>
            <w:vMerge/>
            <w:shd w:val="clear" w:color="auto" w:fill="auto"/>
            <w:noWrap/>
            <w:vAlign w:val="center"/>
            <w:hideMark/>
          </w:tcPr>
          <w:p w14:paraId="3C012149" w14:textId="77777777" w:rsidR="00DE3112" w:rsidRPr="00191471" w:rsidRDefault="00DE3112" w:rsidP="00415A0F">
            <w:pPr>
              <w:spacing w:line="240" w:lineRule="auto"/>
              <w:ind w:firstLine="0"/>
              <w:jc w:val="center"/>
              <w:rPr>
                <w:sz w:val="18"/>
                <w:szCs w:val="18"/>
                <w:lang w:val="en-US"/>
              </w:rPr>
            </w:pPr>
          </w:p>
        </w:tc>
        <w:tc>
          <w:tcPr>
            <w:tcW w:w="176" w:type="pct"/>
            <w:tcBorders>
              <w:top w:val="nil"/>
            </w:tcBorders>
            <w:shd w:val="clear" w:color="auto" w:fill="auto"/>
            <w:noWrap/>
            <w:vAlign w:val="center"/>
            <w:hideMark/>
          </w:tcPr>
          <w:p w14:paraId="1266BFCB" w14:textId="77777777" w:rsidR="00DE3112" w:rsidRPr="00191471" w:rsidRDefault="00DE3112" w:rsidP="00415A0F">
            <w:pPr>
              <w:spacing w:line="240" w:lineRule="auto"/>
              <w:ind w:firstLine="0"/>
              <w:jc w:val="center"/>
              <w:rPr>
                <w:sz w:val="18"/>
                <w:szCs w:val="18"/>
                <w:lang w:val="en-US"/>
              </w:rPr>
            </w:pPr>
          </w:p>
        </w:tc>
        <w:tc>
          <w:tcPr>
            <w:tcW w:w="177" w:type="pct"/>
            <w:tcBorders>
              <w:top w:val="nil"/>
            </w:tcBorders>
            <w:shd w:val="clear" w:color="auto" w:fill="auto"/>
            <w:noWrap/>
            <w:vAlign w:val="center"/>
            <w:hideMark/>
          </w:tcPr>
          <w:p w14:paraId="0AD89329"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31923927" w14:textId="77777777" w:rsidR="00DE3112" w:rsidRPr="00191471" w:rsidRDefault="00DE3112" w:rsidP="00415A0F">
            <w:pPr>
              <w:spacing w:line="240" w:lineRule="auto"/>
              <w:ind w:firstLine="0"/>
              <w:jc w:val="center"/>
              <w:rPr>
                <w:sz w:val="18"/>
                <w:szCs w:val="18"/>
                <w:lang w:val="en-US"/>
              </w:rPr>
            </w:pPr>
          </w:p>
        </w:tc>
        <w:tc>
          <w:tcPr>
            <w:tcW w:w="211" w:type="pct"/>
            <w:tcBorders>
              <w:top w:val="nil"/>
            </w:tcBorders>
            <w:shd w:val="clear" w:color="auto" w:fill="auto"/>
            <w:noWrap/>
            <w:vAlign w:val="center"/>
            <w:hideMark/>
          </w:tcPr>
          <w:p w14:paraId="51A75BEB" w14:textId="77777777" w:rsidR="00DE3112" w:rsidRPr="00191471" w:rsidRDefault="00DE3112" w:rsidP="00415A0F">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1C7E1C8B"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2D19AFA1"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4D7370A1" w14:textId="77777777" w:rsidR="00DE3112" w:rsidRPr="00191471" w:rsidRDefault="00DE3112" w:rsidP="00415A0F">
            <w:pPr>
              <w:spacing w:line="240" w:lineRule="auto"/>
              <w:ind w:firstLine="0"/>
              <w:jc w:val="center"/>
              <w:rPr>
                <w:sz w:val="18"/>
                <w:szCs w:val="18"/>
                <w:lang w:val="en-US"/>
              </w:rPr>
            </w:pPr>
          </w:p>
        </w:tc>
      </w:tr>
      <w:tr w:rsidR="00BD2CC0" w:rsidRPr="00191471" w14:paraId="64ED08D0" w14:textId="77777777" w:rsidTr="00BD2CC0">
        <w:trPr>
          <w:trHeight w:val="300"/>
        </w:trPr>
        <w:tc>
          <w:tcPr>
            <w:tcW w:w="645" w:type="pct"/>
            <w:tcBorders>
              <w:left w:val="single" w:sz="18" w:space="0" w:color="auto"/>
              <w:bottom w:val="single" w:sz="8" w:space="0" w:color="auto"/>
              <w:right w:val="single" w:sz="8" w:space="0" w:color="auto"/>
            </w:tcBorders>
            <w:shd w:val="clear" w:color="auto" w:fill="FFFFFF" w:themeFill="background1"/>
            <w:noWrap/>
            <w:vAlign w:val="center"/>
          </w:tcPr>
          <w:p w14:paraId="1F2EBD2E" w14:textId="7845FB9F"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C TEQ</w:t>
            </w:r>
            <w:r w:rsidRPr="00191471">
              <w:rPr>
                <w:b/>
                <w:bCs/>
                <w:color w:val="000000"/>
                <w:sz w:val="18"/>
                <w:szCs w:val="18"/>
                <w:lang w:val="en-US"/>
              </w:rPr>
              <w:t xml:space="preserve"> (pg m</w:t>
            </w:r>
            <w:r w:rsidRPr="00191471">
              <w:rPr>
                <w:b/>
                <w:bCs/>
                <w:color w:val="000000"/>
                <w:sz w:val="18"/>
                <w:szCs w:val="18"/>
                <w:vertAlign w:val="superscript"/>
                <w:lang w:val="en-US"/>
              </w:rPr>
              <w:t>-3</w:t>
            </w:r>
            <w:r w:rsidRPr="00191471">
              <w:rPr>
                <w:b/>
                <w:bCs/>
                <w:color w:val="000000"/>
                <w:sz w:val="18"/>
                <w:szCs w:val="18"/>
                <w:lang w:val="en-US"/>
              </w:rPr>
              <w:t>)</w:t>
            </w:r>
          </w:p>
        </w:tc>
        <w:tc>
          <w:tcPr>
            <w:tcW w:w="298" w:type="pct"/>
            <w:tcBorders>
              <w:left w:val="single" w:sz="8" w:space="0" w:color="auto"/>
              <w:bottom w:val="single" w:sz="8" w:space="0" w:color="auto"/>
            </w:tcBorders>
            <w:shd w:val="clear" w:color="auto" w:fill="FFFFFF" w:themeFill="background1"/>
            <w:noWrap/>
            <w:vAlign w:val="center"/>
          </w:tcPr>
          <w:p w14:paraId="5F1C3E30" w14:textId="2CAA74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64" w:type="pct"/>
            <w:tcBorders>
              <w:bottom w:val="single" w:sz="8" w:space="0" w:color="auto"/>
            </w:tcBorders>
            <w:shd w:val="clear" w:color="auto" w:fill="FFFFFF" w:themeFill="background1"/>
            <w:noWrap/>
            <w:vAlign w:val="center"/>
          </w:tcPr>
          <w:p w14:paraId="598AA548" w14:textId="22350993"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65" w:type="pct"/>
            <w:tcBorders>
              <w:bottom w:val="single" w:sz="8" w:space="0" w:color="auto"/>
              <w:right w:val="single" w:sz="8" w:space="0" w:color="auto"/>
            </w:tcBorders>
            <w:shd w:val="clear" w:color="auto" w:fill="FFFFFF" w:themeFill="background1"/>
            <w:noWrap/>
            <w:vAlign w:val="center"/>
          </w:tcPr>
          <w:p w14:paraId="36F39FF0" w14:textId="67BD17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32" w:type="pct"/>
            <w:tcBorders>
              <w:left w:val="single" w:sz="8" w:space="0" w:color="auto"/>
              <w:bottom w:val="single" w:sz="8" w:space="0" w:color="auto"/>
            </w:tcBorders>
            <w:shd w:val="clear" w:color="auto" w:fill="FFFFFF" w:themeFill="background1"/>
            <w:noWrap/>
            <w:vAlign w:val="center"/>
          </w:tcPr>
          <w:p w14:paraId="3B4B796D" w14:textId="729A26D6"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2.7</w:t>
            </w:r>
          </w:p>
        </w:tc>
        <w:tc>
          <w:tcPr>
            <w:tcW w:w="232" w:type="pct"/>
            <w:tcBorders>
              <w:bottom w:val="single" w:sz="8" w:space="0" w:color="auto"/>
            </w:tcBorders>
            <w:shd w:val="clear" w:color="auto" w:fill="FFFFFF" w:themeFill="background1"/>
            <w:noWrap/>
            <w:vAlign w:val="center"/>
          </w:tcPr>
          <w:p w14:paraId="597E3020" w14:textId="4E9953BF"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0.6</w:t>
            </w:r>
          </w:p>
        </w:tc>
        <w:tc>
          <w:tcPr>
            <w:tcW w:w="232" w:type="pct"/>
            <w:tcBorders>
              <w:bottom w:val="single" w:sz="8" w:space="0" w:color="auto"/>
            </w:tcBorders>
            <w:shd w:val="clear" w:color="auto" w:fill="FFFFFF" w:themeFill="background1"/>
            <w:noWrap/>
            <w:vAlign w:val="center"/>
          </w:tcPr>
          <w:p w14:paraId="59091A2F" w14:textId="7746FCEB"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0.15</w:t>
            </w:r>
          </w:p>
        </w:tc>
        <w:tc>
          <w:tcPr>
            <w:tcW w:w="215" w:type="pct"/>
            <w:tcBorders>
              <w:bottom w:val="single" w:sz="8" w:space="0" w:color="auto"/>
              <w:right w:val="single" w:sz="8" w:space="0" w:color="auto"/>
            </w:tcBorders>
            <w:shd w:val="clear" w:color="auto" w:fill="FFFFFF" w:themeFill="background1"/>
            <w:noWrap/>
            <w:vAlign w:val="center"/>
          </w:tcPr>
          <w:p w14:paraId="4D3E5FC1" w14:textId="377EA5C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2.2</w:t>
            </w:r>
          </w:p>
        </w:tc>
        <w:tc>
          <w:tcPr>
            <w:tcW w:w="237" w:type="pct"/>
            <w:tcBorders>
              <w:left w:val="single" w:sz="8" w:space="0" w:color="auto"/>
              <w:bottom w:val="single" w:sz="8" w:space="0" w:color="auto"/>
            </w:tcBorders>
            <w:shd w:val="clear" w:color="auto" w:fill="FFFFFF" w:themeFill="background1"/>
            <w:noWrap/>
            <w:vAlign w:val="center"/>
          </w:tcPr>
          <w:p w14:paraId="6CEC516B" w14:textId="222C3F75"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&lt;LOQ</w:t>
            </w:r>
          </w:p>
        </w:tc>
        <w:tc>
          <w:tcPr>
            <w:tcW w:w="211" w:type="pct"/>
            <w:tcBorders>
              <w:bottom w:val="single" w:sz="8" w:space="0" w:color="auto"/>
              <w:right w:val="single" w:sz="8" w:space="0" w:color="auto"/>
            </w:tcBorders>
            <w:shd w:val="clear" w:color="auto" w:fill="FFFFFF" w:themeFill="background1"/>
            <w:noWrap/>
            <w:vAlign w:val="center"/>
          </w:tcPr>
          <w:p w14:paraId="40FC5BB3" w14:textId="734A082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1.6</w:t>
            </w:r>
          </w:p>
        </w:tc>
        <w:tc>
          <w:tcPr>
            <w:tcW w:w="198" w:type="pct"/>
            <w:tcBorders>
              <w:left w:val="single" w:sz="8" w:space="0" w:color="auto"/>
              <w:bottom w:val="single" w:sz="8" w:space="0" w:color="auto"/>
            </w:tcBorders>
            <w:shd w:val="clear" w:color="auto" w:fill="FFFFFF" w:themeFill="background1"/>
            <w:noWrap/>
            <w:vAlign w:val="center"/>
          </w:tcPr>
          <w:p w14:paraId="2C56B62C" w14:textId="0730A274"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0.10</w:t>
            </w:r>
          </w:p>
        </w:tc>
        <w:tc>
          <w:tcPr>
            <w:tcW w:w="212" w:type="pct"/>
            <w:tcBorders>
              <w:bottom w:val="single" w:sz="8" w:space="0" w:color="auto"/>
              <w:right w:val="single" w:sz="18" w:space="0" w:color="auto"/>
            </w:tcBorders>
            <w:shd w:val="clear" w:color="auto" w:fill="FFFFFF" w:themeFill="background1"/>
            <w:noWrap/>
            <w:vAlign w:val="center"/>
          </w:tcPr>
          <w:p w14:paraId="15978F27" w14:textId="55F0DDF8"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1.5</w:t>
            </w:r>
          </w:p>
        </w:tc>
        <w:tc>
          <w:tcPr>
            <w:tcW w:w="423" w:type="pct"/>
            <w:gridSpan w:val="2"/>
            <w:tcBorders>
              <w:top w:val="nil"/>
              <w:left w:val="single" w:sz="18" w:space="0" w:color="auto"/>
            </w:tcBorders>
            <w:shd w:val="clear" w:color="auto" w:fill="auto"/>
            <w:noWrap/>
            <w:vAlign w:val="center"/>
          </w:tcPr>
          <w:p w14:paraId="725B847C" w14:textId="77777777" w:rsidR="00DE3112" w:rsidRPr="00191471" w:rsidRDefault="00DE3112" w:rsidP="00415A0F">
            <w:pPr>
              <w:spacing w:line="240" w:lineRule="auto"/>
              <w:ind w:firstLine="0"/>
              <w:jc w:val="center"/>
              <w:rPr>
                <w:sz w:val="18"/>
                <w:szCs w:val="18"/>
                <w:lang w:val="en-US"/>
              </w:rPr>
            </w:pPr>
          </w:p>
        </w:tc>
        <w:tc>
          <w:tcPr>
            <w:tcW w:w="176" w:type="pct"/>
            <w:tcBorders>
              <w:top w:val="nil"/>
            </w:tcBorders>
            <w:shd w:val="clear" w:color="auto" w:fill="auto"/>
            <w:noWrap/>
            <w:vAlign w:val="center"/>
          </w:tcPr>
          <w:p w14:paraId="3BF68787" w14:textId="77777777" w:rsidR="00DE3112" w:rsidRPr="00191471" w:rsidRDefault="00DE3112" w:rsidP="00415A0F">
            <w:pPr>
              <w:spacing w:line="240" w:lineRule="auto"/>
              <w:ind w:firstLine="0"/>
              <w:jc w:val="center"/>
              <w:rPr>
                <w:sz w:val="18"/>
                <w:szCs w:val="18"/>
                <w:lang w:val="en-US"/>
              </w:rPr>
            </w:pPr>
          </w:p>
        </w:tc>
        <w:tc>
          <w:tcPr>
            <w:tcW w:w="177" w:type="pct"/>
            <w:tcBorders>
              <w:top w:val="nil"/>
            </w:tcBorders>
            <w:shd w:val="clear" w:color="auto" w:fill="auto"/>
            <w:noWrap/>
            <w:vAlign w:val="center"/>
          </w:tcPr>
          <w:p w14:paraId="7BBA10E5"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tcPr>
          <w:p w14:paraId="2C270CA4" w14:textId="77777777" w:rsidR="00DE3112" w:rsidRPr="00191471" w:rsidRDefault="00DE3112" w:rsidP="00415A0F">
            <w:pPr>
              <w:spacing w:line="240" w:lineRule="auto"/>
              <w:ind w:firstLine="0"/>
              <w:jc w:val="center"/>
              <w:rPr>
                <w:sz w:val="18"/>
                <w:szCs w:val="18"/>
                <w:lang w:val="en-US"/>
              </w:rPr>
            </w:pPr>
          </w:p>
        </w:tc>
        <w:tc>
          <w:tcPr>
            <w:tcW w:w="211" w:type="pct"/>
            <w:tcBorders>
              <w:top w:val="nil"/>
            </w:tcBorders>
            <w:shd w:val="clear" w:color="auto" w:fill="auto"/>
            <w:noWrap/>
            <w:vAlign w:val="center"/>
          </w:tcPr>
          <w:p w14:paraId="711CB555" w14:textId="77777777" w:rsidR="00DE3112" w:rsidRPr="00191471" w:rsidRDefault="00DE3112" w:rsidP="00415A0F">
            <w:pPr>
              <w:spacing w:line="240" w:lineRule="auto"/>
              <w:ind w:firstLine="0"/>
              <w:jc w:val="center"/>
              <w:rPr>
                <w:sz w:val="18"/>
                <w:szCs w:val="18"/>
                <w:lang w:val="en-US"/>
              </w:rPr>
            </w:pPr>
          </w:p>
        </w:tc>
        <w:tc>
          <w:tcPr>
            <w:tcW w:w="178" w:type="pct"/>
            <w:tcBorders>
              <w:top w:val="nil"/>
            </w:tcBorders>
            <w:shd w:val="clear" w:color="auto" w:fill="auto"/>
            <w:noWrap/>
            <w:vAlign w:val="center"/>
          </w:tcPr>
          <w:p w14:paraId="75658233"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tcPr>
          <w:p w14:paraId="5240D656"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tcPr>
          <w:p w14:paraId="1C6B8C2B" w14:textId="77777777" w:rsidR="00DE3112" w:rsidRPr="00191471" w:rsidRDefault="00DE3112" w:rsidP="00415A0F">
            <w:pPr>
              <w:spacing w:line="240" w:lineRule="auto"/>
              <w:ind w:firstLine="0"/>
              <w:jc w:val="center"/>
              <w:rPr>
                <w:sz w:val="18"/>
                <w:szCs w:val="18"/>
                <w:lang w:val="en-US"/>
              </w:rPr>
            </w:pPr>
          </w:p>
        </w:tc>
      </w:tr>
      <w:tr w:rsidR="00BD2CC0" w:rsidRPr="00191471" w14:paraId="176741AB" w14:textId="77777777" w:rsidTr="00BD2CC0">
        <w:trPr>
          <w:trHeight w:val="300"/>
        </w:trPr>
        <w:tc>
          <w:tcPr>
            <w:tcW w:w="645" w:type="pct"/>
            <w:tcBorders>
              <w:top w:val="single" w:sz="8" w:space="0" w:color="auto"/>
              <w:left w:val="single" w:sz="18" w:space="0" w:color="auto"/>
              <w:right w:val="single" w:sz="8" w:space="0" w:color="auto"/>
            </w:tcBorders>
            <w:shd w:val="clear" w:color="auto" w:fill="FFFFFF" w:themeFill="background1"/>
            <w:noWrap/>
            <w:vAlign w:val="center"/>
            <w:hideMark/>
          </w:tcPr>
          <w:p w14:paraId="1CE8A095" w14:textId="4D4D269D"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 xml:space="preserve">EF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98" w:type="pct"/>
            <w:tcBorders>
              <w:top w:val="single" w:sz="8" w:space="0" w:color="auto"/>
              <w:left w:val="single" w:sz="8" w:space="0" w:color="auto"/>
            </w:tcBorders>
            <w:shd w:val="clear" w:color="auto" w:fill="FFFFFF" w:themeFill="background1"/>
            <w:noWrap/>
            <w:vAlign w:val="center"/>
            <w:hideMark/>
          </w:tcPr>
          <w:p w14:paraId="236545F4" w14:textId="728CD9B2"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64" w:type="pct"/>
            <w:tcBorders>
              <w:top w:val="single" w:sz="8" w:space="0" w:color="auto"/>
            </w:tcBorders>
            <w:shd w:val="clear" w:color="auto" w:fill="FFFFFF" w:themeFill="background1"/>
            <w:noWrap/>
            <w:vAlign w:val="center"/>
            <w:hideMark/>
          </w:tcPr>
          <w:p w14:paraId="7F39629A" w14:textId="2BDA6236"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65" w:type="pct"/>
            <w:tcBorders>
              <w:top w:val="single" w:sz="8" w:space="0" w:color="auto"/>
              <w:right w:val="single" w:sz="8" w:space="0" w:color="auto"/>
            </w:tcBorders>
            <w:shd w:val="clear" w:color="auto" w:fill="FFFFFF" w:themeFill="background1"/>
            <w:noWrap/>
            <w:vAlign w:val="center"/>
            <w:hideMark/>
          </w:tcPr>
          <w:p w14:paraId="57889A4A" w14:textId="54A4356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32" w:type="pct"/>
            <w:tcBorders>
              <w:top w:val="single" w:sz="8" w:space="0" w:color="auto"/>
              <w:left w:val="single" w:sz="8" w:space="0" w:color="auto"/>
            </w:tcBorders>
            <w:shd w:val="clear" w:color="auto" w:fill="FFFFFF" w:themeFill="background1"/>
            <w:noWrap/>
            <w:vAlign w:val="center"/>
            <w:hideMark/>
          </w:tcPr>
          <w:p w14:paraId="2E93FBE6" w14:textId="34F1E97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0.52</w:t>
            </w:r>
          </w:p>
        </w:tc>
        <w:tc>
          <w:tcPr>
            <w:tcW w:w="232" w:type="pct"/>
            <w:tcBorders>
              <w:top w:val="single" w:sz="8" w:space="0" w:color="auto"/>
            </w:tcBorders>
            <w:shd w:val="clear" w:color="auto" w:fill="FFFFFF" w:themeFill="background1"/>
            <w:noWrap/>
            <w:vAlign w:val="center"/>
            <w:hideMark/>
          </w:tcPr>
          <w:p w14:paraId="7E33796C" w14:textId="0803E71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0.75</w:t>
            </w:r>
          </w:p>
        </w:tc>
        <w:tc>
          <w:tcPr>
            <w:tcW w:w="232" w:type="pct"/>
            <w:tcBorders>
              <w:top w:val="single" w:sz="8" w:space="0" w:color="auto"/>
            </w:tcBorders>
            <w:shd w:val="clear" w:color="auto" w:fill="FFFFFF" w:themeFill="background1"/>
            <w:noWrap/>
            <w:vAlign w:val="center"/>
            <w:hideMark/>
          </w:tcPr>
          <w:p w14:paraId="17C62065" w14:textId="74F123D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0.08</w:t>
            </w:r>
          </w:p>
        </w:tc>
        <w:tc>
          <w:tcPr>
            <w:tcW w:w="215" w:type="pct"/>
            <w:tcBorders>
              <w:top w:val="single" w:sz="8" w:space="0" w:color="auto"/>
              <w:right w:val="single" w:sz="8" w:space="0" w:color="auto"/>
            </w:tcBorders>
            <w:shd w:val="clear" w:color="auto" w:fill="FFFFFF" w:themeFill="background1"/>
            <w:noWrap/>
            <w:vAlign w:val="center"/>
            <w:hideMark/>
          </w:tcPr>
          <w:p w14:paraId="26D5756B" w14:textId="3DC3E9C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1.2</w:t>
            </w:r>
          </w:p>
        </w:tc>
        <w:tc>
          <w:tcPr>
            <w:tcW w:w="237" w:type="pct"/>
            <w:tcBorders>
              <w:top w:val="single" w:sz="8" w:space="0" w:color="auto"/>
              <w:left w:val="single" w:sz="8" w:space="0" w:color="auto"/>
            </w:tcBorders>
            <w:shd w:val="clear" w:color="auto" w:fill="FFFFFF" w:themeFill="background1"/>
            <w:noWrap/>
            <w:vAlign w:val="center"/>
            <w:hideMark/>
          </w:tcPr>
          <w:p w14:paraId="66066296" w14:textId="0E4A18D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211" w:type="pct"/>
            <w:tcBorders>
              <w:top w:val="single" w:sz="8" w:space="0" w:color="auto"/>
              <w:right w:val="single" w:sz="8" w:space="0" w:color="auto"/>
            </w:tcBorders>
            <w:shd w:val="clear" w:color="auto" w:fill="FFFFFF" w:themeFill="background1"/>
            <w:noWrap/>
            <w:vAlign w:val="center"/>
            <w:hideMark/>
          </w:tcPr>
          <w:p w14:paraId="1E00F0BB" w14:textId="7E5741F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0.90</w:t>
            </w:r>
          </w:p>
        </w:tc>
        <w:tc>
          <w:tcPr>
            <w:tcW w:w="198" w:type="pct"/>
            <w:tcBorders>
              <w:top w:val="single" w:sz="8" w:space="0" w:color="auto"/>
              <w:left w:val="single" w:sz="8" w:space="0" w:color="auto"/>
            </w:tcBorders>
            <w:shd w:val="clear" w:color="auto" w:fill="FFFFFF" w:themeFill="background1"/>
            <w:noWrap/>
            <w:vAlign w:val="center"/>
            <w:hideMark/>
          </w:tcPr>
          <w:p w14:paraId="2520006A" w14:textId="74B161C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12" w:type="pct"/>
            <w:tcBorders>
              <w:top w:val="single" w:sz="8" w:space="0" w:color="auto"/>
              <w:right w:val="single" w:sz="18" w:space="0" w:color="auto"/>
            </w:tcBorders>
            <w:shd w:val="clear" w:color="auto" w:fill="FFFFFF" w:themeFill="background1"/>
            <w:noWrap/>
            <w:vAlign w:val="center"/>
            <w:hideMark/>
          </w:tcPr>
          <w:p w14:paraId="57BCAB1D" w14:textId="35B99C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6.2</w:t>
            </w:r>
          </w:p>
        </w:tc>
        <w:tc>
          <w:tcPr>
            <w:tcW w:w="423" w:type="pct"/>
            <w:gridSpan w:val="2"/>
            <w:tcBorders>
              <w:top w:val="nil"/>
              <w:left w:val="single" w:sz="18" w:space="0" w:color="auto"/>
            </w:tcBorders>
            <w:shd w:val="clear" w:color="auto" w:fill="auto"/>
            <w:noWrap/>
            <w:vAlign w:val="center"/>
            <w:hideMark/>
          </w:tcPr>
          <w:p w14:paraId="403600E7" w14:textId="77777777" w:rsidR="00DE3112" w:rsidRPr="00191471" w:rsidRDefault="00DE3112" w:rsidP="00415A0F">
            <w:pPr>
              <w:spacing w:line="240" w:lineRule="auto"/>
              <w:ind w:firstLine="0"/>
              <w:jc w:val="center"/>
              <w:rPr>
                <w:sz w:val="18"/>
                <w:szCs w:val="18"/>
                <w:lang w:val="en-US"/>
              </w:rPr>
            </w:pPr>
          </w:p>
        </w:tc>
        <w:tc>
          <w:tcPr>
            <w:tcW w:w="176" w:type="pct"/>
            <w:tcBorders>
              <w:top w:val="nil"/>
            </w:tcBorders>
            <w:shd w:val="clear" w:color="auto" w:fill="auto"/>
            <w:noWrap/>
            <w:vAlign w:val="center"/>
            <w:hideMark/>
          </w:tcPr>
          <w:p w14:paraId="72CD62C6" w14:textId="77777777" w:rsidR="00DE3112" w:rsidRPr="00191471" w:rsidRDefault="00DE3112" w:rsidP="00415A0F">
            <w:pPr>
              <w:spacing w:line="240" w:lineRule="auto"/>
              <w:ind w:firstLine="0"/>
              <w:jc w:val="center"/>
              <w:rPr>
                <w:sz w:val="18"/>
                <w:szCs w:val="18"/>
                <w:lang w:val="en-US"/>
              </w:rPr>
            </w:pPr>
          </w:p>
        </w:tc>
        <w:tc>
          <w:tcPr>
            <w:tcW w:w="177" w:type="pct"/>
            <w:tcBorders>
              <w:top w:val="nil"/>
            </w:tcBorders>
            <w:shd w:val="clear" w:color="auto" w:fill="auto"/>
            <w:noWrap/>
            <w:vAlign w:val="center"/>
            <w:hideMark/>
          </w:tcPr>
          <w:p w14:paraId="4C53435C"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314BFCF6" w14:textId="77777777" w:rsidR="00DE3112" w:rsidRPr="00191471" w:rsidRDefault="00DE3112" w:rsidP="00415A0F">
            <w:pPr>
              <w:spacing w:line="240" w:lineRule="auto"/>
              <w:ind w:firstLine="0"/>
              <w:jc w:val="center"/>
              <w:rPr>
                <w:sz w:val="18"/>
                <w:szCs w:val="18"/>
                <w:lang w:val="en-US"/>
              </w:rPr>
            </w:pPr>
          </w:p>
        </w:tc>
        <w:tc>
          <w:tcPr>
            <w:tcW w:w="211" w:type="pct"/>
            <w:tcBorders>
              <w:top w:val="nil"/>
            </w:tcBorders>
            <w:shd w:val="clear" w:color="auto" w:fill="auto"/>
            <w:noWrap/>
            <w:vAlign w:val="center"/>
            <w:hideMark/>
          </w:tcPr>
          <w:p w14:paraId="4B34295B" w14:textId="77777777" w:rsidR="00DE3112" w:rsidRPr="00191471" w:rsidRDefault="00DE3112" w:rsidP="00415A0F">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2B23668B"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0821BE36"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118ADDAF" w14:textId="77777777" w:rsidR="00DE3112" w:rsidRPr="00191471" w:rsidRDefault="00DE3112" w:rsidP="00415A0F">
            <w:pPr>
              <w:spacing w:line="240" w:lineRule="auto"/>
              <w:ind w:firstLine="0"/>
              <w:jc w:val="center"/>
              <w:rPr>
                <w:sz w:val="18"/>
                <w:szCs w:val="18"/>
                <w:lang w:val="en-US"/>
              </w:rPr>
            </w:pPr>
          </w:p>
        </w:tc>
      </w:tr>
      <w:tr w:rsidR="00BD2CC0" w:rsidRPr="00191471" w14:paraId="510A39B7" w14:textId="77777777" w:rsidTr="00BD2CC0">
        <w:trPr>
          <w:trHeight w:val="300"/>
        </w:trPr>
        <w:tc>
          <w:tcPr>
            <w:tcW w:w="645" w:type="pct"/>
            <w:tcBorders>
              <w:left w:val="single" w:sz="18" w:space="0" w:color="auto"/>
              <w:bottom w:val="single" w:sz="8" w:space="0" w:color="auto"/>
              <w:right w:val="single" w:sz="8" w:space="0" w:color="auto"/>
            </w:tcBorders>
            <w:shd w:val="clear" w:color="auto" w:fill="FFFFFF" w:themeFill="background1"/>
            <w:noWrap/>
            <w:vAlign w:val="center"/>
            <w:hideMark/>
          </w:tcPr>
          <w:p w14:paraId="3B270E76" w14:textId="6BBFDA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 xml:space="preserve">F TEQ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98" w:type="pct"/>
            <w:tcBorders>
              <w:left w:val="single" w:sz="8" w:space="0" w:color="auto"/>
              <w:bottom w:val="single" w:sz="8" w:space="0" w:color="auto"/>
            </w:tcBorders>
            <w:shd w:val="clear" w:color="auto" w:fill="FFFFFF" w:themeFill="background1"/>
            <w:noWrap/>
            <w:vAlign w:val="center"/>
            <w:hideMark/>
          </w:tcPr>
          <w:p w14:paraId="64628C0C" w14:textId="15D2661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64" w:type="pct"/>
            <w:tcBorders>
              <w:bottom w:val="single" w:sz="8" w:space="0" w:color="auto"/>
            </w:tcBorders>
            <w:shd w:val="clear" w:color="auto" w:fill="FFFFFF" w:themeFill="background1"/>
            <w:noWrap/>
            <w:vAlign w:val="center"/>
            <w:hideMark/>
          </w:tcPr>
          <w:p w14:paraId="33A397A1" w14:textId="6F3D8583"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65" w:type="pct"/>
            <w:tcBorders>
              <w:bottom w:val="single" w:sz="8" w:space="0" w:color="auto"/>
              <w:right w:val="single" w:sz="8" w:space="0" w:color="auto"/>
            </w:tcBorders>
            <w:shd w:val="clear" w:color="auto" w:fill="FFFFFF" w:themeFill="background1"/>
            <w:noWrap/>
            <w:vAlign w:val="center"/>
            <w:hideMark/>
          </w:tcPr>
          <w:p w14:paraId="25FCCB37" w14:textId="4853AAF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32" w:type="pct"/>
            <w:tcBorders>
              <w:left w:val="single" w:sz="8" w:space="0" w:color="auto"/>
              <w:bottom w:val="single" w:sz="8" w:space="0" w:color="auto"/>
            </w:tcBorders>
            <w:shd w:val="clear" w:color="auto" w:fill="FFFFFF" w:themeFill="background1"/>
            <w:noWrap/>
            <w:vAlign w:val="center"/>
            <w:hideMark/>
          </w:tcPr>
          <w:p w14:paraId="6E0CBAA5" w14:textId="5E29F71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32" w:type="pct"/>
            <w:tcBorders>
              <w:bottom w:val="single" w:sz="8" w:space="0" w:color="auto"/>
            </w:tcBorders>
            <w:shd w:val="clear" w:color="auto" w:fill="FFFFFF" w:themeFill="background1"/>
            <w:noWrap/>
            <w:vAlign w:val="center"/>
            <w:hideMark/>
          </w:tcPr>
          <w:p w14:paraId="79613896" w14:textId="0B23628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0.04</w:t>
            </w:r>
          </w:p>
        </w:tc>
        <w:tc>
          <w:tcPr>
            <w:tcW w:w="232" w:type="pct"/>
            <w:tcBorders>
              <w:bottom w:val="single" w:sz="8" w:space="0" w:color="auto"/>
            </w:tcBorders>
            <w:shd w:val="clear" w:color="auto" w:fill="FFFFFF" w:themeFill="background1"/>
            <w:noWrap/>
            <w:vAlign w:val="center"/>
            <w:hideMark/>
          </w:tcPr>
          <w:p w14:paraId="21C4BB05" w14:textId="6C5B41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0.004</w:t>
            </w:r>
          </w:p>
        </w:tc>
        <w:tc>
          <w:tcPr>
            <w:tcW w:w="215" w:type="pct"/>
            <w:tcBorders>
              <w:bottom w:val="single" w:sz="8" w:space="0" w:color="auto"/>
              <w:right w:val="single" w:sz="8" w:space="0" w:color="auto"/>
            </w:tcBorders>
            <w:shd w:val="clear" w:color="auto" w:fill="FFFFFF" w:themeFill="background1"/>
            <w:noWrap/>
            <w:vAlign w:val="center"/>
            <w:hideMark/>
          </w:tcPr>
          <w:p w14:paraId="13477148" w14:textId="2A8A1A05"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0.07</w:t>
            </w:r>
          </w:p>
        </w:tc>
        <w:tc>
          <w:tcPr>
            <w:tcW w:w="237" w:type="pct"/>
            <w:tcBorders>
              <w:left w:val="single" w:sz="8" w:space="0" w:color="auto"/>
              <w:bottom w:val="single" w:sz="8" w:space="0" w:color="auto"/>
            </w:tcBorders>
            <w:shd w:val="clear" w:color="auto" w:fill="FFFFFF" w:themeFill="background1"/>
            <w:noWrap/>
            <w:vAlign w:val="center"/>
            <w:hideMark/>
          </w:tcPr>
          <w:p w14:paraId="36D18F0E" w14:textId="520F65D0"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211" w:type="pct"/>
            <w:tcBorders>
              <w:bottom w:val="single" w:sz="8" w:space="0" w:color="auto"/>
              <w:right w:val="single" w:sz="8" w:space="0" w:color="auto"/>
            </w:tcBorders>
            <w:shd w:val="clear" w:color="auto" w:fill="FFFFFF" w:themeFill="background1"/>
            <w:noWrap/>
            <w:vAlign w:val="center"/>
            <w:hideMark/>
          </w:tcPr>
          <w:p w14:paraId="2069D2E5" w14:textId="2B70A8B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0.09</w:t>
            </w:r>
          </w:p>
        </w:tc>
        <w:tc>
          <w:tcPr>
            <w:tcW w:w="198" w:type="pct"/>
            <w:tcBorders>
              <w:left w:val="single" w:sz="8" w:space="0" w:color="auto"/>
              <w:bottom w:val="single" w:sz="8" w:space="0" w:color="auto"/>
            </w:tcBorders>
            <w:shd w:val="clear" w:color="auto" w:fill="FFFFFF" w:themeFill="background1"/>
            <w:noWrap/>
            <w:vAlign w:val="center"/>
            <w:hideMark/>
          </w:tcPr>
          <w:p w14:paraId="16CC679F" w14:textId="14ED76B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0.002</w:t>
            </w:r>
          </w:p>
        </w:tc>
        <w:tc>
          <w:tcPr>
            <w:tcW w:w="212" w:type="pct"/>
            <w:tcBorders>
              <w:bottom w:val="single" w:sz="8" w:space="0" w:color="auto"/>
              <w:right w:val="single" w:sz="18" w:space="0" w:color="auto"/>
            </w:tcBorders>
            <w:shd w:val="clear" w:color="auto" w:fill="FFFFFF" w:themeFill="background1"/>
            <w:noWrap/>
            <w:vAlign w:val="center"/>
            <w:hideMark/>
          </w:tcPr>
          <w:p w14:paraId="3AAFFCBA" w14:textId="17C2AD2D"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0.45</w:t>
            </w:r>
          </w:p>
        </w:tc>
        <w:tc>
          <w:tcPr>
            <w:tcW w:w="423" w:type="pct"/>
            <w:gridSpan w:val="2"/>
            <w:tcBorders>
              <w:top w:val="nil"/>
              <w:left w:val="single" w:sz="18" w:space="0" w:color="auto"/>
            </w:tcBorders>
            <w:shd w:val="clear" w:color="auto" w:fill="auto"/>
            <w:noWrap/>
            <w:vAlign w:val="center"/>
            <w:hideMark/>
          </w:tcPr>
          <w:p w14:paraId="0AD5B077" w14:textId="77777777" w:rsidR="00DE3112" w:rsidRPr="00191471" w:rsidRDefault="00DE3112" w:rsidP="00415A0F">
            <w:pPr>
              <w:spacing w:line="240" w:lineRule="auto"/>
              <w:ind w:firstLine="0"/>
              <w:jc w:val="center"/>
              <w:rPr>
                <w:sz w:val="18"/>
                <w:szCs w:val="18"/>
                <w:lang w:val="en-US"/>
              </w:rPr>
            </w:pPr>
          </w:p>
        </w:tc>
        <w:tc>
          <w:tcPr>
            <w:tcW w:w="176" w:type="pct"/>
            <w:tcBorders>
              <w:top w:val="nil"/>
            </w:tcBorders>
            <w:shd w:val="clear" w:color="auto" w:fill="auto"/>
            <w:noWrap/>
            <w:vAlign w:val="center"/>
            <w:hideMark/>
          </w:tcPr>
          <w:p w14:paraId="42DF7B2E" w14:textId="77777777" w:rsidR="00DE3112" w:rsidRPr="00191471" w:rsidRDefault="00DE3112" w:rsidP="00415A0F">
            <w:pPr>
              <w:spacing w:line="240" w:lineRule="auto"/>
              <w:ind w:firstLine="0"/>
              <w:jc w:val="center"/>
              <w:rPr>
                <w:sz w:val="18"/>
                <w:szCs w:val="18"/>
                <w:lang w:val="en-US"/>
              </w:rPr>
            </w:pPr>
          </w:p>
        </w:tc>
        <w:tc>
          <w:tcPr>
            <w:tcW w:w="177" w:type="pct"/>
            <w:tcBorders>
              <w:top w:val="nil"/>
            </w:tcBorders>
            <w:shd w:val="clear" w:color="auto" w:fill="auto"/>
            <w:noWrap/>
            <w:vAlign w:val="center"/>
            <w:hideMark/>
          </w:tcPr>
          <w:p w14:paraId="12856529"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22869A62" w14:textId="77777777" w:rsidR="00DE3112" w:rsidRPr="00191471" w:rsidRDefault="00DE3112" w:rsidP="00415A0F">
            <w:pPr>
              <w:spacing w:line="240" w:lineRule="auto"/>
              <w:ind w:firstLine="0"/>
              <w:jc w:val="center"/>
              <w:rPr>
                <w:sz w:val="18"/>
                <w:szCs w:val="18"/>
                <w:lang w:val="en-US"/>
              </w:rPr>
            </w:pPr>
          </w:p>
        </w:tc>
        <w:tc>
          <w:tcPr>
            <w:tcW w:w="211" w:type="pct"/>
            <w:tcBorders>
              <w:top w:val="nil"/>
            </w:tcBorders>
            <w:shd w:val="clear" w:color="auto" w:fill="auto"/>
            <w:noWrap/>
            <w:vAlign w:val="center"/>
            <w:hideMark/>
          </w:tcPr>
          <w:p w14:paraId="20DD55D4" w14:textId="77777777" w:rsidR="00DE3112" w:rsidRPr="00191471" w:rsidRDefault="00DE3112" w:rsidP="00415A0F">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663270A4"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3818407C"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156EA705" w14:textId="77777777" w:rsidR="00DE3112" w:rsidRPr="00191471" w:rsidRDefault="00DE3112" w:rsidP="00415A0F">
            <w:pPr>
              <w:spacing w:line="240" w:lineRule="auto"/>
              <w:ind w:firstLine="0"/>
              <w:jc w:val="center"/>
              <w:rPr>
                <w:sz w:val="18"/>
                <w:szCs w:val="18"/>
                <w:lang w:val="en-US"/>
              </w:rPr>
            </w:pPr>
          </w:p>
        </w:tc>
      </w:tr>
      <w:tr w:rsidR="00BD2CC0" w:rsidRPr="00191471" w14:paraId="4F22475B" w14:textId="77777777" w:rsidTr="00BD2CC0">
        <w:trPr>
          <w:trHeight w:val="290"/>
        </w:trPr>
        <w:tc>
          <w:tcPr>
            <w:tcW w:w="645" w:type="pct"/>
            <w:tcBorders>
              <w:top w:val="single" w:sz="8" w:space="0" w:color="auto"/>
              <w:left w:val="single" w:sz="18" w:space="0" w:color="auto"/>
              <w:right w:val="single" w:sz="8" w:space="0" w:color="auto"/>
            </w:tcBorders>
            <w:shd w:val="clear" w:color="auto" w:fill="FFFFFF" w:themeFill="background1"/>
            <w:noWrap/>
            <w:vAlign w:val="center"/>
            <w:hideMark/>
          </w:tcPr>
          <w:p w14:paraId="28C418BF"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Particles (%)</w:t>
            </w:r>
          </w:p>
        </w:tc>
        <w:tc>
          <w:tcPr>
            <w:tcW w:w="298" w:type="pct"/>
            <w:tcBorders>
              <w:top w:val="single" w:sz="8" w:space="0" w:color="auto"/>
              <w:left w:val="single" w:sz="8" w:space="0" w:color="auto"/>
              <w:bottom w:val="nil"/>
            </w:tcBorders>
            <w:shd w:val="clear" w:color="auto" w:fill="FFFFFF" w:themeFill="background1"/>
            <w:noWrap/>
            <w:vAlign w:val="center"/>
            <w:hideMark/>
          </w:tcPr>
          <w:p w14:paraId="05F61548" w14:textId="48593DF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64" w:type="pct"/>
            <w:tcBorders>
              <w:top w:val="single" w:sz="8" w:space="0" w:color="auto"/>
              <w:bottom w:val="nil"/>
            </w:tcBorders>
            <w:shd w:val="clear" w:color="auto" w:fill="FFFFFF" w:themeFill="background1"/>
            <w:noWrap/>
            <w:vAlign w:val="center"/>
            <w:hideMark/>
          </w:tcPr>
          <w:p w14:paraId="4C9B1FFB" w14:textId="719E458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65" w:type="pct"/>
            <w:tcBorders>
              <w:top w:val="single" w:sz="8" w:space="0" w:color="auto"/>
              <w:bottom w:val="nil"/>
              <w:right w:val="single" w:sz="8" w:space="0" w:color="auto"/>
            </w:tcBorders>
            <w:shd w:val="clear" w:color="auto" w:fill="FFFFFF" w:themeFill="background1"/>
            <w:noWrap/>
            <w:vAlign w:val="center"/>
            <w:hideMark/>
          </w:tcPr>
          <w:p w14:paraId="7626BC31" w14:textId="76F8F8B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32" w:type="pct"/>
            <w:tcBorders>
              <w:top w:val="single" w:sz="8" w:space="0" w:color="auto"/>
              <w:left w:val="single" w:sz="8" w:space="0" w:color="auto"/>
              <w:bottom w:val="nil"/>
            </w:tcBorders>
            <w:shd w:val="clear" w:color="auto" w:fill="FFFFFF" w:themeFill="background1"/>
            <w:noWrap/>
            <w:vAlign w:val="center"/>
            <w:hideMark/>
          </w:tcPr>
          <w:p w14:paraId="470EA61A" w14:textId="42303AA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32" w:type="pct"/>
            <w:tcBorders>
              <w:top w:val="single" w:sz="8" w:space="0" w:color="auto"/>
              <w:bottom w:val="nil"/>
            </w:tcBorders>
            <w:shd w:val="clear" w:color="auto" w:fill="FFFFFF" w:themeFill="background1"/>
            <w:noWrap/>
            <w:vAlign w:val="center"/>
            <w:hideMark/>
          </w:tcPr>
          <w:p w14:paraId="1807087E" w14:textId="6DEC6CC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32" w:type="pct"/>
            <w:tcBorders>
              <w:top w:val="single" w:sz="8" w:space="0" w:color="auto"/>
              <w:bottom w:val="nil"/>
            </w:tcBorders>
            <w:shd w:val="clear" w:color="auto" w:fill="FFFFFF" w:themeFill="background1"/>
            <w:noWrap/>
            <w:vAlign w:val="center"/>
            <w:hideMark/>
          </w:tcPr>
          <w:p w14:paraId="60DD8377" w14:textId="1BCA95E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15" w:type="pct"/>
            <w:tcBorders>
              <w:top w:val="single" w:sz="8" w:space="0" w:color="auto"/>
              <w:bottom w:val="nil"/>
              <w:right w:val="single" w:sz="8" w:space="0" w:color="auto"/>
            </w:tcBorders>
            <w:shd w:val="clear" w:color="auto" w:fill="FFFFFF" w:themeFill="background1"/>
            <w:noWrap/>
            <w:vAlign w:val="center"/>
            <w:hideMark/>
          </w:tcPr>
          <w:p w14:paraId="2D096730" w14:textId="66FBC42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37" w:type="pct"/>
            <w:tcBorders>
              <w:top w:val="single" w:sz="8" w:space="0" w:color="auto"/>
              <w:left w:val="single" w:sz="8" w:space="0" w:color="auto"/>
              <w:bottom w:val="nil"/>
            </w:tcBorders>
            <w:shd w:val="clear" w:color="auto" w:fill="FFFFFF" w:themeFill="background1"/>
            <w:noWrap/>
            <w:vAlign w:val="center"/>
            <w:hideMark/>
          </w:tcPr>
          <w:p w14:paraId="5CC8790C" w14:textId="453F081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11" w:type="pct"/>
            <w:tcBorders>
              <w:top w:val="single" w:sz="8" w:space="0" w:color="auto"/>
              <w:bottom w:val="nil"/>
              <w:right w:val="single" w:sz="8" w:space="0" w:color="auto"/>
            </w:tcBorders>
            <w:shd w:val="clear" w:color="auto" w:fill="FFFFFF" w:themeFill="background1"/>
            <w:noWrap/>
            <w:vAlign w:val="center"/>
            <w:hideMark/>
          </w:tcPr>
          <w:p w14:paraId="11D8AEAF" w14:textId="16BBF1D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77</w:t>
            </w:r>
          </w:p>
        </w:tc>
        <w:tc>
          <w:tcPr>
            <w:tcW w:w="198" w:type="pct"/>
            <w:tcBorders>
              <w:top w:val="single" w:sz="8" w:space="0" w:color="auto"/>
              <w:left w:val="single" w:sz="8" w:space="0" w:color="auto"/>
              <w:bottom w:val="nil"/>
            </w:tcBorders>
            <w:shd w:val="clear" w:color="auto" w:fill="FFFFFF" w:themeFill="background1"/>
            <w:noWrap/>
            <w:vAlign w:val="center"/>
            <w:hideMark/>
          </w:tcPr>
          <w:p w14:paraId="40B22393" w14:textId="65B27785"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12" w:type="pct"/>
            <w:tcBorders>
              <w:top w:val="single" w:sz="8" w:space="0" w:color="auto"/>
              <w:bottom w:val="nil"/>
              <w:right w:val="single" w:sz="18" w:space="0" w:color="auto"/>
            </w:tcBorders>
            <w:shd w:val="clear" w:color="auto" w:fill="FFFFFF" w:themeFill="background1"/>
            <w:noWrap/>
            <w:vAlign w:val="center"/>
            <w:hideMark/>
          </w:tcPr>
          <w:p w14:paraId="0D0B9A7E" w14:textId="3A6067C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86</w:t>
            </w:r>
          </w:p>
        </w:tc>
        <w:tc>
          <w:tcPr>
            <w:tcW w:w="423" w:type="pct"/>
            <w:gridSpan w:val="2"/>
            <w:tcBorders>
              <w:top w:val="nil"/>
              <w:left w:val="single" w:sz="18" w:space="0" w:color="auto"/>
            </w:tcBorders>
            <w:shd w:val="clear" w:color="auto" w:fill="auto"/>
            <w:noWrap/>
            <w:vAlign w:val="center"/>
            <w:hideMark/>
          </w:tcPr>
          <w:p w14:paraId="5BD74446" w14:textId="77777777" w:rsidR="00DE3112" w:rsidRPr="00191471" w:rsidRDefault="00DE3112" w:rsidP="009910F3">
            <w:pPr>
              <w:spacing w:line="240" w:lineRule="auto"/>
              <w:ind w:firstLine="0"/>
              <w:jc w:val="center"/>
              <w:rPr>
                <w:sz w:val="18"/>
                <w:szCs w:val="18"/>
                <w:lang w:val="en-US"/>
              </w:rPr>
            </w:pPr>
          </w:p>
        </w:tc>
        <w:tc>
          <w:tcPr>
            <w:tcW w:w="176" w:type="pct"/>
            <w:tcBorders>
              <w:top w:val="nil"/>
            </w:tcBorders>
            <w:shd w:val="clear" w:color="auto" w:fill="auto"/>
            <w:noWrap/>
            <w:vAlign w:val="center"/>
            <w:hideMark/>
          </w:tcPr>
          <w:p w14:paraId="6C630AE4" w14:textId="77777777" w:rsidR="00DE3112" w:rsidRPr="00191471" w:rsidRDefault="00DE3112" w:rsidP="009910F3">
            <w:pPr>
              <w:spacing w:line="240" w:lineRule="auto"/>
              <w:ind w:firstLine="0"/>
              <w:jc w:val="center"/>
              <w:rPr>
                <w:sz w:val="18"/>
                <w:szCs w:val="18"/>
                <w:lang w:val="en-US"/>
              </w:rPr>
            </w:pPr>
          </w:p>
        </w:tc>
        <w:tc>
          <w:tcPr>
            <w:tcW w:w="177" w:type="pct"/>
            <w:tcBorders>
              <w:top w:val="nil"/>
            </w:tcBorders>
            <w:shd w:val="clear" w:color="auto" w:fill="auto"/>
            <w:noWrap/>
            <w:vAlign w:val="center"/>
            <w:hideMark/>
          </w:tcPr>
          <w:p w14:paraId="2EA5C863" w14:textId="77777777" w:rsidR="00DE3112" w:rsidRPr="00191471" w:rsidRDefault="00DE3112" w:rsidP="009910F3">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290545AC" w14:textId="77777777" w:rsidR="00DE3112" w:rsidRPr="00191471" w:rsidRDefault="00DE3112" w:rsidP="009910F3">
            <w:pPr>
              <w:spacing w:line="240" w:lineRule="auto"/>
              <w:ind w:firstLine="0"/>
              <w:jc w:val="center"/>
              <w:rPr>
                <w:sz w:val="18"/>
                <w:szCs w:val="18"/>
                <w:lang w:val="en-US"/>
              </w:rPr>
            </w:pPr>
          </w:p>
        </w:tc>
        <w:tc>
          <w:tcPr>
            <w:tcW w:w="211" w:type="pct"/>
            <w:tcBorders>
              <w:top w:val="nil"/>
            </w:tcBorders>
            <w:shd w:val="clear" w:color="auto" w:fill="auto"/>
            <w:noWrap/>
            <w:vAlign w:val="center"/>
            <w:hideMark/>
          </w:tcPr>
          <w:p w14:paraId="4A4EAACE" w14:textId="77777777" w:rsidR="00DE3112" w:rsidRPr="00191471" w:rsidRDefault="00DE3112" w:rsidP="009910F3">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46FB7A13" w14:textId="77777777" w:rsidR="00DE3112" w:rsidRPr="00191471" w:rsidRDefault="00DE3112" w:rsidP="009910F3">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3887118E" w14:textId="77777777" w:rsidR="00DE3112" w:rsidRPr="00191471" w:rsidRDefault="00DE3112" w:rsidP="009910F3">
            <w:pPr>
              <w:spacing w:line="240" w:lineRule="auto"/>
              <w:ind w:firstLine="0"/>
              <w:jc w:val="center"/>
              <w:rPr>
                <w:sz w:val="18"/>
                <w:szCs w:val="18"/>
                <w:lang w:val="en-US"/>
              </w:rPr>
            </w:pPr>
          </w:p>
        </w:tc>
        <w:tc>
          <w:tcPr>
            <w:tcW w:w="208" w:type="pct"/>
            <w:tcBorders>
              <w:top w:val="nil"/>
              <w:bottom w:val="nil"/>
            </w:tcBorders>
            <w:shd w:val="clear" w:color="auto" w:fill="auto"/>
            <w:noWrap/>
            <w:vAlign w:val="center"/>
            <w:hideMark/>
          </w:tcPr>
          <w:p w14:paraId="30B94895" w14:textId="77777777" w:rsidR="00DE3112" w:rsidRPr="00191471" w:rsidRDefault="00DE3112" w:rsidP="009910F3">
            <w:pPr>
              <w:spacing w:line="240" w:lineRule="auto"/>
              <w:ind w:firstLine="0"/>
              <w:jc w:val="center"/>
              <w:rPr>
                <w:sz w:val="18"/>
                <w:szCs w:val="18"/>
                <w:lang w:val="en-US"/>
              </w:rPr>
            </w:pPr>
          </w:p>
        </w:tc>
      </w:tr>
      <w:tr w:rsidR="00BD2CC0" w:rsidRPr="00191471" w14:paraId="685493CD" w14:textId="77777777" w:rsidTr="00BD2CC0">
        <w:trPr>
          <w:trHeight w:val="300"/>
        </w:trPr>
        <w:tc>
          <w:tcPr>
            <w:tcW w:w="645" w:type="pct"/>
            <w:tcBorders>
              <w:left w:val="single" w:sz="18" w:space="0" w:color="auto"/>
              <w:bottom w:val="single" w:sz="18" w:space="0" w:color="auto"/>
              <w:right w:val="single" w:sz="8" w:space="0" w:color="auto"/>
            </w:tcBorders>
            <w:shd w:val="clear" w:color="auto" w:fill="FFFFFF" w:themeFill="background1"/>
            <w:noWrap/>
            <w:vAlign w:val="center"/>
            <w:hideMark/>
          </w:tcPr>
          <w:p w14:paraId="4DA77BEA"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Gaseous (%)</w:t>
            </w:r>
          </w:p>
        </w:tc>
        <w:tc>
          <w:tcPr>
            <w:tcW w:w="298" w:type="pct"/>
            <w:tcBorders>
              <w:top w:val="nil"/>
              <w:left w:val="single" w:sz="8" w:space="0" w:color="auto"/>
              <w:bottom w:val="single" w:sz="18" w:space="0" w:color="auto"/>
            </w:tcBorders>
            <w:shd w:val="clear" w:color="auto" w:fill="FFFFFF" w:themeFill="background1"/>
            <w:noWrap/>
            <w:vAlign w:val="center"/>
            <w:hideMark/>
          </w:tcPr>
          <w:p w14:paraId="2D49920E" w14:textId="292CACA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64" w:type="pct"/>
            <w:tcBorders>
              <w:top w:val="nil"/>
              <w:bottom w:val="single" w:sz="18" w:space="0" w:color="auto"/>
            </w:tcBorders>
            <w:shd w:val="clear" w:color="auto" w:fill="FFFFFF" w:themeFill="background1"/>
            <w:noWrap/>
            <w:vAlign w:val="center"/>
            <w:hideMark/>
          </w:tcPr>
          <w:p w14:paraId="7A74F8F3" w14:textId="3C11C34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65" w:type="pct"/>
            <w:tcBorders>
              <w:top w:val="nil"/>
              <w:bottom w:val="single" w:sz="18" w:space="0" w:color="auto"/>
              <w:right w:val="single" w:sz="8" w:space="0" w:color="auto"/>
            </w:tcBorders>
            <w:shd w:val="clear" w:color="auto" w:fill="FFFFFF" w:themeFill="background1"/>
            <w:noWrap/>
            <w:vAlign w:val="center"/>
            <w:hideMark/>
          </w:tcPr>
          <w:p w14:paraId="747F889F" w14:textId="55EAEC0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32" w:type="pct"/>
            <w:tcBorders>
              <w:top w:val="nil"/>
              <w:left w:val="single" w:sz="8" w:space="0" w:color="auto"/>
              <w:bottom w:val="single" w:sz="18" w:space="0" w:color="auto"/>
            </w:tcBorders>
            <w:shd w:val="clear" w:color="auto" w:fill="FFFFFF" w:themeFill="background1"/>
            <w:noWrap/>
            <w:vAlign w:val="center"/>
            <w:hideMark/>
          </w:tcPr>
          <w:p w14:paraId="5BA92FD3" w14:textId="527AB6B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32" w:type="pct"/>
            <w:tcBorders>
              <w:top w:val="nil"/>
              <w:bottom w:val="single" w:sz="18" w:space="0" w:color="auto"/>
            </w:tcBorders>
            <w:shd w:val="clear" w:color="auto" w:fill="FFFFFF" w:themeFill="background1"/>
            <w:noWrap/>
            <w:vAlign w:val="center"/>
            <w:hideMark/>
          </w:tcPr>
          <w:p w14:paraId="049C996F" w14:textId="30C5B03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32" w:type="pct"/>
            <w:tcBorders>
              <w:top w:val="nil"/>
              <w:bottom w:val="single" w:sz="18" w:space="0" w:color="auto"/>
            </w:tcBorders>
            <w:shd w:val="clear" w:color="auto" w:fill="FFFFFF" w:themeFill="background1"/>
            <w:noWrap/>
            <w:vAlign w:val="center"/>
            <w:hideMark/>
          </w:tcPr>
          <w:p w14:paraId="06B6DA65" w14:textId="34F9138C"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15" w:type="pct"/>
            <w:tcBorders>
              <w:top w:val="nil"/>
              <w:bottom w:val="single" w:sz="18" w:space="0" w:color="auto"/>
              <w:right w:val="single" w:sz="8" w:space="0" w:color="auto"/>
            </w:tcBorders>
            <w:shd w:val="clear" w:color="auto" w:fill="FFFFFF" w:themeFill="background1"/>
            <w:noWrap/>
            <w:vAlign w:val="center"/>
            <w:hideMark/>
          </w:tcPr>
          <w:p w14:paraId="2FE50878" w14:textId="2213842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37" w:type="pct"/>
            <w:tcBorders>
              <w:top w:val="nil"/>
              <w:left w:val="single" w:sz="8" w:space="0" w:color="auto"/>
              <w:bottom w:val="single" w:sz="18" w:space="0" w:color="auto"/>
            </w:tcBorders>
            <w:shd w:val="clear" w:color="auto" w:fill="FFFFFF" w:themeFill="background1"/>
            <w:noWrap/>
            <w:vAlign w:val="center"/>
            <w:hideMark/>
          </w:tcPr>
          <w:p w14:paraId="0082AAC8" w14:textId="32ACF45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11" w:type="pct"/>
            <w:tcBorders>
              <w:top w:val="nil"/>
              <w:bottom w:val="single" w:sz="18" w:space="0" w:color="auto"/>
              <w:right w:val="single" w:sz="8" w:space="0" w:color="auto"/>
            </w:tcBorders>
            <w:shd w:val="clear" w:color="auto" w:fill="FFFFFF" w:themeFill="background1"/>
            <w:noWrap/>
            <w:vAlign w:val="center"/>
            <w:hideMark/>
          </w:tcPr>
          <w:p w14:paraId="2FDE5D33" w14:textId="5892FC9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23</w:t>
            </w:r>
          </w:p>
        </w:tc>
        <w:tc>
          <w:tcPr>
            <w:tcW w:w="198" w:type="pct"/>
            <w:tcBorders>
              <w:top w:val="nil"/>
              <w:left w:val="single" w:sz="8" w:space="0" w:color="auto"/>
              <w:bottom w:val="single" w:sz="18" w:space="0" w:color="auto"/>
            </w:tcBorders>
            <w:shd w:val="clear" w:color="auto" w:fill="FFFFFF" w:themeFill="background1"/>
            <w:noWrap/>
            <w:vAlign w:val="center"/>
            <w:hideMark/>
          </w:tcPr>
          <w:p w14:paraId="00AA3D42" w14:textId="5FC006D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12" w:type="pct"/>
            <w:tcBorders>
              <w:top w:val="nil"/>
              <w:bottom w:val="single" w:sz="18" w:space="0" w:color="auto"/>
              <w:right w:val="single" w:sz="18" w:space="0" w:color="auto"/>
            </w:tcBorders>
            <w:shd w:val="clear" w:color="auto" w:fill="FFFFFF" w:themeFill="background1"/>
            <w:noWrap/>
            <w:vAlign w:val="center"/>
            <w:hideMark/>
          </w:tcPr>
          <w:p w14:paraId="1DFCAFC8" w14:textId="2E05D2B4"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14</w:t>
            </w:r>
          </w:p>
        </w:tc>
        <w:tc>
          <w:tcPr>
            <w:tcW w:w="423" w:type="pct"/>
            <w:gridSpan w:val="2"/>
            <w:tcBorders>
              <w:top w:val="nil"/>
              <w:left w:val="single" w:sz="18" w:space="0" w:color="auto"/>
            </w:tcBorders>
            <w:shd w:val="clear" w:color="auto" w:fill="auto"/>
            <w:noWrap/>
            <w:vAlign w:val="center"/>
            <w:hideMark/>
          </w:tcPr>
          <w:p w14:paraId="7DB64EC7" w14:textId="77777777" w:rsidR="00DE3112" w:rsidRPr="00191471" w:rsidRDefault="00DE3112" w:rsidP="009910F3">
            <w:pPr>
              <w:spacing w:line="240" w:lineRule="auto"/>
              <w:ind w:firstLine="0"/>
              <w:jc w:val="center"/>
              <w:rPr>
                <w:sz w:val="18"/>
                <w:szCs w:val="18"/>
                <w:lang w:val="en-US"/>
              </w:rPr>
            </w:pPr>
          </w:p>
        </w:tc>
        <w:tc>
          <w:tcPr>
            <w:tcW w:w="176" w:type="pct"/>
            <w:tcBorders>
              <w:top w:val="nil"/>
            </w:tcBorders>
            <w:shd w:val="clear" w:color="auto" w:fill="auto"/>
            <w:noWrap/>
            <w:vAlign w:val="center"/>
            <w:hideMark/>
          </w:tcPr>
          <w:p w14:paraId="55F924E6" w14:textId="77777777" w:rsidR="00DE3112" w:rsidRPr="00191471" w:rsidRDefault="00DE3112" w:rsidP="009910F3">
            <w:pPr>
              <w:spacing w:line="240" w:lineRule="auto"/>
              <w:ind w:firstLine="0"/>
              <w:jc w:val="center"/>
              <w:rPr>
                <w:sz w:val="18"/>
                <w:szCs w:val="18"/>
                <w:lang w:val="en-US"/>
              </w:rPr>
            </w:pPr>
          </w:p>
        </w:tc>
        <w:tc>
          <w:tcPr>
            <w:tcW w:w="177" w:type="pct"/>
            <w:tcBorders>
              <w:top w:val="nil"/>
            </w:tcBorders>
            <w:shd w:val="clear" w:color="auto" w:fill="auto"/>
            <w:noWrap/>
            <w:vAlign w:val="center"/>
            <w:hideMark/>
          </w:tcPr>
          <w:p w14:paraId="52097F05" w14:textId="77777777" w:rsidR="00DE3112" w:rsidRPr="00191471" w:rsidRDefault="00DE3112" w:rsidP="009910F3">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515AB922" w14:textId="77777777" w:rsidR="00DE3112" w:rsidRPr="00191471" w:rsidRDefault="00DE3112" w:rsidP="009910F3">
            <w:pPr>
              <w:spacing w:line="240" w:lineRule="auto"/>
              <w:ind w:firstLine="0"/>
              <w:jc w:val="center"/>
              <w:rPr>
                <w:sz w:val="18"/>
                <w:szCs w:val="18"/>
                <w:lang w:val="en-US"/>
              </w:rPr>
            </w:pPr>
          </w:p>
        </w:tc>
        <w:tc>
          <w:tcPr>
            <w:tcW w:w="211" w:type="pct"/>
            <w:tcBorders>
              <w:top w:val="nil"/>
            </w:tcBorders>
            <w:shd w:val="clear" w:color="auto" w:fill="auto"/>
            <w:noWrap/>
            <w:vAlign w:val="center"/>
            <w:hideMark/>
          </w:tcPr>
          <w:p w14:paraId="207D30C9" w14:textId="77777777" w:rsidR="00DE3112" w:rsidRPr="00191471" w:rsidRDefault="00DE3112" w:rsidP="009910F3">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7DC543EA" w14:textId="77777777" w:rsidR="00DE3112" w:rsidRPr="00191471" w:rsidRDefault="00DE3112" w:rsidP="009910F3">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13CB715B" w14:textId="77777777" w:rsidR="00DE3112" w:rsidRPr="00191471" w:rsidRDefault="00DE3112" w:rsidP="009910F3">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7EC86195" w14:textId="77777777" w:rsidR="00DE3112" w:rsidRPr="00191471" w:rsidRDefault="00DE3112" w:rsidP="009910F3">
            <w:pPr>
              <w:spacing w:line="240" w:lineRule="auto"/>
              <w:ind w:firstLine="0"/>
              <w:jc w:val="center"/>
              <w:rPr>
                <w:sz w:val="18"/>
                <w:szCs w:val="18"/>
                <w:lang w:val="en-US"/>
              </w:rPr>
            </w:pPr>
          </w:p>
        </w:tc>
      </w:tr>
    </w:tbl>
    <w:p w14:paraId="059D9BBA" w14:textId="363B2AB5" w:rsidR="0083482E" w:rsidRDefault="0083482E" w:rsidP="00D64F24">
      <w:pPr>
        <w:rPr>
          <w:lang w:val="en-US"/>
        </w:rPr>
      </w:pPr>
    </w:p>
    <w:p w14:paraId="16E23394" w14:textId="77777777" w:rsidR="0083482E" w:rsidRDefault="0083482E">
      <w:pPr>
        <w:spacing w:after="160"/>
        <w:ind w:firstLine="0"/>
        <w:rPr>
          <w:lang w:val="en-US"/>
        </w:rPr>
      </w:pPr>
      <w:r>
        <w:rPr>
          <w:lang w:val="en-US"/>
        </w:rPr>
        <w:br w:type="page"/>
      </w:r>
    </w:p>
    <w:p w14:paraId="5FFFE2B4" w14:textId="77777777" w:rsidR="0083482E" w:rsidRDefault="0083482E" w:rsidP="00D64F24">
      <w:pPr>
        <w:rPr>
          <w:lang w:val="en-US"/>
        </w:rPr>
        <w:sectPr w:rsidR="0083482E" w:rsidSect="0083482E">
          <w:pgSz w:w="16838" w:h="11906" w:orient="landscape"/>
          <w:pgMar w:top="1418" w:right="1418" w:bottom="1418" w:left="1418" w:header="709" w:footer="709" w:gutter="0"/>
          <w:lnNumType w:countBy="1" w:restart="continuous"/>
          <w:cols w:space="708"/>
          <w:docGrid w:linePitch="360"/>
        </w:sectPr>
      </w:pPr>
    </w:p>
    <w:p w14:paraId="1E193936" w14:textId="2FD228CB" w:rsidR="002839B5" w:rsidRDefault="002F3726" w:rsidP="00401EEE">
      <w:pPr>
        <w:pStyle w:val="Heading2"/>
      </w:pPr>
      <w:r>
        <w:lastRenderedPageBreak/>
        <w:t xml:space="preserve">Distribution of PAHs </w:t>
      </w:r>
      <w:r w:rsidR="00F36692">
        <w:t xml:space="preserve">in </w:t>
      </w:r>
      <w:r>
        <w:t>pyrolysis</w:t>
      </w:r>
      <w:r w:rsidR="00F36692">
        <w:t xml:space="preserve"> products</w:t>
      </w:r>
    </w:p>
    <w:p w14:paraId="201B1213" w14:textId="7EC51EB2" w:rsidR="00F36692" w:rsidRPr="00A7368E" w:rsidRDefault="00F36692" w:rsidP="00F36692">
      <w:pPr>
        <w:ind w:firstLine="0"/>
        <w:rPr>
          <w:lang w:val="en-US"/>
        </w:rPr>
      </w:pPr>
      <w:r>
        <w:rPr>
          <w:lang w:val="en-US"/>
        </w:rPr>
        <w:fldChar w:fldCharType="begin"/>
      </w:r>
      <w:r>
        <w:rPr>
          <w:lang w:val="en-US"/>
        </w:rPr>
        <w:instrText xml:space="preserve"> REF _Ref131687676 \h  \* MERGEFORMAT </w:instrText>
      </w:r>
      <w:r>
        <w:rPr>
          <w:lang w:val="en-US"/>
        </w:rPr>
      </w:r>
      <w:r>
        <w:rPr>
          <w:lang w:val="en-US"/>
        </w:rPr>
        <w:fldChar w:fldCharType="separate"/>
      </w:r>
      <w:r w:rsidRPr="00736205">
        <w:rPr>
          <w:lang w:val="en-US"/>
        </w:rPr>
        <w:t xml:space="preserve">Table </w:t>
      </w:r>
      <w:r>
        <w:rPr>
          <w:noProof/>
          <w:lang w:val="en-US"/>
        </w:rPr>
        <w:t>4</w:t>
      </w:r>
      <w:r>
        <w:rPr>
          <w:lang w:val="en-US"/>
        </w:rPr>
        <w:fldChar w:fldCharType="end"/>
      </w:r>
      <w:r>
        <w:rPr>
          <w:lang w:val="en-US"/>
        </w:rPr>
        <w:t xml:space="preserve"> shows how the produced PAHs is distributed between the different pyrolysis products for wood chips (CWC) and digested sewage sludge 1 (DSS-1) at different temperatures. </w:t>
      </w:r>
      <w:r w:rsidR="00A7368E">
        <w:rPr>
          <w:lang w:val="en-US"/>
        </w:rPr>
        <w:t xml:space="preserve">For CWC and DSS-1, &gt;99% of </w:t>
      </w:r>
      <w:r w:rsidR="00A7368E" w:rsidRPr="00A7368E">
        <w:rPr>
          <w:lang w:val="en-US"/>
        </w:rPr>
        <w:t>∑PAH-16</w:t>
      </w:r>
      <w:r w:rsidR="00A7368E">
        <w:rPr>
          <w:lang w:val="en-US"/>
        </w:rPr>
        <w:t xml:space="preserve"> end up in the pyrolysis oil and less than 0.06% is emitted as exhaust (gas and particles). </w:t>
      </w:r>
      <w:r w:rsidR="00120C71">
        <w:rPr>
          <w:lang w:val="en-US"/>
        </w:rPr>
        <w:t xml:space="preserve">Only </w:t>
      </w:r>
      <w:r w:rsidR="00A7368E">
        <w:rPr>
          <w:lang w:val="en-US"/>
        </w:rPr>
        <w:t xml:space="preserve">0.06-1.34 % end up in the biochar. </w:t>
      </w:r>
      <w:r w:rsidR="00120C71">
        <w:rPr>
          <w:lang w:val="en-US"/>
        </w:rPr>
        <w:t xml:space="preserve">This shows that the technical adjustments to the Biogreen pyrolysis units with a negative pressure inside the pyrolysis chamber continuously draw flue gases out of the chamber and condenses in the condensing units and ends up in the oil. </w:t>
      </w:r>
      <w:r w:rsidR="00A7368E">
        <w:rPr>
          <w:lang w:val="en-US"/>
        </w:rPr>
        <w:t xml:space="preserve">For all samples except DSS-1-700, </w:t>
      </w:r>
      <w:r w:rsidR="00A7368E" w:rsidRPr="00A7368E">
        <w:rPr>
          <w:lang w:val="en-US"/>
        </w:rPr>
        <w:t>∑PAH-16</w:t>
      </w:r>
      <w:r w:rsidR="00A7368E">
        <w:rPr>
          <w:lang w:val="en-US"/>
        </w:rPr>
        <w:t xml:space="preserve"> in biochar is below or equivalent to the EBC premium quality biochar criteria (&lt;4 mg kg</w:t>
      </w:r>
      <w:r w:rsidR="00A7368E">
        <w:rPr>
          <w:vertAlign w:val="superscript"/>
          <w:lang w:val="en-US"/>
        </w:rPr>
        <w:t>-1</w:t>
      </w:r>
      <w:r w:rsidR="00A7368E">
        <w:rPr>
          <w:lang w:val="en-US"/>
        </w:rPr>
        <w:t xml:space="preserve">) </w:t>
      </w:r>
      <w:sdt>
        <w:sdtPr>
          <w:rPr>
            <w:color w:val="000000"/>
            <w:lang w:val="en-US"/>
          </w:rPr>
          <w:tag w:val="MENDELEY_CITATION_v3_eyJjaXRhdGlvbklEIjoiTUVOREVMRVlfQ0lUQVRJT05fNWQwYWY0YTUtOTVlNC00MWVmLTg3ZDktNzQ1NDRhMmQ3OWJ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2073652860"/>
          <w:placeholder>
            <w:docPart w:val="DefaultPlaceholder_-1854013440"/>
          </w:placeholder>
        </w:sdtPr>
        <w:sdtEndPr/>
        <w:sdtContent>
          <w:r w:rsidR="007E4089" w:rsidRPr="007E4089">
            <w:rPr>
              <w:color w:val="000000"/>
              <w:lang w:val="en-US"/>
            </w:rPr>
            <w:t>(EBC, 2022)</w:t>
          </w:r>
        </w:sdtContent>
      </w:sdt>
      <w:r w:rsidR="00A7368E">
        <w:rPr>
          <w:color w:val="000000"/>
          <w:lang w:val="en-US"/>
        </w:rPr>
        <w:t>.</w:t>
      </w:r>
      <w:r w:rsidR="00120C71">
        <w:rPr>
          <w:color w:val="000000"/>
          <w:lang w:val="en-US"/>
        </w:rPr>
        <w:t xml:space="preserve"> </w:t>
      </w:r>
    </w:p>
    <w:p w14:paraId="07130FF6" w14:textId="7544072D" w:rsidR="00F36692" w:rsidRPr="00736205" w:rsidRDefault="00F36692" w:rsidP="00F36692">
      <w:pPr>
        <w:pStyle w:val="Caption"/>
        <w:keepNext/>
        <w:rPr>
          <w:lang w:val="en-US"/>
        </w:rPr>
      </w:pPr>
      <w:bookmarkStart w:id="8" w:name="_Ref131687676"/>
      <w:r w:rsidRPr="00736205">
        <w:rPr>
          <w:lang w:val="en-US"/>
        </w:rPr>
        <w:t xml:space="preserve">Table </w:t>
      </w:r>
      <w:r>
        <w:fldChar w:fldCharType="begin"/>
      </w:r>
      <w:r w:rsidRPr="00736205">
        <w:rPr>
          <w:lang w:val="en-US"/>
        </w:rPr>
        <w:instrText xml:space="preserve"> SEQ Table \* ARABIC </w:instrText>
      </w:r>
      <w:r>
        <w:fldChar w:fldCharType="separate"/>
      </w:r>
      <w:r>
        <w:rPr>
          <w:noProof/>
          <w:lang w:val="en-US"/>
        </w:rPr>
        <w:t>4</w:t>
      </w:r>
      <w:r>
        <w:fldChar w:fldCharType="end"/>
      </w:r>
      <w:bookmarkEnd w:id="8"/>
      <w:r w:rsidRPr="00736205">
        <w:rPr>
          <w:lang w:val="en-US"/>
        </w:rPr>
        <w:t xml:space="preserve"> Distribution of ∑PAH-16 </w:t>
      </w:r>
      <w:r>
        <w:rPr>
          <w:lang w:val="en-US"/>
        </w:rPr>
        <w:t>in biochar, pyrolysis oil, and exhaust (particles and gas) in total concentration (mg kg</w:t>
      </w:r>
      <w:r>
        <w:rPr>
          <w:vertAlign w:val="superscript"/>
          <w:lang w:val="en-US"/>
        </w:rPr>
        <w:t>-1</w:t>
      </w:r>
      <w:r>
        <w:rPr>
          <w:lang w:val="en-US"/>
        </w:rPr>
        <w:t>) and percent distribution. The distribution is normalized to the amount of feedstock used to produce the corresponding product fractions.</w:t>
      </w:r>
    </w:p>
    <w:tbl>
      <w:tblPr>
        <w:tblW w:w="5000" w:type="pct"/>
        <w:tblCellMar>
          <w:left w:w="70" w:type="dxa"/>
          <w:right w:w="70" w:type="dxa"/>
        </w:tblCellMar>
        <w:tblLook w:val="04A0" w:firstRow="1" w:lastRow="0" w:firstColumn="1" w:lastColumn="0" w:noHBand="0" w:noVBand="1"/>
      </w:tblPr>
      <w:tblGrid>
        <w:gridCol w:w="1204"/>
        <w:gridCol w:w="1449"/>
        <w:gridCol w:w="834"/>
        <w:gridCol w:w="530"/>
        <w:gridCol w:w="836"/>
        <w:gridCol w:w="604"/>
        <w:gridCol w:w="532"/>
        <w:gridCol w:w="731"/>
        <w:gridCol w:w="740"/>
        <w:gridCol w:w="920"/>
        <w:gridCol w:w="830"/>
      </w:tblGrid>
      <w:tr w:rsidR="00F36692" w:rsidRPr="00736205" w14:paraId="351140A8" w14:textId="77777777" w:rsidTr="001E6DF8">
        <w:trPr>
          <w:trHeight w:val="350"/>
        </w:trPr>
        <w:tc>
          <w:tcPr>
            <w:tcW w:w="654" w:type="pct"/>
            <w:tcBorders>
              <w:top w:val="nil"/>
              <w:left w:val="nil"/>
              <w:bottom w:val="nil"/>
              <w:right w:val="nil"/>
            </w:tcBorders>
            <w:shd w:val="clear" w:color="auto" w:fill="auto"/>
            <w:noWrap/>
            <w:vAlign w:val="bottom"/>
            <w:hideMark/>
          </w:tcPr>
          <w:p w14:paraId="015800B3" w14:textId="77777777" w:rsidR="00F36692" w:rsidRPr="00736205" w:rsidRDefault="00F36692" w:rsidP="001E6DF8">
            <w:pPr>
              <w:spacing w:line="240" w:lineRule="auto"/>
              <w:ind w:firstLine="0"/>
              <w:rPr>
                <w:rFonts w:asciiTheme="majorHAnsi" w:hAnsiTheme="majorHAnsi" w:cstheme="majorHAnsi"/>
                <w:b/>
                <w:bCs/>
                <w:sz w:val="18"/>
                <w:szCs w:val="18"/>
                <w:lang w:val="en-US"/>
              </w:rPr>
            </w:pPr>
          </w:p>
        </w:tc>
        <w:tc>
          <w:tcPr>
            <w:tcW w:w="787" w:type="pct"/>
            <w:tcBorders>
              <w:top w:val="nil"/>
              <w:left w:val="nil"/>
              <w:bottom w:val="nil"/>
              <w:right w:val="nil"/>
            </w:tcBorders>
            <w:shd w:val="clear" w:color="auto" w:fill="auto"/>
            <w:noWrap/>
            <w:vAlign w:val="bottom"/>
            <w:hideMark/>
          </w:tcPr>
          <w:p w14:paraId="281F8C93" w14:textId="77777777" w:rsidR="00F36692" w:rsidRPr="00736205" w:rsidRDefault="00F36692" w:rsidP="001E6DF8">
            <w:pPr>
              <w:spacing w:line="240" w:lineRule="auto"/>
              <w:ind w:firstLine="0"/>
              <w:rPr>
                <w:rFonts w:asciiTheme="majorHAnsi" w:hAnsiTheme="majorHAnsi" w:cstheme="majorHAnsi"/>
                <w:b/>
                <w:bCs/>
                <w:sz w:val="18"/>
                <w:szCs w:val="18"/>
                <w:lang w:val="en-US"/>
              </w:rPr>
            </w:pPr>
          </w:p>
        </w:tc>
        <w:tc>
          <w:tcPr>
            <w:tcW w:w="1811"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D60AA0F"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∑PAH-16 concentration (mg kg</w:t>
            </w:r>
            <w:r w:rsidRPr="00736205">
              <w:rPr>
                <w:rFonts w:asciiTheme="majorHAnsi" w:hAnsiTheme="majorHAnsi" w:cstheme="majorHAnsi"/>
                <w:b/>
                <w:bCs/>
                <w:color w:val="000000"/>
                <w:sz w:val="18"/>
                <w:szCs w:val="18"/>
                <w:vertAlign w:val="superscript"/>
                <w:lang w:val="en-US"/>
              </w:rPr>
              <w:t>-1</w:t>
            </w:r>
            <w:r w:rsidRPr="00736205">
              <w:rPr>
                <w:rFonts w:asciiTheme="majorHAnsi" w:hAnsiTheme="majorHAnsi" w:cstheme="majorHAnsi"/>
                <w:b/>
                <w:bCs/>
                <w:color w:val="000000"/>
                <w:sz w:val="18"/>
                <w:szCs w:val="18"/>
                <w:lang w:val="en-US"/>
              </w:rPr>
              <w:t>)</w:t>
            </w:r>
          </w:p>
        </w:tc>
        <w:tc>
          <w:tcPr>
            <w:tcW w:w="1749"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6068F1CD"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 ∑PAH-16 distribution</w:t>
            </w:r>
          </w:p>
        </w:tc>
      </w:tr>
      <w:tr w:rsidR="00F36692" w:rsidRPr="00736205" w14:paraId="02AF15B5" w14:textId="77777777" w:rsidTr="001E6DF8">
        <w:trPr>
          <w:trHeight w:val="315"/>
        </w:trPr>
        <w:tc>
          <w:tcPr>
            <w:tcW w:w="654" w:type="pct"/>
            <w:tcBorders>
              <w:top w:val="single" w:sz="8" w:space="0" w:color="auto"/>
              <w:left w:val="single" w:sz="8" w:space="0" w:color="auto"/>
              <w:bottom w:val="nil"/>
              <w:right w:val="single" w:sz="8" w:space="0" w:color="auto"/>
            </w:tcBorders>
            <w:shd w:val="clear" w:color="auto" w:fill="auto"/>
            <w:noWrap/>
            <w:vAlign w:val="center"/>
            <w:hideMark/>
          </w:tcPr>
          <w:p w14:paraId="71EA382E"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Pr>
                <w:rFonts w:asciiTheme="majorHAnsi" w:hAnsiTheme="majorHAnsi" w:cstheme="majorHAnsi"/>
                <w:b/>
                <w:bCs/>
                <w:color w:val="000000"/>
                <w:sz w:val="18"/>
                <w:szCs w:val="18"/>
                <w:lang w:val="en-US"/>
              </w:rPr>
              <w:t>Feedstock</w:t>
            </w:r>
          </w:p>
        </w:tc>
        <w:tc>
          <w:tcPr>
            <w:tcW w:w="787" w:type="pct"/>
            <w:tcBorders>
              <w:top w:val="single" w:sz="8" w:space="0" w:color="auto"/>
              <w:left w:val="nil"/>
              <w:bottom w:val="nil"/>
              <w:right w:val="single" w:sz="8" w:space="0" w:color="auto"/>
            </w:tcBorders>
            <w:shd w:val="clear" w:color="auto" w:fill="auto"/>
            <w:noWrap/>
            <w:vAlign w:val="center"/>
            <w:hideMark/>
          </w:tcPr>
          <w:p w14:paraId="417A4408"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Pyr. temp. (˚C)</w:t>
            </w:r>
          </w:p>
        </w:tc>
        <w:tc>
          <w:tcPr>
            <w:tcW w:w="453" w:type="pct"/>
            <w:tcBorders>
              <w:top w:val="nil"/>
              <w:left w:val="nil"/>
              <w:bottom w:val="single" w:sz="8" w:space="0" w:color="auto"/>
              <w:right w:val="nil"/>
            </w:tcBorders>
            <w:shd w:val="clear" w:color="auto" w:fill="auto"/>
            <w:noWrap/>
            <w:vAlign w:val="center"/>
            <w:hideMark/>
          </w:tcPr>
          <w:p w14:paraId="0A90C28C"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biochar</w:t>
            </w:r>
          </w:p>
        </w:tc>
        <w:tc>
          <w:tcPr>
            <w:tcW w:w="288" w:type="pct"/>
            <w:tcBorders>
              <w:top w:val="nil"/>
              <w:left w:val="nil"/>
              <w:bottom w:val="single" w:sz="8" w:space="0" w:color="auto"/>
              <w:right w:val="nil"/>
            </w:tcBorders>
            <w:shd w:val="clear" w:color="auto" w:fill="auto"/>
            <w:noWrap/>
            <w:vAlign w:val="center"/>
            <w:hideMark/>
          </w:tcPr>
          <w:p w14:paraId="6E842DF4"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oil</w:t>
            </w:r>
          </w:p>
        </w:tc>
        <w:tc>
          <w:tcPr>
            <w:tcW w:w="454" w:type="pct"/>
            <w:tcBorders>
              <w:top w:val="nil"/>
              <w:left w:val="nil"/>
              <w:bottom w:val="single" w:sz="8" w:space="0" w:color="auto"/>
              <w:right w:val="nil"/>
            </w:tcBorders>
            <w:shd w:val="clear" w:color="auto" w:fill="auto"/>
            <w:noWrap/>
            <w:vAlign w:val="center"/>
            <w:hideMark/>
          </w:tcPr>
          <w:p w14:paraId="5FE3D337"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particle</w:t>
            </w:r>
          </w:p>
        </w:tc>
        <w:tc>
          <w:tcPr>
            <w:tcW w:w="328" w:type="pct"/>
            <w:tcBorders>
              <w:top w:val="nil"/>
              <w:left w:val="nil"/>
              <w:bottom w:val="single" w:sz="8" w:space="0" w:color="auto"/>
              <w:right w:val="nil"/>
            </w:tcBorders>
            <w:shd w:val="clear" w:color="auto" w:fill="auto"/>
            <w:noWrap/>
            <w:vAlign w:val="center"/>
            <w:hideMark/>
          </w:tcPr>
          <w:p w14:paraId="422ABC46"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gas</w:t>
            </w:r>
          </w:p>
        </w:tc>
        <w:tc>
          <w:tcPr>
            <w:tcW w:w="289" w:type="pct"/>
            <w:tcBorders>
              <w:top w:val="nil"/>
              <w:left w:val="nil"/>
              <w:bottom w:val="single" w:sz="8" w:space="0" w:color="auto"/>
              <w:right w:val="single" w:sz="8" w:space="0" w:color="auto"/>
            </w:tcBorders>
            <w:shd w:val="clear" w:color="auto" w:fill="auto"/>
            <w:noWrap/>
            <w:vAlign w:val="center"/>
            <w:hideMark/>
          </w:tcPr>
          <w:p w14:paraId="7C85945B"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total</w:t>
            </w:r>
          </w:p>
        </w:tc>
        <w:tc>
          <w:tcPr>
            <w:tcW w:w="397" w:type="pct"/>
            <w:tcBorders>
              <w:top w:val="nil"/>
              <w:left w:val="nil"/>
              <w:bottom w:val="single" w:sz="8" w:space="0" w:color="auto"/>
              <w:right w:val="nil"/>
            </w:tcBorders>
            <w:shd w:val="clear" w:color="auto" w:fill="auto"/>
            <w:noWrap/>
            <w:vAlign w:val="center"/>
            <w:hideMark/>
          </w:tcPr>
          <w:p w14:paraId="2B99597A"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biochar</w:t>
            </w:r>
          </w:p>
        </w:tc>
        <w:tc>
          <w:tcPr>
            <w:tcW w:w="402" w:type="pct"/>
            <w:tcBorders>
              <w:top w:val="nil"/>
              <w:left w:val="nil"/>
              <w:bottom w:val="single" w:sz="8" w:space="0" w:color="auto"/>
              <w:right w:val="nil"/>
            </w:tcBorders>
            <w:shd w:val="clear" w:color="auto" w:fill="auto"/>
            <w:noWrap/>
            <w:vAlign w:val="center"/>
            <w:hideMark/>
          </w:tcPr>
          <w:p w14:paraId="350A5EE2"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oil</w:t>
            </w:r>
          </w:p>
        </w:tc>
        <w:tc>
          <w:tcPr>
            <w:tcW w:w="499" w:type="pct"/>
            <w:tcBorders>
              <w:top w:val="nil"/>
              <w:left w:val="nil"/>
              <w:bottom w:val="single" w:sz="8" w:space="0" w:color="auto"/>
              <w:right w:val="nil"/>
            </w:tcBorders>
            <w:shd w:val="clear" w:color="auto" w:fill="auto"/>
            <w:noWrap/>
            <w:vAlign w:val="center"/>
            <w:hideMark/>
          </w:tcPr>
          <w:p w14:paraId="69E6DB77"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particle</w:t>
            </w:r>
          </w:p>
        </w:tc>
        <w:tc>
          <w:tcPr>
            <w:tcW w:w="451" w:type="pct"/>
            <w:tcBorders>
              <w:top w:val="nil"/>
              <w:left w:val="nil"/>
              <w:bottom w:val="single" w:sz="8" w:space="0" w:color="auto"/>
              <w:right w:val="single" w:sz="8" w:space="0" w:color="auto"/>
            </w:tcBorders>
            <w:shd w:val="clear" w:color="auto" w:fill="auto"/>
            <w:noWrap/>
            <w:vAlign w:val="center"/>
            <w:hideMark/>
          </w:tcPr>
          <w:p w14:paraId="587E5C7D"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gas</w:t>
            </w:r>
          </w:p>
        </w:tc>
      </w:tr>
      <w:tr w:rsidR="00F36692" w:rsidRPr="00736205" w14:paraId="0264EE3A" w14:textId="77777777" w:rsidTr="001E6DF8">
        <w:trPr>
          <w:trHeight w:val="300"/>
        </w:trPr>
        <w:tc>
          <w:tcPr>
            <w:tcW w:w="654"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1E0829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CWC</w:t>
            </w:r>
          </w:p>
        </w:tc>
        <w:tc>
          <w:tcPr>
            <w:tcW w:w="787" w:type="pct"/>
            <w:tcBorders>
              <w:top w:val="single" w:sz="8" w:space="0" w:color="auto"/>
              <w:left w:val="nil"/>
              <w:bottom w:val="nil"/>
              <w:right w:val="single" w:sz="8" w:space="0" w:color="auto"/>
            </w:tcBorders>
            <w:shd w:val="clear" w:color="auto" w:fill="auto"/>
            <w:noWrap/>
            <w:vAlign w:val="center"/>
            <w:hideMark/>
          </w:tcPr>
          <w:p w14:paraId="6CFFB446"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500</w:t>
            </w:r>
          </w:p>
        </w:tc>
        <w:tc>
          <w:tcPr>
            <w:tcW w:w="453" w:type="pct"/>
            <w:tcBorders>
              <w:top w:val="nil"/>
              <w:left w:val="nil"/>
              <w:bottom w:val="nil"/>
              <w:right w:val="nil"/>
            </w:tcBorders>
            <w:shd w:val="clear" w:color="auto" w:fill="auto"/>
            <w:noWrap/>
            <w:vAlign w:val="center"/>
            <w:hideMark/>
          </w:tcPr>
          <w:p w14:paraId="28B3E036"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w:t>
            </w:r>
          </w:p>
        </w:tc>
        <w:tc>
          <w:tcPr>
            <w:tcW w:w="288" w:type="pct"/>
            <w:tcBorders>
              <w:top w:val="nil"/>
              <w:left w:val="nil"/>
              <w:bottom w:val="nil"/>
              <w:right w:val="nil"/>
            </w:tcBorders>
            <w:shd w:val="clear" w:color="auto" w:fill="auto"/>
            <w:noWrap/>
            <w:vAlign w:val="center"/>
            <w:hideMark/>
          </w:tcPr>
          <w:p w14:paraId="17AD37F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2381</w:t>
            </w:r>
          </w:p>
        </w:tc>
        <w:tc>
          <w:tcPr>
            <w:tcW w:w="454" w:type="pct"/>
            <w:tcBorders>
              <w:top w:val="nil"/>
              <w:left w:val="nil"/>
              <w:bottom w:val="nil"/>
              <w:right w:val="nil"/>
            </w:tcBorders>
            <w:shd w:val="clear" w:color="auto" w:fill="auto"/>
            <w:noWrap/>
            <w:vAlign w:val="center"/>
            <w:hideMark/>
          </w:tcPr>
          <w:p w14:paraId="6B497325"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0.0002</w:t>
            </w:r>
          </w:p>
        </w:tc>
        <w:tc>
          <w:tcPr>
            <w:tcW w:w="328" w:type="pct"/>
            <w:tcBorders>
              <w:top w:val="nil"/>
              <w:left w:val="nil"/>
              <w:bottom w:val="nil"/>
              <w:right w:val="nil"/>
            </w:tcBorders>
            <w:shd w:val="clear" w:color="auto" w:fill="auto"/>
            <w:noWrap/>
            <w:vAlign w:val="center"/>
            <w:hideMark/>
          </w:tcPr>
          <w:p w14:paraId="7BD33FE9"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0.003</w:t>
            </w:r>
          </w:p>
        </w:tc>
        <w:tc>
          <w:tcPr>
            <w:tcW w:w="289" w:type="pct"/>
            <w:tcBorders>
              <w:top w:val="nil"/>
              <w:left w:val="nil"/>
              <w:bottom w:val="nil"/>
              <w:right w:val="single" w:sz="8" w:space="0" w:color="auto"/>
            </w:tcBorders>
            <w:shd w:val="clear" w:color="auto" w:fill="auto"/>
            <w:noWrap/>
            <w:vAlign w:val="center"/>
            <w:hideMark/>
          </w:tcPr>
          <w:p w14:paraId="7247B604"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2383</w:t>
            </w:r>
          </w:p>
        </w:tc>
        <w:tc>
          <w:tcPr>
            <w:tcW w:w="397" w:type="pct"/>
            <w:tcBorders>
              <w:top w:val="nil"/>
              <w:left w:val="nil"/>
              <w:bottom w:val="nil"/>
              <w:right w:val="nil"/>
            </w:tcBorders>
            <w:shd w:val="clear" w:color="auto" w:fill="auto"/>
            <w:noWrap/>
            <w:vAlign w:val="center"/>
            <w:hideMark/>
          </w:tcPr>
          <w:p w14:paraId="441EB8B4"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0.07 %</w:t>
            </w:r>
          </w:p>
        </w:tc>
        <w:tc>
          <w:tcPr>
            <w:tcW w:w="402" w:type="pct"/>
            <w:tcBorders>
              <w:top w:val="nil"/>
              <w:left w:val="nil"/>
              <w:bottom w:val="nil"/>
              <w:right w:val="nil"/>
            </w:tcBorders>
            <w:shd w:val="clear" w:color="auto" w:fill="auto"/>
            <w:noWrap/>
            <w:vAlign w:val="center"/>
            <w:hideMark/>
          </w:tcPr>
          <w:p w14:paraId="69A0B7F7"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99.93 %</w:t>
            </w:r>
          </w:p>
        </w:tc>
        <w:tc>
          <w:tcPr>
            <w:tcW w:w="499" w:type="pct"/>
            <w:tcBorders>
              <w:top w:val="nil"/>
              <w:left w:val="nil"/>
              <w:bottom w:val="nil"/>
              <w:right w:val="nil"/>
            </w:tcBorders>
            <w:shd w:val="clear" w:color="auto" w:fill="auto"/>
            <w:noWrap/>
            <w:vAlign w:val="center"/>
            <w:hideMark/>
          </w:tcPr>
          <w:p w14:paraId="55BE721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0.00001 %</w:t>
            </w:r>
          </w:p>
        </w:tc>
        <w:tc>
          <w:tcPr>
            <w:tcW w:w="451" w:type="pct"/>
            <w:tcBorders>
              <w:top w:val="nil"/>
              <w:left w:val="nil"/>
              <w:bottom w:val="nil"/>
              <w:right w:val="single" w:sz="8" w:space="0" w:color="auto"/>
            </w:tcBorders>
            <w:shd w:val="clear" w:color="auto" w:fill="auto"/>
            <w:noWrap/>
            <w:vAlign w:val="center"/>
            <w:hideMark/>
          </w:tcPr>
          <w:p w14:paraId="062CDE9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0.0001 %</w:t>
            </w:r>
          </w:p>
        </w:tc>
      </w:tr>
      <w:tr w:rsidR="00F36692" w:rsidRPr="00736205" w14:paraId="0B176C59" w14:textId="77777777" w:rsidTr="001E6DF8">
        <w:trPr>
          <w:trHeight w:val="300"/>
        </w:trPr>
        <w:tc>
          <w:tcPr>
            <w:tcW w:w="654" w:type="pct"/>
            <w:vMerge/>
            <w:tcBorders>
              <w:top w:val="single" w:sz="8" w:space="0" w:color="auto"/>
              <w:left w:val="single" w:sz="8" w:space="0" w:color="auto"/>
              <w:bottom w:val="single" w:sz="8" w:space="0" w:color="000000"/>
              <w:right w:val="single" w:sz="8" w:space="0" w:color="auto"/>
            </w:tcBorders>
            <w:vAlign w:val="center"/>
            <w:hideMark/>
          </w:tcPr>
          <w:p w14:paraId="7513DB9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p>
        </w:tc>
        <w:tc>
          <w:tcPr>
            <w:tcW w:w="787" w:type="pct"/>
            <w:tcBorders>
              <w:top w:val="nil"/>
              <w:left w:val="nil"/>
              <w:bottom w:val="nil"/>
              <w:right w:val="single" w:sz="8" w:space="0" w:color="auto"/>
            </w:tcBorders>
            <w:shd w:val="clear" w:color="auto" w:fill="auto"/>
            <w:noWrap/>
            <w:vAlign w:val="center"/>
            <w:hideMark/>
          </w:tcPr>
          <w:p w14:paraId="15DC3CBA"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600</w:t>
            </w:r>
          </w:p>
        </w:tc>
        <w:tc>
          <w:tcPr>
            <w:tcW w:w="453" w:type="pct"/>
            <w:tcBorders>
              <w:top w:val="nil"/>
              <w:left w:val="nil"/>
              <w:bottom w:val="nil"/>
              <w:right w:val="nil"/>
            </w:tcBorders>
            <w:shd w:val="clear" w:color="auto" w:fill="auto"/>
            <w:noWrap/>
            <w:vAlign w:val="center"/>
            <w:hideMark/>
          </w:tcPr>
          <w:p w14:paraId="3D12625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3</w:t>
            </w:r>
          </w:p>
        </w:tc>
        <w:tc>
          <w:tcPr>
            <w:tcW w:w="288" w:type="pct"/>
            <w:tcBorders>
              <w:top w:val="nil"/>
              <w:left w:val="nil"/>
              <w:bottom w:val="nil"/>
              <w:right w:val="nil"/>
            </w:tcBorders>
            <w:shd w:val="clear" w:color="auto" w:fill="auto"/>
            <w:noWrap/>
            <w:vAlign w:val="center"/>
            <w:hideMark/>
          </w:tcPr>
          <w:p w14:paraId="05539B5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2627</w:t>
            </w:r>
          </w:p>
        </w:tc>
        <w:tc>
          <w:tcPr>
            <w:tcW w:w="454" w:type="pct"/>
            <w:tcBorders>
              <w:top w:val="nil"/>
              <w:left w:val="nil"/>
              <w:bottom w:val="nil"/>
              <w:right w:val="nil"/>
            </w:tcBorders>
            <w:shd w:val="clear" w:color="auto" w:fill="auto"/>
            <w:noWrap/>
            <w:vAlign w:val="center"/>
            <w:hideMark/>
          </w:tcPr>
          <w:p w14:paraId="737B3C7B"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0.0003</w:t>
            </w:r>
          </w:p>
        </w:tc>
        <w:tc>
          <w:tcPr>
            <w:tcW w:w="328" w:type="pct"/>
            <w:tcBorders>
              <w:top w:val="nil"/>
              <w:left w:val="nil"/>
              <w:bottom w:val="nil"/>
              <w:right w:val="nil"/>
            </w:tcBorders>
            <w:shd w:val="clear" w:color="auto" w:fill="auto"/>
            <w:noWrap/>
            <w:vAlign w:val="center"/>
            <w:hideMark/>
          </w:tcPr>
          <w:p w14:paraId="59CC3FC1"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0.002</w:t>
            </w:r>
          </w:p>
        </w:tc>
        <w:tc>
          <w:tcPr>
            <w:tcW w:w="289" w:type="pct"/>
            <w:tcBorders>
              <w:top w:val="nil"/>
              <w:left w:val="nil"/>
              <w:bottom w:val="nil"/>
              <w:right w:val="single" w:sz="8" w:space="0" w:color="auto"/>
            </w:tcBorders>
            <w:shd w:val="clear" w:color="auto" w:fill="auto"/>
            <w:noWrap/>
            <w:vAlign w:val="center"/>
            <w:hideMark/>
          </w:tcPr>
          <w:p w14:paraId="0BB6BFB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2630</w:t>
            </w:r>
          </w:p>
        </w:tc>
        <w:tc>
          <w:tcPr>
            <w:tcW w:w="397" w:type="pct"/>
            <w:tcBorders>
              <w:top w:val="nil"/>
              <w:left w:val="nil"/>
              <w:bottom w:val="nil"/>
              <w:right w:val="nil"/>
            </w:tcBorders>
            <w:shd w:val="clear" w:color="auto" w:fill="auto"/>
            <w:noWrap/>
            <w:vAlign w:val="center"/>
            <w:hideMark/>
          </w:tcPr>
          <w:p w14:paraId="7CE642F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0.13 %</w:t>
            </w:r>
          </w:p>
        </w:tc>
        <w:tc>
          <w:tcPr>
            <w:tcW w:w="402" w:type="pct"/>
            <w:tcBorders>
              <w:top w:val="nil"/>
              <w:left w:val="nil"/>
              <w:bottom w:val="nil"/>
              <w:right w:val="nil"/>
            </w:tcBorders>
            <w:shd w:val="clear" w:color="auto" w:fill="auto"/>
            <w:noWrap/>
            <w:vAlign w:val="center"/>
            <w:hideMark/>
          </w:tcPr>
          <w:p w14:paraId="28A51737"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99.87 %</w:t>
            </w:r>
          </w:p>
        </w:tc>
        <w:tc>
          <w:tcPr>
            <w:tcW w:w="499" w:type="pct"/>
            <w:tcBorders>
              <w:top w:val="nil"/>
              <w:left w:val="nil"/>
              <w:bottom w:val="nil"/>
              <w:right w:val="nil"/>
            </w:tcBorders>
            <w:shd w:val="clear" w:color="auto" w:fill="auto"/>
            <w:noWrap/>
            <w:vAlign w:val="center"/>
            <w:hideMark/>
          </w:tcPr>
          <w:p w14:paraId="60786614"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0.00001 %</w:t>
            </w:r>
          </w:p>
        </w:tc>
        <w:tc>
          <w:tcPr>
            <w:tcW w:w="451" w:type="pct"/>
            <w:tcBorders>
              <w:top w:val="nil"/>
              <w:left w:val="nil"/>
              <w:bottom w:val="nil"/>
              <w:right w:val="single" w:sz="8" w:space="0" w:color="auto"/>
            </w:tcBorders>
            <w:shd w:val="clear" w:color="auto" w:fill="auto"/>
            <w:noWrap/>
            <w:vAlign w:val="center"/>
            <w:hideMark/>
          </w:tcPr>
          <w:p w14:paraId="05F109F3"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0.0001 %</w:t>
            </w:r>
          </w:p>
        </w:tc>
      </w:tr>
      <w:tr w:rsidR="00F36692" w:rsidRPr="00736205" w14:paraId="786A204B" w14:textId="77777777" w:rsidTr="001E6DF8">
        <w:trPr>
          <w:trHeight w:val="315"/>
        </w:trPr>
        <w:tc>
          <w:tcPr>
            <w:tcW w:w="654" w:type="pct"/>
            <w:vMerge/>
            <w:tcBorders>
              <w:top w:val="single" w:sz="8" w:space="0" w:color="auto"/>
              <w:left w:val="single" w:sz="8" w:space="0" w:color="auto"/>
              <w:bottom w:val="single" w:sz="8" w:space="0" w:color="000000"/>
              <w:right w:val="single" w:sz="8" w:space="0" w:color="auto"/>
            </w:tcBorders>
            <w:vAlign w:val="center"/>
            <w:hideMark/>
          </w:tcPr>
          <w:p w14:paraId="1CA4473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p>
        </w:tc>
        <w:tc>
          <w:tcPr>
            <w:tcW w:w="787" w:type="pct"/>
            <w:tcBorders>
              <w:top w:val="nil"/>
              <w:left w:val="nil"/>
              <w:bottom w:val="single" w:sz="8" w:space="0" w:color="auto"/>
              <w:right w:val="single" w:sz="8" w:space="0" w:color="auto"/>
            </w:tcBorders>
            <w:shd w:val="clear" w:color="auto" w:fill="auto"/>
            <w:noWrap/>
            <w:vAlign w:val="center"/>
            <w:hideMark/>
          </w:tcPr>
          <w:p w14:paraId="654D8569"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700</w:t>
            </w:r>
          </w:p>
        </w:tc>
        <w:tc>
          <w:tcPr>
            <w:tcW w:w="453" w:type="pct"/>
            <w:tcBorders>
              <w:top w:val="nil"/>
              <w:left w:val="nil"/>
              <w:bottom w:val="nil"/>
              <w:right w:val="nil"/>
            </w:tcBorders>
            <w:shd w:val="clear" w:color="auto" w:fill="auto"/>
            <w:noWrap/>
            <w:vAlign w:val="center"/>
            <w:hideMark/>
          </w:tcPr>
          <w:p w14:paraId="6A040B52"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1</w:t>
            </w:r>
          </w:p>
        </w:tc>
        <w:tc>
          <w:tcPr>
            <w:tcW w:w="288" w:type="pct"/>
            <w:tcBorders>
              <w:top w:val="nil"/>
              <w:left w:val="nil"/>
              <w:bottom w:val="nil"/>
              <w:right w:val="nil"/>
            </w:tcBorders>
            <w:shd w:val="clear" w:color="auto" w:fill="auto"/>
            <w:noWrap/>
            <w:vAlign w:val="center"/>
            <w:hideMark/>
          </w:tcPr>
          <w:p w14:paraId="3833447F"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2204</w:t>
            </w:r>
          </w:p>
        </w:tc>
        <w:tc>
          <w:tcPr>
            <w:tcW w:w="454" w:type="pct"/>
            <w:tcBorders>
              <w:top w:val="nil"/>
              <w:left w:val="nil"/>
              <w:bottom w:val="nil"/>
              <w:right w:val="nil"/>
            </w:tcBorders>
            <w:shd w:val="clear" w:color="auto" w:fill="auto"/>
            <w:noWrap/>
            <w:vAlign w:val="center"/>
            <w:hideMark/>
          </w:tcPr>
          <w:p w14:paraId="21D791B5"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0.4</w:t>
            </w:r>
          </w:p>
        </w:tc>
        <w:tc>
          <w:tcPr>
            <w:tcW w:w="328" w:type="pct"/>
            <w:tcBorders>
              <w:top w:val="nil"/>
              <w:left w:val="nil"/>
              <w:bottom w:val="nil"/>
              <w:right w:val="nil"/>
            </w:tcBorders>
            <w:shd w:val="clear" w:color="auto" w:fill="auto"/>
            <w:noWrap/>
            <w:vAlign w:val="center"/>
            <w:hideMark/>
          </w:tcPr>
          <w:p w14:paraId="65FD90D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0.9</w:t>
            </w:r>
          </w:p>
        </w:tc>
        <w:tc>
          <w:tcPr>
            <w:tcW w:w="289" w:type="pct"/>
            <w:tcBorders>
              <w:top w:val="nil"/>
              <w:left w:val="nil"/>
              <w:bottom w:val="nil"/>
              <w:right w:val="single" w:sz="8" w:space="0" w:color="auto"/>
            </w:tcBorders>
            <w:shd w:val="clear" w:color="auto" w:fill="auto"/>
            <w:noWrap/>
            <w:vAlign w:val="center"/>
            <w:hideMark/>
          </w:tcPr>
          <w:p w14:paraId="4BAB4C65"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2206</w:t>
            </w:r>
          </w:p>
        </w:tc>
        <w:tc>
          <w:tcPr>
            <w:tcW w:w="397" w:type="pct"/>
            <w:tcBorders>
              <w:top w:val="nil"/>
              <w:left w:val="nil"/>
              <w:bottom w:val="nil"/>
              <w:right w:val="nil"/>
            </w:tcBorders>
            <w:shd w:val="clear" w:color="auto" w:fill="auto"/>
            <w:noWrap/>
            <w:vAlign w:val="center"/>
            <w:hideMark/>
          </w:tcPr>
          <w:p w14:paraId="059E9DE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0.06 %</w:t>
            </w:r>
          </w:p>
        </w:tc>
        <w:tc>
          <w:tcPr>
            <w:tcW w:w="402" w:type="pct"/>
            <w:tcBorders>
              <w:top w:val="nil"/>
              <w:left w:val="nil"/>
              <w:bottom w:val="nil"/>
              <w:right w:val="nil"/>
            </w:tcBorders>
            <w:shd w:val="clear" w:color="auto" w:fill="auto"/>
            <w:noWrap/>
            <w:vAlign w:val="center"/>
            <w:hideMark/>
          </w:tcPr>
          <w:p w14:paraId="311D61C5"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99.88 %</w:t>
            </w:r>
          </w:p>
        </w:tc>
        <w:tc>
          <w:tcPr>
            <w:tcW w:w="499" w:type="pct"/>
            <w:tcBorders>
              <w:top w:val="nil"/>
              <w:left w:val="nil"/>
              <w:bottom w:val="nil"/>
              <w:right w:val="nil"/>
            </w:tcBorders>
            <w:shd w:val="clear" w:color="auto" w:fill="auto"/>
            <w:noWrap/>
            <w:vAlign w:val="center"/>
            <w:hideMark/>
          </w:tcPr>
          <w:p w14:paraId="4F3C7FC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0.02 %</w:t>
            </w:r>
          </w:p>
        </w:tc>
        <w:tc>
          <w:tcPr>
            <w:tcW w:w="451" w:type="pct"/>
            <w:tcBorders>
              <w:top w:val="nil"/>
              <w:left w:val="nil"/>
              <w:bottom w:val="nil"/>
              <w:right w:val="single" w:sz="8" w:space="0" w:color="auto"/>
            </w:tcBorders>
            <w:shd w:val="clear" w:color="auto" w:fill="auto"/>
            <w:noWrap/>
            <w:vAlign w:val="center"/>
            <w:hideMark/>
          </w:tcPr>
          <w:p w14:paraId="5EFF04DB"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0.04 %</w:t>
            </w:r>
          </w:p>
        </w:tc>
      </w:tr>
      <w:tr w:rsidR="00F36692" w:rsidRPr="00736205" w14:paraId="39D87C7F" w14:textId="77777777" w:rsidTr="001E6DF8">
        <w:trPr>
          <w:trHeight w:val="300"/>
        </w:trPr>
        <w:tc>
          <w:tcPr>
            <w:tcW w:w="654"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1A65DC2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DSS-1</w:t>
            </w:r>
          </w:p>
        </w:tc>
        <w:tc>
          <w:tcPr>
            <w:tcW w:w="787" w:type="pct"/>
            <w:tcBorders>
              <w:top w:val="nil"/>
              <w:left w:val="nil"/>
              <w:bottom w:val="nil"/>
              <w:right w:val="single" w:sz="8" w:space="0" w:color="auto"/>
            </w:tcBorders>
            <w:shd w:val="clear" w:color="auto" w:fill="auto"/>
            <w:noWrap/>
            <w:vAlign w:val="center"/>
            <w:hideMark/>
          </w:tcPr>
          <w:p w14:paraId="50BC78C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600</w:t>
            </w:r>
          </w:p>
        </w:tc>
        <w:tc>
          <w:tcPr>
            <w:tcW w:w="453" w:type="pct"/>
            <w:tcBorders>
              <w:top w:val="single" w:sz="8" w:space="0" w:color="auto"/>
              <w:left w:val="nil"/>
              <w:bottom w:val="nil"/>
              <w:right w:val="nil"/>
            </w:tcBorders>
            <w:shd w:val="clear" w:color="auto" w:fill="auto"/>
            <w:noWrap/>
            <w:vAlign w:val="center"/>
            <w:hideMark/>
          </w:tcPr>
          <w:p w14:paraId="69730AC4"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13</w:t>
            </w:r>
          </w:p>
        </w:tc>
        <w:tc>
          <w:tcPr>
            <w:tcW w:w="288" w:type="pct"/>
            <w:tcBorders>
              <w:top w:val="single" w:sz="8" w:space="0" w:color="auto"/>
              <w:left w:val="nil"/>
              <w:bottom w:val="nil"/>
              <w:right w:val="nil"/>
            </w:tcBorders>
            <w:shd w:val="clear" w:color="auto" w:fill="auto"/>
            <w:noWrap/>
            <w:vAlign w:val="center"/>
            <w:hideMark/>
          </w:tcPr>
          <w:p w14:paraId="7D70E72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946</w:t>
            </w:r>
          </w:p>
        </w:tc>
        <w:tc>
          <w:tcPr>
            <w:tcW w:w="454" w:type="pct"/>
            <w:tcBorders>
              <w:top w:val="single" w:sz="8" w:space="0" w:color="auto"/>
              <w:left w:val="nil"/>
              <w:bottom w:val="nil"/>
              <w:right w:val="nil"/>
            </w:tcBorders>
            <w:shd w:val="clear" w:color="auto" w:fill="auto"/>
            <w:noWrap/>
            <w:vAlign w:val="center"/>
            <w:hideMark/>
          </w:tcPr>
          <w:p w14:paraId="6F61B1B7"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328" w:type="pct"/>
            <w:tcBorders>
              <w:top w:val="single" w:sz="8" w:space="0" w:color="auto"/>
              <w:left w:val="nil"/>
              <w:bottom w:val="nil"/>
              <w:right w:val="nil"/>
            </w:tcBorders>
            <w:shd w:val="clear" w:color="auto" w:fill="auto"/>
            <w:noWrap/>
            <w:vAlign w:val="center"/>
            <w:hideMark/>
          </w:tcPr>
          <w:p w14:paraId="11EBA9C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0.003</w:t>
            </w:r>
          </w:p>
        </w:tc>
        <w:tc>
          <w:tcPr>
            <w:tcW w:w="289" w:type="pct"/>
            <w:tcBorders>
              <w:top w:val="single" w:sz="8" w:space="0" w:color="auto"/>
              <w:left w:val="nil"/>
              <w:bottom w:val="nil"/>
              <w:right w:val="single" w:sz="8" w:space="0" w:color="auto"/>
            </w:tcBorders>
            <w:shd w:val="clear" w:color="auto" w:fill="auto"/>
            <w:noWrap/>
            <w:vAlign w:val="center"/>
            <w:hideMark/>
          </w:tcPr>
          <w:p w14:paraId="18DDDBB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959</w:t>
            </w:r>
          </w:p>
        </w:tc>
        <w:tc>
          <w:tcPr>
            <w:tcW w:w="397" w:type="pct"/>
            <w:tcBorders>
              <w:top w:val="single" w:sz="8" w:space="0" w:color="auto"/>
              <w:left w:val="nil"/>
              <w:bottom w:val="nil"/>
              <w:right w:val="nil"/>
            </w:tcBorders>
            <w:shd w:val="clear" w:color="auto" w:fill="auto"/>
            <w:noWrap/>
            <w:vAlign w:val="center"/>
            <w:hideMark/>
          </w:tcPr>
          <w:p w14:paraId="1243B954"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1.34 %</w:t>
            </w:r>
          </w:p>
        </w:tc>
        <w:tc>
          <w:tcPr>
            <w:tcW w:w="402" w:type="pct"/>
            <w:tcBorders>
              <w:top w:val="single" w:sz="8" w:space="0" w:color="auto"/>
              <w:left w:val="nil"/>
              <w:bottom w:val="nil"/>
              <w:right w:val="nil"/>
            </w:tcBorders>
            <w:shd w:val="clear" w:color="auto" w:fill="auto"/>
            <w:noWrap/>
            <w:vAlign w:val="center"/>
            <w:hideMark/>
          </w:tcPr>
          <w:p w14:paraId="4B2992E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98.66 %</w:t>
            </w:r>
          </w:p>
        </w:tc>
        <w:tc>
          <w:tcPr>
            <w:tcW w:w="499" w:type="pct"/>
            <w:tcBorders>
              <w:top w:val="single" w:sz="8" w:space="0" w:color="auto"/>
              <w:left w:val="nil"/>
              <w:bottom w:val="nil"/>
              <w:right w:val="nil"/>
            </w:tcBorders>
            <w:shd w:val="clear" w:color="auto" w:fill="auto"/>
            <w:noWrap/>
            <w:vAlign w:val="center"/>
            <w:hideMark/>
          </w:tcPr>
          <w:p w14:paraId="14F6458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451" w:type="pct"/>
            <w:tcBorders>
              <w:top w:val="single" w:sz="8" w:space="0" w:color="auto"/>
              <w:left w:val="nil"/>
              <w:bottom w:val="nil"/>
              <w:right w:val="single" w:sz="8" w:space="0" w:color="auto"/>
            </w:tcBorders>
            <w:shd w:val="clear" w:color="auto" w:fill="auto"/>
            <w:noWrap/>
            <w:vAlign w:val="center"/>
            <w:hideMark/>
          </w:tcPr>
          <w:p w14:paraId="46D6CF3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0.0003 %</w:t>
            </w:r>
          </w:p>
        </w:tc>
      </w:tr>
      <w:tr w:rsidR="00F36692" w:rsidRPr="00736205" w14:paraId="1A540489" w14:textId="77777777" w:rsidTr="001E6DF8">
        <w:trPr>
          <w:trHeight w:val="315"/>
        </w:trPr>
        <w:tc>
          <w:tcPr>
            <w:tcW w:w="654" w:type="pct"/>
            <w:vMerge/>
            <w:tcBorders>
              <w:top w:val="nil"/>
              <w:left w:val="single" w:sz="8" w:space="0" w:color="auto"/>
              <w:bottom w:val="single" w:sz="8" w:space="0" w:color="000000"/>
              <w:right w:val="single" w:sz="8" w:space="0" w:color="auto"/>
            </w:tcBorders>
            <w:vAlign w:val="center"/>
            <w:hideMark/>
          </w:tcPr>
          <w:p w14:paraId="412CF63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p>
        </w:tc>
        <w:tc>
          <w:tcPr>
            <w:tcW w:w="787" w:type="pct"/>
            <w:tcBorders>
              <w:top w:val="nil"/>
              <w:left w:val="nil"/>
              <w:bottom w:val="single" w:sz="8" w:space="0" w:color="auto"/>
              <w:right w:val="single" w:sz="8" w:space="0" w:color="auto"/>
            </w:tcBorders>
            <w:shd w:val="clear" w:color="auto" w:fill="auto"/>
            <w:noWrap/>
            <w:vAlign w:val="center"/>
            <w:hideMark/>
          </w:tcPr>
          <w:p w14:paraId="74EE9343"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700</w:t>
            </w:r>
          </w:p>
        </w:tc>
        <w:tc>
          <w:tcPr>
            <w:tcW w:w="453" w:type="pct"/>
            <w:tcBorders>
              <w:top w:val="nil"/>
              <w:left w:val="nil"/>
              <w:bottom w:val="single" w:sz="8" w:space="0" w:color="auto"/>
              <w:right w:val="nil"/>
            </w:tcBorders>
            <w:shd w:val="clear" w:color="auto" w:fill="auto"/>
            <w:noWrap/>
            <w:vAlign w:val="center"/>
            <w:hideMark/>
          </w:tcPr>
          <w:p w14:paraId="7F947822"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4</w:t>
            </w:r>
          </w:p>
        </w:tc>
        <w:tc>
          <w:tcPr>
            <w:tcW w:w="288" w:type="pct"/>
            <w:tcBorders>
              <w:top w:val="nil"/>
              <w:left w:val="nil"/>
              <w:bottom w:val="single" w:sz="8" w:space="0" w:color="auto"/>
              <w:right w:val="nil"/>
            </w:tcBorders>
            <w:shd w:val="clear" w:color="auto" w:fill="auto"/>
            <w:noWrap/>
            <w:vAlign w:val="center"/>
            <w:hideMark/>
          </w:tcPr>
          <w:p w14:paraId="7DD1A7D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801</w:t>
            </w:r>
          </w:p>
        </w:tc>
        <w:tc>
          <w:tcPr>
            <w:tcW w:w="454" w:type="pct"/>
            <w:tcBorders>
              <w:top w:val="nil"/>
              <w:left w:val="nil"/>
              <w:bottom w:val="single" w:sz="8" w:space="0" w:color="auto"/>
              <w:right w:val="nil"/>
            </w:tcBorders>
            <w:shd w:val="clear" w:color="auto" w:fill="auto"/>
            <w:noWrap/>
            <w:vAlign w:val="center"/>
            <w:hideMark/>
          </w:tcPr>
          <w:p w14:paraId="6F219855"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328" w:type="pct"/>
            <w:tcBorders>
              <w:top w:val="nil"/>
              <w:left w:val="nil"/>
              <w:bottom w:val="single" w:sz="8" w:space="0" w:color="auto"/>
              <w:right w:val="nil"/>
            </w:tcBorders>
            <w:shd w:val="clear" w:color="auto" w:fill="auto"/>
            <w:noWrap/>
            <w:vAlign w:val="center"/>
            <w:hideMark/>
          </w:tcPr>
          <w:p w14:paraId="76DDE6FE"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0.001</w:t>
            </w:r>
          </w:p>
        </w:tc>
        <w:tc>
          <w:tcPr>
            <w:tcW w:w="289" w:type="pct"/>
            <w:tcBorders>
              <w:top w:val="nil"/>
              <w:left w:val="nil"/>
              <w:bottom w:val="single" w:sz="8" w:space="0" w:color="auto"/>
              <w:right w:val="single" w:sz="8" w:space="0" w:color="auto"/>
            </w:tcBorders>
            <w:shd w:val="clear" w:color="auto" w:fill="auto"/>
            <w:noWrap/>
            <w:vAlign w:val="center"/>
            <w:hideMark/>
          </w:tcPr>
          <w:p w14:paraId="39F390B1"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806</w:t>
            </w:r>
          </w:p>
        </w:tc>
        <w:tc>
          <w:tcPr>
            <w:tcW w:w="397" w:type="pct"/>
            <w:tcBorders>
              <w:top w:val="nil"/>
              <w:left w:val="nil"/>
              <w:bottom w:val="single" w:sz="8" w:space="0" w:color="auto"/>
              <w:right w:val="nil"/>
            </w:tcBorders>
            <w:shd w:val="clear" w:color="auto" w:fill="auto"/>
            <w:noWrap/>
            <w:vAlign w:val="center"/>
            <w:hideMark/>
          </w:tcPr>
          <w:p w14:paraId="500297DD"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0.54 %</w:t>
            </w:r>
          </w:p>
        </w:tc>
        <w:tc>
          <w:tcPr>
            <w:tcW w:w="402" w:type="pct"/>
            <w:tcBorders>
              <w:top w:val="nil"/>
              <w:left w:val="nil"/>
              <w:bottom w:val="single" w:sz="8" w:space="0" w:color="auto"/>
              <w:right w:val="nil"/>
            </w:tcBorders>
            <w:shd w:val="clear" w:color="auto" w:fill="auto"/>
            <w:noWrap/>
            <w:vAlign w:val="center"/>
            <w:hideMark/>
          </w:tcPr>
          <w:p w14:paraId="0E88D0A8"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99.46 %</w:t>
            </w:r>
          </w:p>
        </w:tc>
        <w:tc>
          <w:tcPr>
            <w:tcW w:w="499" w:type="pct"/>
            <w:tcBorders>
              <w:top w:val="nil"/>
              <w:left w:val="nil"/>
              <w:bottom w:val="single" w:sz="8" w:space="0" w:color="auto"/>
              <w:right w:val="nil"/>
            </w:tcBorders>
            <w:shd w:val="clear" w:color="auto" w:fill="auto"/>
            <w:noWrap/>
            <w:vAlign w:val="center"/>
            <w:hideMark/>
          </w:tcPr>
          <w:p w14:paraId="31B96891"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451" w:type="pct"/>
            <w:tcBorders>
              <w:top w:val="nil"/>
              <w:left w:val="nil"/>
              <w:bottom w:val="single" w:sz="8" w:space="0" w:color="auto"/>
              <w:right w:val="single" w:sz="8" w:space="0" w:color="auto"/>
            </w:tcBorders>
            <w:shd w:val="clear" w:color="auto" w:fill="auto"/>
            <w:noWrap/>
            <w:vAlign w:val="center"/>
            <w:hideMark/>
          </w:tcPr>
          <w:p w14:paraId="30ED4A9C" w14:textId="77777777" w:rsidR="00F36692" w:rsidRPr="00736205" w:rsidRDefault="00F36692" w:rsidP="001E6DF8">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0.0001 %</w:t>
            </w:r>
          </w:p>
        </w:tc>
      </w:tr>
    </w:tbl>
    <w:p w14:paraId="7ED09907" w14:textId="4F6C1BA6" w:rsidR="00242167" w:rsidRDefault="00242167" w:rsidP="00401EEE">
      <w:pPr>
        <w:pStyle w:val="Heading1"/>
      </w:pPr>
      <w:r>
        <w:t>Conclusion</w:t>
      </w:r>
      <w:r w:rsidR="002839B5">
        <w:t>s</w:t>
      </w:r>
    </w:p>
    <w:p w14:paraId="729F5A07" w14:textId="11CA66C4" w:rsidR="00242167" w:rsidRPr="00242167" w:rsidRDefault="00242167" w:rsidP="00E12AA2">
      <w:pPr>
        <w:ind w:firstLine="0"/>
        <w:rPr>
          <w:lang w:val="en-US"/>
        </w:rPr>
      </w:pPr>
      <w:r>
        <w:rPr>
          <w:lang w:val="en-US"/>
        </w:rPr>
        <w:t>We conclude that</w:t>
      </w:r>
      <w:r w:rsidR="005E394B">
        <w:rPr>
          <w:lang w:val="en-US"/>
        </w:rPr>
        <w:t>…</w:t>
      </w:r>
      <w:r>
        <w:rPr>
          <w:lang w:val="en-US"/>
        </w:rPr>
        <w:t xml:space="preserve"> </w:t>
      </w:r>
    </w:p>
    <w:p w14:paraId="3AA499A4" w14:textId="00BD7225" w:rsidR="00FC7C7A" w:rsidRDefault="00FC7C7A" w:rsidP="00E938A3">
      <w:pPr>
        <w:pStyle w:val="Utenkapittel"/>
      </w:pPr>
      <w:r>
        <w:t>Supporting Information</w:t>
      </w:r>
    </w:p>
    <w:p w14:paraId="0CF41B64" w14:textId="20045CD9" w:rsidR="006C1815" w:rsidRPr="00CD03EB" w:rsidRDefault="00E12AA2" w:rsidP="00E12AA2">
      <w:pPr>
        <w:ind w:firstLine="0"/>
        <w:rPr>
          <w:lang w:val="en-US"/>
        </w:rPr>
      </w:pPr>
      <w:r>
        <w:rPr>
          <w:lang w:val="en-US"/>
        </w:rPr>
        <w:t>Supplementary data associated with this article can be found here x.</w:t>
      </w:r>
    </w:p>
    <w:p w14:paraId="26C93F86" w14:textId="7A29658C" w:rsidR="00FA7D00" w:rsidRPr="00100B80" w:rsidRDefault="00FA7D00" w:rsidP="00E938A3">
      <w:pPr>
        <w:pStyle w:val="Utenkapittel"/>
      </w:pPr>
      <w:r w:rsidRPr="00100B80">
        <w:lastRenderedPageBreak/>
        <w:t>Acknowledgements</w:t>
      </w:r>
    </w:p>
    <w:p w14:paraId="775EA74A" w14:textId="0B847409" w:rsidR="00402195" w:rsidRPr="00755D92" w:rsidRDefault="00334D05" w:rsidP="00242167">
      <w:pPr>
        <w:rPr>
          <w:lang w:val="en-US"/>
        </w:rPr>
      </w:pPr>
      <w:r>
        <w:rPr>
          <w:lang w:val="en-US"/>
        </w:rPr>
        <w:t>The authors acknowledge funding from t</w:t>
      </w:r>
      <w:r w:rsidRPr="00FA7D00">
        <w:rPr>
          <w:lang w:val="en-US"/>
        </w:rPr>
        <w:t xml:space="preserve">he Research Council of </w:t>
      </w:r>
      <w:r>
        <w:rPr>
          <w:lang w:val="en-US"/>
        </w:rPr>
        <w:t>Norway</w:t>
      </w:r>
      <w:r w:rsidR="00905502">
        <w:rPr>
          <w:lang w:val="en-US"/>
        </w:rPr>
        <w:t>, mainly</w:t>
      </w:r>
      <w:r>
        <w:rPr>
          <w:lang w:val="en-US"/>
        </w:rPr>
        <w:t xml:space="preserve"> </w:t>
      </w:r>
      <w:r w:rsidR="0064706A">
        <w:rPr>
          <w:lang w:val="en-US"/>
        </w:rPr>
        <w:t xml:space="preserve">through the </w:t>
      </w:r>
      <w:r w:rsidR="0064706A" w:rsidRPr="00100B80">
        <w:rPr>
          <w:rFonts w:eastAsiaTheme="minorHAnsi"/>
          <w:lang w:val="en-US" w:eastAsia="en-US"/>
        </w:rPr>
        <w:t>joint</w:t>
      </w:r>
      <w:r w:rsidR="0064706A">
        <w:rPr>
          <w:rFonts w:eastAsiaTheme="minorHAnsi"/>
          <w:lang w:val="en-US" w:eastAsia="en-US"/>
        </w:rPr>
        <w:t>-</w:t>
      </w:r>
      <w:r w:rsidR="0064706A" w:rsidRPr="00100B80">
        <w:rPr>
          <w:rFonts w:eastAsiaTheme="minorHAnsi"/>
          <w:lang w:val="en-US" w:eastAsia="en-US"/>
        </w:rPr>
        <w:t>industry sustainability (BIA-X) project</w:t>
      </w:r>
      <w:r w:rsidR="0064706A">
        <w:rPr>
          <w:rFonts w:eastAsiaTheme="minorHAnsi"/>
          <w:lang w:val="en-US" w:eastAsia="en-US"/>
        </w:rPr>
        <w:t xml:space="preserve"> “Valorization of Organic Waste” (VOW) </w:t>
      </w:r>
      <w:r w:rsidR="0064706A" w:rsidRPr="00FA7D00">
        <w:rPr>
          <w:lang w:val="en-US"/>
        </w:rPr>
        <w:t>(NFR 299070)</w:t>
      </w:r>
      <w:r w:rsidR="0064706A">
        <w:rPr>
          <w:lang w:val="en-US"/>
        </w:rPr>
        <w:t xml:space="preserve"> </w:t>
      </w:r>
      <w:r w:rsidR="00D3476F">
        <w:rPr>
          <w:lang w:val="en-US"/>
        </w:rPr>
        <w:t xml:space="preserve">whereof </w:t>
      </w:r>
      <w:r w:rsidR="0064706A" w:rsidRPr="00100B80">
        <w:rPr>
          <w:rFonts w:eastAsiaTheme="minorHAnsi"/>
          <w:lang w:val="en-US" w:eastAsia="en-US"/>
        </w:rPr>
        <w:t>Lindum</w:t>
      </w:r>
      <w:r w:rsidR="00D3476F">
        <w:rPr>
          <w:rFonts w:eastAsiaTheme="minorHAnsi"/>
          <w:lang w:val="en-US" w:eastAsia="en-US"/>
        </w:rPr>
        <w:t xml:space="preserve"> AS (stakeholder in sorbent application)</w:t>
      </w:r>
      <w:r w:rsidR="0064706A" w:rsidRPr="00100B80">
        <w:rPr>
          <w:rFonts w:eastAsiaTheme="minorHAnsi"/>
          <w:lang w:val="en-US" w:eastAsia="en-US"/>
        </w:rPr>
        <w:t>,</w:t>
      </w:r>
      <w:r w:rsidR="00D3476F">
        <w:rPr>
          <w:rFonts w:eastAsiaTheme="minorHAnsi"/>
          <w:lang w:val="en-US" w:eastAsia="en-US"/>
        </w:rPr>
        <w:t xml:space="preserve"> the Norwegian Geotechnical Institute (research institute and project leader), and</w:t>
      </w:r>
      <w:r w:rsidR="0064706A" w:rsidRPr="00100B80">
        <w:rPr>
          <w:rFonts w:eastAsiaTheme="minorHAnsi"/>
          <w:lang w:val="en-US" w:eastAsia="en-US"/>
        </w:rPr>
        <w:t xml:space="preserve"> Scanship (technology supplier</w:t>
      </w:r>
      <w:r w:rsidR="00D3476F">
        <w:rPr>
          <w:rFonts w:eastAsiaTheme="minorHAnsi"/>
          <w:lang w:val="en-US" w:eastAsia="en-US"/>
        </w:rPr>
        <w:t>) played the key roles for</w:t>
      </w:r>
      <w:r w:rsidR="009C5F85">
        <w:rPr>
          <w:rFonts w:eastAsiaTheme="minorHAnsi"/>
          <w:lang w:val="en-US" w:eastAsia="en-US"/>
        </w:rPr>
        <w:t xml:space="preserve"> generating the test material and</w:t>
      </w:r>
      <w:r w:rsidR="00D3476F">
        <w:rPr>
          <w:rFonts w:eastAsiaTheme="minorHAnsi"/>
          <w:lang w:val="en-US" w:eastAsia="en-US"/>
        </w:rPr>
        <w:t xml:space="preserve"> data </w:t>
      </w:r>
      <w:r w:rsidR="009C5F85">
        <w:rPr>
          <w:rFonts w:eastAsiaTheme="minorHAnsi"/>
          <w:lang w:val="en-US" w:eastAsia="en-US"/>
        </w:rPr>
        <w:t>for</w:t>
      </w:r>
      <w:r w:rsidR="00D3476F">
        <w:rPr>
          <w:rFonts w:eastAsiaTheme="minorHAnsi"/>
          <w:lang w:val="en-US" w:eastAsia="en-US"/>
        </w:rPr>
        <w:t xml:space="preserve"> this manuscript. </w:t>
      </w:r>
      <w:r w:rsidR="00402195">
        <w:rPr>
          <w:lang w:val="en-US"/>
        </w:rPr>
        <w:br w:type="page"/>
      </w:r>
    </w:p>
    <w:p w14:paraId="3CC17059" w14:textId="6258F54A" w:rsidR="00DA1E34" w:rsidRDefault="00755D92" w:rsidP="00E938A3">
      <w:pPr>
        <w:pStyle w:val="Utenkapittel"/>
      </w:pPr>
      <w:r>
        <w:lastRenderedPageBreak/>
        <w:t>References</w:t>
      </w:r>
    </w:p>
    <w:sdt>
      <w:sdtPr>
        <w:rPr>
          <w:lang w:val="en-US"/>
        </w:rPr>
        <w:tag w:val="MENDELEY_BIBLIOGRAPHY"/>
        <w:id w:val="409270769"/>
        <w:placeholder>
          <w:docPart w:val="DefaultPlaceholder_-1854013440"/>
        </w:placeholder>
      </w:sdtPr>
      <w:sdtEndPr/>
      <w:sdtContent>
        <w:p w14:paraId="2E1E386D" w14:textId="77777777" w:rsidR="007E4089" w:rsidRPr="007E4089" w:rsidRDefault="007E4089">
          <w:pPr>
            <w:autoSpaceDE w:val="0"/>
            <w:autoSpaceDN w:val="0"/>
            <w:ind w:hanging="480"/>
            <w:divId w:val="1798720390"/>
            <w:rPr>
              <w:lang w:val="sv-SE"/>
            </w:rPr>
          </w:pPr>
          <w:r w:rsidRPr="007E4089">
            <w:rPr>
              <w:lang w:val="en-US"/>
            </w:rPr>
            <w:t xml:space="preserve">EBC. (2022). European Biochar Certificate - Guidelines for </w:t>
          </w:r>
          <w:proofErr w:type="gramStart"/>
          <w:r w:rsidRPr="007E4089">
            <w:rPr>
              <w:lang w:val="en-US"/>
            </w:rPr>
            <w:t>a Sustainable</w:t>
          </w:r>
          <w:proofErr w:type="gramEnd"/>
          <w:r w:rsidRPr="007E4089">
            <w:rPr>
              <w:lang w:val="en-US"/>
            </w:rPr>
            <w:t xml:space="preserve"> Production of Biochar. </w:t>
          </w:r>
          <w:proofErr w:type="spellStart"/>
          <w:r w:rsidRPr="007E4089">
            <w:rPr>
              <w:i/>
              <w:iCs/>
              <w:lang w:val="sv-SE"/>
            </w:rPr>
            <w:t>Carbon</w:t>
          </w:r>
          <w:proofErr w:type="spellEnd"/>
          <w:r w:rsidRPr="007E4089">
            <w:rPr>
              <w:i/>
              <w:iCs/>
              <w:lang w:val="sv-SE"/>
            </w:rPr>
            <w:t xml:space="preserve"> Standards International (CSI), Frick, </w:t>
          </w:r>
          <w:proofErr w:type="spellStart"/>
          <w:r w:rsidRPr="007E4089">
            <w:rPr>
              <w:i/>
              <w:iCs/>
              <w:lang w:val="sv-SE"/>
            </w:rPr>
            <w:t>Switzerland</w:t>
          </w:r>
          <w:proofErr w:type="spellEnd"/>
          <w:r w:rsidRPr="007E4089">
            <w:rPr>
              <w:lang w:val="sv-SE"/>
            </w:rPr>
            <w:t xml:space="preserve">, </w:t>
          </w:r>
          <w:r w:rsidRPr="007E4089">
            <w:rPr>
              <w:i/>
              <w:iCs/>
              <w:lang w:val="sv-SE"/>
            </w:rPr>
            <w:t>10.2</w:t>
          </w:r>
          <w:r w:rsidRPr="007E4089">
            <w:rPr>
              <w:lang w:val="sv-SE"/>
            </w:rPr>
            <w:t>.</w:t>
          </w:r>
        </w:p>
        <w:p w14:paraId="586776A7" w14:textId="77777777" w:rsidR="007E4089" w:rsidRPr="007E4089" w:rsidRDefault="007E4089">
          <w:pPr>
            <w:autoSpaceDE w:val="0"/>
            <w:autoSpaceDN w:val="0"/>
            <w:ind w:hanging="480"/>
            <w:divId w:val="2011978109"/>
            <w:rPr>
              <w:lang w:val="en-US"/>
            </w:rPr>
          </w:pPr>
          <w:r w:rsidRPr="007E4089">
            <w:rPr>
              <w:lang w:val="sv-SE"/>
            </w:rPr>
            <w:t xml:space="preserve">Hu, Z., Nomura, N., Kong, H., </w:t>
          </w:r>
          <w:proofErr w:type="spellStart"/>
          <w:r w:rsidRPr="007E4089">
            <w:rPr>
              <w:lang w:val="sv-SE"/>
            </w:rPr>
            <w:t>Wijesekara</w:t>
          </w:r>
          <w:proofErr w:type="spellEnd"/>
          <w:r w:rsidRPr="007E4089">
            <w:rPr>
              <w:lang w:val="sv-SE"/>
            </w:rPr>
            <w:t xml:space="preserve">, S., &amp; </w:t>
          </w:r>
          <w:proofErr w:type="spellStart"/>
          <w:r w:rsidRPr="007E4089">
            <w:rPr>
              <w:lang w:val="sv-SE"/>
            </w:rPr>
            <w:t>Matsumura</w:t>
          </w:r>
          <w:proofErr w:type="spellEnd"/>
          <w:r w:rsidRPr="007E4089">
            <w:rPr>
              <w:lang w:val="sv-SE"/>
            </w:rPr>
            <w:t xml:space="preserve">, M. (2007). </w:t>
          </w:r>
          <w:r w:rsidRPr="007E4089">
            <w:rPr>
              <w:lang w:val="en-US"/>
            </w:rPr>
            <w:t xml:space="preserve">Changes in Chlorinated Organic Pollutants and Heavy Metal Content of Sediments during Pyrolysis (7 pp). </w:t>
          </w:r>
          <w:r w:rsidRPr="007E4089">
            <w:rPr>
              <w:i/>
              <w:iCs/>
              <w:lang w:val="en-US"/>
            </w:rPr>
            <w:t>Environmental Science and Pollution Research-International</w:t>
          </w:r>
          <w:r w:rsidRPr="007E4089">
            <w:rPr>
              <w:lang w:val="en-US"/>
            </w:rPr>
            <w:t xml:space="preserve">, </w:t>
          </w:r>
          <w:r w:rsidRPr="007E4089">
            <w:rPr>
              <w:i/>
              <w:iCs/>
              <w:lang w:val="en-US"/>
            </w:rPr>
            <w:t>14</w:t>
          </w:r>
          <w:r w:rsidRPr="007E4089">
            <w:rPr>
              <w:lang w:val="en-US"/>
            </w:rPr>
            <w:t>, 12–18.</w:t>
          </w:r>
        </w:p>
        <w:p w14:paraId="143FC255" w14:textId="77777777" w:rsidR="007E4089" w:rsidRPr="007E4089" w:rsidRDefault="007E4089">
          <w:pPr>
            <w:autoSpaceDE w:val="0"/>
            <w:autoSpaceDN w:val="0"/>
            <w:ind w:hanging="480"/>
            <w:divId w:val="1147162886"/>
            <w:rPr>
              <w:lang w:val="en-US"/>
            </w:rPr>
          </w:pPr>
          <w:r w:rsidRPr="007E4089">
            <w:rPr>
              <w:lang w:val="en-US"/>
            </w:rPr>
            <w:t xml:space="preserve">Huygens, D., </w:t>
          </w:r>
          <w:proofErr w:type="spellStart"/>
          <w:r w:rsidRPr="007E4089">
            <w:rPr>
              <w:lang w:val="en-US"/>
            </w:rPr>
            <w:t>Saveyn</w:t>
          </w:r>
          <w:proofErr w:type="spellEnd"/>
          <w:r w:rsidRPr="007E4089">
            <w:rPr>
              <w:lang w:val="en-US"/>
            </w:rPr>
            <w:t xml:space="preserve">, H., </w:t>
          </w:r>
          <w:proofErr w:type="spellStart"/>
          <w:r w:rsidRPr="007E4089">
            <w:rPr>
              <w:lang w:val="en-US"/>
            </w:rPr>
            <w:t>Tonini</w:t>
          </w:r>
          <w:proofErr w:type="spellEnd"/>
          <w:r w:rsidRPr="007E4089">
            <w:rPr>
              <w:lang w:val="en-US"/>
            </w:rPr>
            <w:t xml:space="preserve">, D., Eder, P., &amp; Delgado Sancho, L. (2019). Technical proposals for selected new </w:t>
          </w:r>
          <w:proofErr w:type="spellStart"/>
          <w:r w:rsidRPr="007E4089">
            <w:rPr>
              <w:lang w:val="en-US"/>
            </w:rPr>
            <w:t>fertilising</w:t>
          </w:r>
          <w:proofErr w:type="spellEnd"/>
          <w:r w:rsidRPr="007E4089">
            <w:rPr>
              <w:lang w:val="en-US"/>
            </w:rPr>
            <w:t xml:space="preserve"> materials under the </w:t>
          </w:r>
          <w:proofErr w:type="spellStart"/>
          <w:r w:rsidRPr="007E4089">
            <w:rPr>
              <w:lang w:val="en-US"/>
            </w:rPr>
            <w:t>Fertilising</w:t>
          </w:r>
          <w:proofErr w:type="spellEnd"/>
          <w:r w:rsidRPr="007E4089">
            <w:rPr>
              <w:lang w:val="en-US"/>
            </w:rPr>
            <w:t xml:space="preserve"> Products Regulation (Regulation (EU) 2019/1009). </w:t>
          </w:r>
          <w:proofErr w:type="spellStart"/>
          <w:r w:rsidRPr="007E4089">
            <w:rPr>
              <w:i/>
              <w:iCs/>
              <w:lang w:val="en-US"/>
            </w:rPr>
            <w:t>FeHPO</w:t>
          </w:r>
          <w:proofErr w:type="spellEnd"/>
          <w:r w:rsidRPr="007E4089">
            <w:rPr>
              <w:i/>
              <w:iCs/>
              <w:lang w:val="en-US"/>
            </w:rPr>
            <w:t xml:space="preserve"> </w:t>
          </w:r>
          <w:proofErr w:type="spellStart"/>
          <w:r w:rsidRPr="007E4089">
            <w:rPr>
              <w:i/>
              <w:iCs/>
              <w:lang w:val="en-US"/>
            </w:rPr>
            <w:t>CaHPO</w:t>
          </w:r>
          <w:proofErr w:type="spellEnd"/>
          <w:r w:rsidRPr="007E4089">
            <w:rPr>
              <w:lang w:val="en-US"/>
            </w:rPr>
            <w:t xml:space="preserve">, </w:t>
          </w:r>
          <w:r w:rsidRPr="007E4089">
            <w:rPr>
              <w:i/>
              <w:iCs/>
              <w:lang w:val="en-US"/>
            </w:rPr>
            <w:t>4</w:t>
          </w:r>
          <w:r w:rsidRPr="007E4089">
            <w:rPr>
              <w:lang w:val="en-US"/>
            </w:rPr>
            <w:t>.</w:t>
          </w:r>
        </w:p>
        <w:p w14:paraId="6D0EEC4D" w14:textId="77777777" w:rsidR="007E4089" w:rsidRPr="007E4089" w:rsidRDefault="007E4089">
          <w:pPr>
            <w:autoSpaceDE w:val="0"/>
            <w:autoSpaceDN w:val="0"/>
            <w:ind w:hanging="480"/>
            <w:divId w:val="2052416814"/>
            <w:rPr>
              <w:lang w:val="en-US"/>
            </w:rPr>
          </w:pPr>
          <w:proofErr w:type="spellStart"/>
          <w:r w:rsidRPr="007E4089">
            <w:rPr>
              <w:lang w:val="en-US"/>
            </w:rPr>
            <w:t>Moško</w:t>
          </w:r>
          <w:proofErr w:type="spellEnd"/>
          <w:r w:rsidRPr="007E4089">
            <w:rPr>
              <w:lang w:val="en-US"/>
            </w:rPr>
            <w:t xml:space="preserve">, J., </w:t>
          </w:r>
          <w:proofErr w:type="spellStart"/>
          <w:r w:rsidRPr="007E4089">
            <w:rPr>
              <w:lang w:val="en-US"/>
            </w:rPr>
            <w:t>Pohořelý</w:t>
          </w:r>
          <w:proofErr w:type="spellEnd"/>
          <w:r w:rsidRPr="007E4089">
            <w:rPr>
              <w:lang w:val="en-US"/>
            </w:rPr>
            <w:t xml:space="preserve">, M., </w:t>
          </w:r>
          <w:proofErr w:type="spellStart"/>
          <w:r w:rsidRPr="007E4089">
            <w:rPr>
              <w:lang w:val="en-US"/>
            </w:rPr>
            <w:t>Cajthaml</w:t>
          </w:r>
          <w:proofErr w:type="spellEnd"/>
          <w:r w:rsidRPr="007E4089">
            <w:rPr>
              <w:lang w:val="en-US"/>
            </w:rPr>
            <w:t xml:space="preserve">, T., </w:t>
          </w:r>
          <w:proofErr w:type="spellStart"/>
          <w:r w:rsidRPr="007E4089">
            <w:rPr>
              <w:lang w:val="en-US"/>
            </w:rPr>
            <w:t>Jeremiáš</w:t>
          </w:r>
          <w:proofErr w:type="spellEnd"/>
          <w:r w:rsidRPr="007E4089">
            <w:rPr>
              <w:lang w:val="en-US"/>
            </w:rPr>
            <w:t xml:space="preserve">, M., Robles-Aguilar, A. A., </w:t>
          </w:r>
          <w:proofErr w:type="spellStart"/>
          <w:r w:rsidRPr="007E4089">
            <w:rPr>
              <w:lang w:val="en-US"/>
            </w:rPr>
            <w:t>Skoblia</w:t>
          </w:r>
          <w:proofErr w:type="spellEnd"/>
          <w:r w:rsidRPr="007E4089">
            <w:rPr>
              <w:lang w:val="en-US"/>
            </w:rPr>
            <w:t xml:space="preserve">, S., </w:t>
          </w:r>
          <w:proofErr w:type="spellStart"/>
          <w:r w:rsidRPr="007E4089">
            <w:rPr>
              <w:lang w:val="en-US"/>
            </w:rPr>
            <w:t>Beňo</w:t>
          </w:r>
          <w:proofErr w:type="spellEnd"/>
          <w:r w:rsidRPr="007E4089">
            <w:rPr>
              <w:lang w:val="en-US"/>
            </w:rPr>
            <w:t xml:space="preserve">, Z., </w:t>
          </w:r>
          <w:proofErr w:type="spellStart"/>
          <w:r w:rsidRPr="007E4089">
            <w:rPr>
              <w:lang w:val="en-US"/>
            </w:rPr>
            <w:t>Innemanová</w:t>
          </w:r>
          <w:proofErr w:type="spellEnd"/>
          <w:r w:rsidRPr="007E4089">
            <w:rPr>
              <w:lang w:val="en-US"/>
            </w:rPr>
            <w:t xml:space="preserve">, P., </w:t>
          </w:r>
          <w:proofErr w:type="spellStart"/>
          <w:r w:rsidRPr="007E4089">
            <w:rPr>
              <w:lang w:val="en-US"/>
            </w:rPr>
            <w:t>Linhartová</w:t>
          </w:r>
          <w:proofErr w:type="spellEnd"/>
          <w:r w:rsidRPr="007E4089">
            <w:rPr>
              <w:lang w:val="en-US"/>
            </w:rPr>
            <w:t xml:space="preserve">, L., &amp; </w:t>
          </w:r>
          <w:proofErr w:type="spellStart"/>
          <w:r w:rsidRPr="007E4089">
            <w:rPr>
              <w:lang w:val="en-US"/>
            </w:rPr>
            <w:t>Michalíková</w:t>
          </w:r>
          <w:proofErr w:type="spellEnd"/>
          <w:r w:rsidRPr="007E4089">
            <w:rPr>
              <w:lang w:val="en-US"/>
            </w:rPr>
            <w:t xml:space="preserve">, K. (2021). Effect of pyrolysis temperature on removal of organic pollutants present in anaerobically stabilized sewage sludge. </w:t>
          </w:r>
          <w:r w:rsidRPr="007E4089">
            <w:rPr>
              <w:i/>
              <w:iCs/>
              <w:lang w:val="en-US"/>
            </w:rPr>
            <w:t>Chemosphere</w:t>
          </w:r>
          <w:r w:rsidRPr="007E4089">
            <w:rPr>
              <w:lang w:val="en-US"/>
            </w:rPr>
            <w:t xml:space="preserve">, </w:t>
          </w:r>
          <w:r w:rsidRPr="007E4089">
            <w:rPr>
              <w:i/>
              <w:iCs/>
              <w:lang w:val="en-US"/>
            </w:rPr>
            <w:t>265</w:t>
          </w:r>
          <w:r w:rsidRPr="007E4089">
            <w:rPr>
              <w:lang w:val="en-US"/>
            </w:rPr>
            <w:t>, 129082.</w:t>
          </w:r>
        </w:p>
        <w:p w14:paraId="708C335E" w14:textId="77777777" w:rsidR="007E4089" w:rsidRPr="007E4089" w:rsidRDefault="007E4089">
          <w:pPr>
            <w:autoSpaceDE w:val="0"/>
            <w:autoSpaceDN w:val="0"/>
            <w:ind w:hanging="480"/>
            <w:divId w:val="859078501"/>
            <w:rPr>
              <w:lang w:val="en-US"/>
            </w:rPr>
          </w:pPr>
          <w:proofErr w:type="spellStart"/>
          <w:r w:rsidRPr="007E4089">
            <w:rPr>
              <w:lang w:val="en-US"/>
            </w:rPr>
            <w:t>Paradiz</w:t>
          </w:r>
          <w:proofErr w:type="spellEnd"/>
          <w:r w:rsidRPr="007E4089">
            <w:rPr>
              <w:lang w:val="en-US"/>
            </w:rPr>
            <w:t xml:space="preserve">, B., &amp; Dilara, P. (2003). </w:t>
          </w:r>
          <w:r w:rsidRPr="007E4089">
            <w:rPr>
              <w:i/>
              <w:iCs/>
              <w:lang w:val="en-US"/>
            </w:rPr>
            <w:t>Dioxin emissions in the candidate countries: Sources, emission inventories, reduction policies and measures</w:t>
          </w:r>
          <w:r w:rsidRPr="007E4089">
            <w:rPr>
              <w:lang w:val="en-US"/>
            </w:rPr>
            <w:t>.</w:t>
          </w:r>
        </w:p>
        <w:p w14:paraId="4D9B7E7B" w14:textId="77777777" w:rsidR="007E4089" w:rsidRPr="007E4089" w:rsidRDefault="007E4089">
          <w:pPr>
            <w:autoSpaceDE w:val="0"/>
            <w:autoSpaceDN w:val="0"/>
            <w:ind w:hanging="480"/>
            <w:divId w:val="1645893351"/>
            <w:rPr>
              <w:lang w:val="en-US"/>
            </w:rPr>
          </w:pPr>
          <w:r w:rsidRPr="007E4089">
            <w:rPr>
              <w:lang w:val="da-DK"/>
            </w:rPr>
            <w:t xml:space="preserve">Paulsrud, B., Wien, A., &amp; </w:t>
          </w:r>
          <w:proofErr w:type="spellStart"/>
          <w:r w:rsidRPr="007E4089">
            <w:rPr>
              <w:lang w:val="da-DK"/>
            </w:rPr>
            <w:t>Nedland</w:t>
          </w:r>
          <w:proofErr w:type="spellEnd"/>
          <w:r w:rsidRPr="007E4089">
            <w:rPr>
              <w:lang w:val="da-DK"/>
            </w:rPr>
            <w:t xml:space="preserve">, K. T. (1997). </w:t>
          </w:r>
          <w:r w:rsidRPr="007E4089">
            <w:rPr>
              <w:i/>
              <w:iCs/>
              <w:lang w:val="en-US"/>
            </w:rPr>
            <w:t>A survey of toxic organics in Norwegian sewage sludge compost and manure</w:t>
          </w:r>
          <w:r w:rsidRPr="007E4089">
            <w:rPr>
              <w:lang w:val="en-US"/>
            </w:rPr>
            <w:t>.</w:t>
          </w:r>
        </w:p>
        <w:p w14:paraId="61500CB9" w14:textId="77777777" w:rsidR="007E4089" w:rsidRPr="007E4089" w:rsidRDefault="007E4089">
          <w:pPr>
            <w:autoSpaceDE w:val="0"/>
            <w:autoSpaceDN w:val="0"/>
            <w:ind w:hanging="480"/>
            <w:divId w:val="1995328684"/>
            <w:rPr>
              <w:lang w:val="en-US"/>
            </w:rPr>
          </w:pPr>
          <w:r w:rsidRPr="007E4089">
            <w:rPr>
              <w:lang w:val="en-US"/>
            </w:rPr>
            <w:t xml:space="preserve">Sørmo, E., Castro, G., Hubert, M., </w:t>
          </w:r>
          <w:proofErr w:type="spellStart"/>
          <w:r w:rsidRPr="007E4089">
            <w:rPr>
              <w:lang w:val="en-US"/>
            </w:rPr>
            <w:t>Licul</w:t>
          </w:r>
          <w:proofErr w:type="spellEnd"/>
          <w:r w:rsidRPr="007E4089">
            <w:rPr>
              <w:lang w:val="en-US"/>
            </w:rPr>
            <w:t xml:space="preserve">-Kucera, V., Quintanilla, M., Asimakopoulos, A. G., Cornelissen, G., &amp; Arp, H. P. H. (n.d.). The Decomposition and Emission Factors of a Wide Range of Pfas in Diverse, Contaminated Organic Waste Fractions Undergoing Dry Pyrolysis. </w:t>
          </w:r>
          <w:r w:rsidRPr="007E4089">
            <w:rPr>
              <w:i/>
              <w:iCs/>
              <w:lang w:val="en-US"/>
            </w:rPr>
            <w:t>Contaminated Organic Waste Fractions Undergoing Dry Pyrolysis</w:t>
          </w:r>
          <w:r w:rsidRPr="007E4089">
            <w:rPr>
              <w:lang w:val="en-US"/>
            </w:rPr>
            <w:t>.</w:t>
          </w:r>
        </w:p>
        <w:p w14:paraId="5704FF74" w14:textId="77777777" w:rsidR="007E4089" w:rsidRDefault="007E4089">
          <w:pPr>
            <w:autoSpaceDE w:val="0"/>
            <w:autoSpaceDN w:val="0"/>
            <w:ind w:hanging="480"/>
            <w:divId w:val="2039155237"/>
          </w:pPr>
          <w:r w:rsidRPr="007E4089">
            <w:rPr>
              <w:lang w:val="en-US"/>
            </w:rPr>
            <w:t xml:space="preserve">Sørmo, E., </w:t>
          </w:r>
          <w:proofErr w:type="spellStart"/>
          <w:r w:rsidRPr="007E4089">
            <w:rPr>
              <w:lang w:val="en-US"/>
            </w:rPr>
            <w:t>Silvani</w:t>
          </w:r>
          <w:proofErr w:type="spellEnd"/>
          <w:r w:rsidRPr="007E4089">
            <w:rPr>
              <w:lang w:val="en-US"/>
            </w:rPr>
            <w:t xml:space="preserve">, L., Thune, G., Gerber, H., Schmidt, H. P., </w:t>
          </w:r>
          <w:proofErr w:type="spellStart"/>
          <w:r w:rsidRPr="007E4089">
            <w:rPr>
              <w:lang w:val="en-US"/>
            </w:rPr>
            <w:t>Smebye</w:t>
          </w:r>
          <w:proofErr w:type="spellEnd"/>
          <w:r w:rsidRPr="007E4089">
            <w:rPr>
              <w:lang w:val="en-US"/>
            </w:rPr>
            <w:t xml:space="preserve">, A. B., &amp; Cornelissen, G. (2020). Waste timber pyrolysis in a medium-scale unit: Emission budgets and biochar quality. </w:t>
          </w:r>
          <w:r>
            <w:rPr>
              <w:i/>
              <w:iCs/>
            </w:rPr>
            <w:t xml:space="preserve">Science </w:t>
          </w:r>
          <w:proofErr w:type="spellStart"/>
          <w:r>
            <w:rPr>
              <w:i/>
              <w:iCs/>
            </w:rPr>
            <w:t>of</w:t>
          </w:r>
          <w:proofErr w:type="spellEnd"/>
          <w:r>
            <w:rPr>
              <w:i/>
              <w:iCs/>
            </w:rPr>
            <w:t xml:space="preserve"> </w:t>
          </w:r>
          <w:proofErr w:type="spellStart"/>
          <w:r>
            <w:rPr>
              <w:i/>
              <w:iCs/>
            </w:rPr>
            <w:t>the</w:t>
          </w:r>
          <w:proofErr w:type="spellEnd"/>
          <w:r>
            <w:rPr>
              <w:i/>
              <w:iCs/>
            </w:rPr>
            <w:t xml:space="preserve"> Total Environment</w:t>
          </w:r>
          <w:r>
            <w:t xml:space="preserve">, </w:t>
          </w:r>
          <w:r>
            <w:rPr>
              <w:i/>
              <w:iCs/>
            </w:rPr>
            <w:t>718</w:t>
          </w:r>
          <w:r>
            <w:t>, 137335.</w:t>
          </w:r>
        </w:p>
        <w:p w14:paraId="3480B8F9" w14:textId="75C8F4B5" w:rsidR="000F5048" w:rsidRPr="002D7B59" w:rsidRDefault="007E4089" w:rsidP="00E509F0">
          <w:pPr>
            <w:pStyle w:val="References"/>
            <w:ind w:left="0" w:firstLine="0"/>
          </w:pPr>
          <w:r>
            <w:t> </w:t>
          </w:r>
        </w:p>
      </w:sdtContent>
    </w:sdt>
    <w:p w14:paraId="698E1E79" w14:textId="77777777" w:rsidR="00306F12" w:rsidRPr="002D7B59" w:rsidRDefault="00306F12" w:rsidP="00807421">
      <w:pPr>
        <w:pStyle w:val="References"/>
      </w:pPr>
    </w:p>
    <w:p w14:paraId="11CAEC49" w14:textId="0329C5DA" w:rsidR="00DA1E34" w:rsidRPr="00DA1E34" w:rsidRDefault="00DA1E34" w:rsidP="00DA1E34">
      <w:pPr>
        <w:rPr>
          <w:lang w:val="en-US"/>
        </w:rPr>
      </w:pPr>
    </w:p>
    <w:sectPr w:rsidR="00DA1E34" w:rsidRPr="00DA1E34" w:rsidSect="0083482E">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8C3F" w14:textId="77777777" w:rsidR="00B524CF" w:rsidRDefault="00B524CF">
      <w:pPr>
        <w:spacing w:line="240" w:lineRule="auto"/>
      </w:pPr>
      <w:r>
        <w:separator/>
      </w:r>
    </w:p>
  </w:endnote>
  <w:endnote w:type="continuationSeparator" w:id="0">
    <w:p w14:paraId="35741050" w14:textId="77777777" w:rsidR="00B524CF" w:rsidRDefault="00B524CF">
      <w:pPr>
        <w:spacing w:line="240" w:lineRule="auto"/>
      </w:pPr>
      <w:r>
        <w:continuationSeparator/>
      </w:r>
    </w:p>
  </w:endnote>
  <w:endnote w:type="continuationNotice" w:id="1">
    <w:p w14:paraId="3BE0F278" w14:textId="77777777" w:rsidR="00B524CF" w:rsidRDefault="00B524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E2F7" w14:textId="77777777" w:rsidR="007E38C6" w:rsidRDefault="007E38C6">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89881"/>
      <w:docPartObj>
        <w:docPartGallery w:val="Page Numbers (Bottom of Page)"/>
        <w:docPartUnique/>
      </w:docPartObj>
    </w:sdtPr>
    <w:sdtEndPr>
      <w:rPr>
        <w:noProof/>
      </w:rPr>
    </w:sdtEndPr>
    <w:sdtContent>
      <w:p w14:paraId="31FE4660" w14:textId="3363F7FC" w:rsidR="007E38C6" w:rsidRDefault="007E38C6">
        <w:pPr>
          <w:pStyle w:val="Footer"/>
          <w:jc w:val="center"/>
        </w:pPr>
        <w:r>
          <w:fldChar w:fldCharType="begin"/>
        </w:r>
        <w:r>
          <w:instrText xml:space="preserve"> PAGE   \* MERGEFORMAT </w:instrText>
        </w:r>
        <w:r>
          <w:fldChar w:fldCharType="separate"/>
        </w:r>
        <w:r w:rsidR="00537290">
          <w:rPr>
            <w:noProof/>
          </w:rPr>
          <w:t>24</w:t>
        </w:r>
        <w:r>
          <w:rPr>
            <w:noProof/>
          </w:rPr>
          <w:fldChar w:fldCharType="end"/>
        </w:r>
      </w:p>
    </w:sdtContent>
  </w:sdt>
  <w:p w14:paraId="50FA72F1" w14:textId="77777777" w:rsidR="007E38C6" w:rsidRDefault="007E38C6">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78CE" w14:textId="77777777" w:rsidR="007E38C6" w:rsidRDefault="007E38C6">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44C1" w14:textId="77777777" w:rsidR="00B524CF" w:rsidRDefault="00B524CF">
      <w:pPr>
        <w:spacing w:line="240" w:lineRule="auto"/>
      </w:pPr>
      <w:r>
        <w:separator/>
      </w:r>
    </w:p>
  </w:footnote>
  <w:footnote w:type="continuationSeparator" w:id="0">
    <w:p w14:paraId="37D6E862" w14:textId="77777777" w:rsidR="00B524CF" w:rsidRDefault="00B524CF">
      <w:pPr>
        <w:spacing w:line="240" w:lineRule="auto"/>
      </w:pPr>
      <w:r>
        <w:continuationSeparator/>
      </w:r>
    </w:p>
  </w:footnote>
  <w:footnote w:type="continuationNotice" w:id="1">
    <w:p w14:paraId="246FE29A" w14:textId="77777777" w:rsidR="00B524CF" w:rsidRDefault="00B524C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4E4B" w14:textId="77777777" w:rsidR="007E38C6" w:rsidRDefault="007E38C6">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FD20" w14:textId="77777777" w:rsidR="007E38C6" w:rsidRDefault="007E38C6">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FB6D" w14:textId="77777777" w:rsidR="007E38C6" w:rsidRDefault="007E38C6">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C81"/>
    <w:multiLevelType w:val="multilevel"/>
    <w:tmpl w:val="0120A718"/>
    <w:styleLink w:val="Gjeldend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72287B"/>
    <w:multiLevelType w:val="hybridMultilevel"/>
    <w:tmpl w:val="602CCEB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03A5F4D"/>
    <w:multiLevelType w:val="multilevel"/>
    <w:tmpl w:val="0120A718"/>
    <w:lvl w:ilvl="0">
      <w:start w:val="1"/>
      <w:numFmt w:val="decimal"/>
      <w:lvlText w:val="%1"/>
      <w:lvlJc w:val="left"/>
      <w:pPr>
        <w:ind w:left="432" w:hanging="432"/>
      </w:pPr>
    </w:lvl>
    <w:lvl w:ilvl="1">
      <w:start w:val="1"/>
      <w:numFmt w:val="decimal"/>
      <w:lvlText w:val="%1.%2"/>
      <w:lvlJc w:val="left"/>
      <w:pPr>
        <w:ind w:left="1285" w:hanging="576"/>
      </w:pPr>
    </w:lvl>
    <w:lvl w:ilvl="2">
      <w:start w:val="1"/>
      <w:numFmt w:val="decimal"/>
      <w:lvlText w:val="%1.%2.%3"/>
      <w:lvlJc w:val="left"/>
      <w:pPr>
        <w:ind w:left="227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C0235A0"/>
    <w:multiLevelType w:val="multilevel"/>
    <w:tmpl w:val="E9D881E0"/>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936939719">
    <w:abstractNumId w:val="0"/>
  </w:num>
  <w:num w:numId="2" w16cid:durableId="1460996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2322132">
    <w:abstractNumId w:val="1"/>
  </w:num>
  <w:num w:numId="4" w16cid:durableId="11431573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0092D"/>
    <w:rsid w:val="00000BFE"/>
    <w:rsid w:val="000011AA"/>
    <w:rsid w:val="0000132D"/>
    <w:rsid w:val="00001341"/>
    <w:rsid w:val="0000190C"/>
    <w:rsid w:val="00001C34"/>
    <w:rsid w:val="00003E81"/>
    <w:rsid w:val="000050E8"/>
    <w:rsid w:val="0000510C"/>
    <w:rsid w:val="00005483"/>
    <w:rsid w:val="00005B8A"/>
    <w:rsid w:val="00006263"/>
    <w:rsid w:val="00006559"/>
    <w:rsid w:val="00006744"/>
    <w:rsid w:val="00006EE0"/>
    <w:rsid w:val="00007EE4"/>
    <w:rsid w:val="00010392"/>
    <w:rsid w:val="00010D8E"/>
    <w:rsid w:val="00011568"/>
    <w:rsid w:val="00012D0A"/>
    <w:rsid w:val="0001376D"/>
    <w:rsid w:val="00013DFC"/>
    <w:rsid w:val="00013E5C"/>
    <w:rsid w:val="00015127"/>
    <w:rsid w:val="00015BCE"/>
    <w:rsid w:val="00015D0F"/>
    <w:rsid w:val="00017070"/>
    <w:rsid w:val="000175B0"/>
    <w:rsid w:val="0001780A"/>
    <w:rsid w:val="00017B5F"/>
    <w:rsid w:val="00017C42"/>
    <w:rsid w:val="000203FD"/>
    <w:rsid w:val="00022663"/>
    <w:rsid w:val="00022EF0"/>
    <w:rsid w:val="00023269"/>
    <w:rsid w:val="0002370B"/>
    <w:rsid w:val="0002397F"/>
    <w:rsid w:val="000239F4"/>
    <w:rsid w:val="000247D2"/>
    <w:rsid w:val="00024BE5"/>
    <w:rsid w:val="0002548E"/>
    <w:rsid w:val="00025773"/>
    <w:rsid w:val="00025EBA"/>
    <w:rsid w:val="00027ECC"/>
    <w:rsid w:val="0003061A"/>
    <w:rsid w:val="00030BD0"/>
    <w:rsid w:val="00030CC9"/>
    <w:rsid w:val="0003196F"/>
    <w:rsid w:val="00031A15"/>
    <w:rsid w:val="000321F5"/>
    <w:rsid w:val="000327E0"/>
    <w:rsid w:val="0003339F"/>
    <w:rsid w:val="00033DAB"/>
    <w:rsid w:val="000349D6"/>
    <w:rsid w:val="00034BDB"/>
    <w:rsid w:val="000353DD"/>
    <w:rsid w:val="00035527"/>
    <w:rsid w:val="00035AFE"/>
    <w:rsid w:val="00036469"/>
    <w:rsid w:val="000377D9"/>
    <w:rsid w:val="00037C9E"/>
    <w:rsid w:val="000404EA"/>
    <w:rsid w:val="000408EA"/>
    <w:rsid w:val="00040C6A"/>
    <w:rsid w:val="00041690"/>
    <w:rsid w:val="00041BF0"/>
    <w:rsid w:val="00041E1F"/>
    <w:rsid w:val="000428BC"/>
    <w:rsid w:val="00043685"/>
    <w:rsid w:val="00043EEB"/>
    <w:rsid w:val="0004627E"/>
    <w:rsid w:val="000463DF"/>
    <w:rsid w:val="000466D1"/>
    <w:rsid w:val="00047528"/>
    <w:rsid w:val="00047E3F"/>
    <w:rsid w:val="0005104B"/>
    <w:rsid w:val="00051406"/>
    <w:rsid w:val="00052D69"/>
    <w:rsid w:val="00053F0C"/>
    <w:rsid w:val="000551B2"/>
    <w:rsid w:val="00055723"/>
    <w:rsid w:val="00055A08"/>
    <w:rsid w:val="00056ACA"/>
    <w:rsid w:val="00057459"/>
    <w:rsid w:val="00060589"/>
    <w:rsid w:val="0006088D"/>
    <w:rsid w:val="00060AE4"/>
    <w:rsid w:val="00061FDE"/>
    <w:rsid w:val="000627CB"/>
    <w:rsid w:val="00062A16"/>
    <w:rsid w:val="0006342D"/>
    <w:rsid w:val="00064883"/>
    <w:rsid w:val="00065539"/>
    <w:rsid w:val="00066C1C"/>
    <w:rsid w:val="000672B3"/>
    <w:rsid w:val="00067379"/>
    <w:rsid w:val="00067922"/>
    <w:rsid w:val="000700BD"/>
    <w:rsid w:val="00071808"/>
    <w:rsid w:val="000722B1"/>
    <w:rsid w:val="000727F1"/>
    <w:rsid w:val="00072B8F"/>
    <w:rsid w:val="00077849"/>
    <w:rsid w:val="00080A7E"/>
    <w:rsid w:val="00081137"/>
    <w:rsid w:val="000826E8"/>
    <w:rsid w:val="000830CE"/>
    <w:rsid w:val="0008318A"/>
    <w:rsid w:val="0008379B"/>
    <w:rsid w:val="0008452A"/>
    <w:rsid w:val="000846CB"/>
    <w:rsid w:val="000846CD"/>
    <w:rsid w:val="000846F7"/>
    <w:rsid w:val="00084F78"/>
    <w:rsid w:val="00085146"/>
    <w:rsid w:val="00085277"/>
    <w:rsid w:val="000864D1"/>
    <w:rsid w:val="000868C8"/>
    <w:rsid w:val="00086947"/>
    <w:rsid w:val="0008702A"/>
    <w:rsid w:val="0008718A"/>
    <w:rsid w:val="000871BF"/>
    <w:rsid w:val="0009064F"/>
    <w:rsid w:val="00090904"/>
    <w:rsid w:val="00090F25"/>
    <w:rsid w:val="00091407"/>
    <w:rsid w:val="000918D7"/>
    <w:rsid w:val="0009291C"/>
    <w:rsid w:val="00092A0B"/>
    <w:rsid w:val="00093BEC"/>
    <w:rsid w:val="0009447E"/>
    <w:rsid w:val="00096270"/>
    <w:rsid w:val="00096870"/>
    <w:rsid w:val="00097477"/>
    <w:rsid w:val="000A0C99"/>
    <w:rsid w:val="000A1A57"/>
    <w:rsid w:val="000A201D"/>
    <w:rsid w:val="000A2734"/>
    <w:rsid w:val="000A2C13"/>
    <w:rsid w:val="000A3A02"/>
    <w:rsid w:val="000A5560"/>
    <w:rsid w:val="000A63D4"/>
    <w:rsid w:val="000A686E"/>
    <w:rsid w:val="000B09AC"/>
    <w:rsid w:val="000B1B7A"/>
    <w:rsid w:val="000B28E7"/>
    <w:rsid w:val="000B2A95"/>
    <w:rsid w:val="000B3353"/>
    <w:rsid w:val="000B34F5"/>
    <w:rsid w:val="000B4516"/>
    <w:rsid w:val="000B473D"/>
    <w:rsid w:val="000B54BA"/>
    <w:rsid w:val="000B57A7"/>
    <w:rsid w:val="000B5B2F"/>
    <w:rsid w:val="000B5BAA"/>
    <w:rsid w:val="000B6173"/>
    <w:rsid w:val="000B6321"/>
    <w:rsid w:val="000B6DEA"/>
    <w:rsid w:val="000B75AA"/>
    <w:rsid w:val="000B75D7"/>
    <w:rsid w:val="000B7946"/>
    <w:rsid w:val="000B7BE4"/>
    <w:rsid w:val="000C01C0"/>
    <w:rsid w:val="000C0B49"/>
    <w:rsid w:val="000C0C1A"/>
    <w:rsid w:val="000C2458"/>
    <w:rsid w:val="000C340B"/>
    <w:rsid w:val="000C3863"/>
    <w:rsid w:val="000C3A2B"/>
    <w:rsid w:val="000C3D43"/>
    <w:rsid w:val="000C4657"/>
    <w:rsid w:val="000C47F4"/>
    <w:rsid w:val="000C4FDB"/>
    <w:rsid w:val="000C5415"/>
    <w:rsid w:val="000C70EA"/>
    <w:rsid w:val="000C7BB8"/>
    <w:rsid w:val="000D056F"/>
    <w:rsid w:val="000D086E"/>
    <w:rsid w:val="000D12AA"/>
    <w:rsid w:val="000D1663"/>
    <w:rsid w:val="000D1817"/>
    <w:rsid w:val="000D2005"/>
    <w:rsid w:val="000D25D8"/>
    <w:rsid w:val="000D27AE"/>
    <w:rsid w:val="000D3630"/>
    <w:rsid w:val="000D46E6"/>
    <w:rsid w:val="000D5873"/>
    <w:rsid w:val="000D61AA"/>
    <w:rsid w:val="000D6902"/>
    <w:rsid w:val="000D6C6F"/>
    <w:rsid w:val="000D6E06"/>
    <w:rsid w:val="000D70D9"/>
    <w:rsid w:val="000D76FC"/>
    <w:rsid w:val="000E0F33"/>
    <w:rsid w:val="000E1218"/>
    <w:rsid w:val="000E133A"/>
    <w:rsid w:val="000E1711"/>
    <w:rsid w:val="000E20F9"/>
    <w:rsid w:val="000E2533"/>
    <w:rsid w:val="000E47F4"/>
    <w:rsid w:val="000E4880"/>
    <w:rsid w:val="000E6B42"/>
    <w:rsid w:val="000E72F9"/>
    <w:rsid w:val="000E7677"/>
    <w:rsid w:val="000E77E1"/>
    <w:rsid w:val="000F0FFC"/>
    <w:rsid w:val="000F167A"/>
    <w:rsid w:val="000F16C1"/>
    <w:rsid w:val="000F17B1"/>
    <w:rsid w:val="000F2FF2"/>
    <w:rsid w:val="000F329F"/>
    <w:rsid w:val="000F3889"/>
    <w:rsid w:val="000F411A"/>
    <w:rsid w:val="000F5048"/>
    <w:rsid w:val="000F522C"/>
    <w:rsid w:val="000F6238"/>
    <w:rsid w:val="000F6305"/>
    <w:rsid w:val="000F63CF"/>
    <w:rsid w:val="000F645F"/>
    <w:rsid w:val="000F665E"/>
    <w:rsid w:val="000F6A1E"/>
    <w:rsid w:val="000F73CA"/>
    <w:rsid w:val="000F7867"/>
    <w:rsid w:val="0010092D"/>
    <w:rsid w:val="00100B80"/>
    <w:rsid w:val="0010144F"/>
    <w:rsid w:val="0010152B"/>
    <w:rsid w:val="00101B01"/>
    <w:rsid w:val="00101D81"/>
    <w:rsid w:val="00102F63"/>
    <w:rsid w:val="001034C2"/>
    <w:rsid w:val="0010501A"/>
    <w:rsid w:val="00105362"/>
    <w:rsid w:val="001053A5"/>
    <w:rsid w:val="00107A56"/>
    <w:rsid w:val="001109DA"/>
    <w:rsid w:val="00110B7D"/>
    <w:rsid w:val="00111C10"/>
    <w:rsid w:val="00111C58"/>
    <w:rsid w:val="00112340"/>
    <w:rsid w:val="00112A44"/>
    <w:rsid w:val="00113449"/>
    <w:rsid w:val="001137CF"/>
    <w:rsid w:val="001140CE"/>
    <w:rsid w:val="0011448D"/>
    <w:rsid w:val="001145F4"/>
    <w:rsid w:val="001149D0"/>
    <w:rsid w:val="00115877"/>
    <w:rsid w:val="0011593C"/>
    <w:rsid w:val="00115B0D"/>
    <w:rsid w:val="00116159"/>
    <w:rsid w:val="001168DF"/>
    <w:rsid w:val="00116F3D"/>
    <w:rsid w:val="0011730F"/>
    <w:rsid w:val="0011786E"/>
    <w:rsid w:val="001179AE"/>
    <w:rsid w:val="00117F4A"/>
    <w:rsid w:val="001200CA"/>
    <w:rsid w:val="0012092C"/>
    <w:rsid w:val="001209A7"/>
    <w:rsid w:val="00120C71"/>
    <w:rsid w:val="00121556"/>
    <w:rsid w:val="00121F67"/>
    <w:rsid w:val="00122347"/>
    <w:rsid w:val="00122566"/>
    <w:rsid w:val="001226B0"/>
    <w:rsid w:val="0012352F"/>
    <w:rsid w:val="00123630"/>
    <w:rsid w:val="00123899"/>
    <w:rsid w:val="0012411E"/>
    <w:rsid w:val="0012429F"/>
    <w:rsid w:val="001242F9"/>
    <w:rsid w:val="00124AAF"/>
    <w:rsid w:val="00124DCB"/>
    <w:rsid w:val="00125C97"/>
    <w:rsid w:val="00126761"/>
    <w:rsid w:val="00126B3D"/>
    <w:rsid w:val="0012711C"/>
    <w:rsid w:val="00127484"/>
    <w:rsid w:val="0012772F"/>
    <w:rsid w:val="00127D87"/>
    <w:rsid w:val="00130735"/>
    <w:rsid w:val="00130BF7"/>
    <w:rsid w:val="00131146"/>
    <w:rsid w:val="001319A9"/>
    <w:rsid w:val="00132051"/>
    <w:rsid w:val="00133F14"/>
    <w:rsid w:val="00135632"/>
    <w:rsid w:val="00135A8D"/>
    <w:rsid w:val="00135DC3"/>
    <w:rsid w:val="001365AC"/>
    <w:rsid w:val="00136732"/>
    <w:rsid w:val="00136CBC"/>
    <w:rsid w:val="00137EC5"/>
    <w:rsid w:val="00137F04"/>
    <w:rsid w:val="00137F75"/>
    <w:rsid w:val="001402D7"/>
    <w:rsid w:val="00141FB1"/>
    <w:rsid w:val="00143D66"/>
    <w:rsid w:val="00143E64"/>
    <w:rsid w:val="0014487A"/>
    <w:rsid w:val="00144E6B"/>
    <w:rsid w:val="00144F3C"/>
    <w:rsid w:val="00145B88"/>
    <w:rsid w:val="0014606C"/>
    <w:rsid w:val="00146324"/>
    <w:rsid w:val="0014668E"/>
    <w:rsid w:val="00146AA9"/>
    <w:rsid w:val="0014707D"/>
    <w:rsid w:val="001501F6"/>
    <w:rsid w:val="00151F0D"/>
    <w:rsid w:val="00151FB7"/>
    <w:rsid w:val="00152924"/>
    <w:rsid w:val="00152FA7"/>
    <w:rsid w:val="001532B0"/>
    <w:rsid w:val="001535A0"/>
    <w:rsid w:val="001542E7"/>
    <w:rsid w:val="001543BE"/>
    <w:rsid w:val="0015492D"/>
    <w:rsid w:val="00154F77"/>
    <w:rsid w:val="001554AC"/>
    <w:rsid w:val="0015668A"/>
    <w:rsid w:val="00157D8C"/>
    <w:rsid w:val="001600AD"/>
    <w:rsid w:val="0016254B"/>
    <w:rsid w:val="00164BC1"/>
    <w:rsid w:val="00164F6E"/>
    <w:rsid w:val="001655C5"/>
    <w:rsid w:val="0016611E"/>
    <w:rsid w:val="00167958"/>
    <w:rsid w:val="00167F18"/>
    <w:rsid w:val="00170F60"/>
    <w:rsid w:val="00171050"/>
    <w:rsid w:val="001727BD"/>
    <w:rsid w:val="0017388C"/>
    <w:rsid w:val="001739DB"/>
    <w:rsid w:val="00173C57"/>
    <w:rsid w:val="00174147"/>
    <w:rsid w:val="00174514"/>
    <w:rsid w:val="00176316"/>
    <w:rsid w:val="00180D10"/>
    <w:rsid w:val="00181132"/>
    <w:rsid w:val="001812D6"/>
    <w:rsid w:val="0018160F"/>
    <w:rsid w:val="00181AB8"/>
    <w:rsid w:val="00183120"/>
    <w:rsid w:val="00183481"/>
    <w:rsid w:val="00183A4B"/>
    <w:rsid w:val="00183AB8"/>
    <w:rsid w:val="001840E9"/>
    <w:rsid w:val="00185040"/>
    <w:rsid w:val="00185256"/>
    <w:rsid w:val="00185591"/>
    <w:rsid w:val="001855BB"/>
    <w:rsid w:val="001858D6"/>
    <w:rsid w:val="00185C5C"/>
    <w:rsid w:val="0018664B"/>
    <w:rsid w:val="00187CF1"/>
    <w:rsid w:val="00190A2C"/>
    <w:rsid w:val="00191471"/>
    <w:rsid w:val="001924AA"/>
    <w:rsid w:val="00192C41"/>
    <w:rsid w:val="00192EA4"/>
    <w:rsid w:val="00193317"/>
    <w:rsid w:val="0019369F"/>
    <w:rsid w:val="00193BB8"/>
    <w:rsid w:val="00193D1B"/>
    <w:rsid w:val="001943A3"/>
    <w:rsid w:val="001944BC"/>
    <w:rsid w:val="00194880"/>
    <w:rsid w:val="0019489E"/>
    <w:rsid w:val="001953BF"/>
    <w:rsid w:val="00196A43"/>
    <w:rsid w:val="00196E80"/>
    <w:rsid w:val="001A018A"/>
    <w:rsid w:val="001A225A"/>
    <w:rsid w:val="001A2539"/>
    <w:rsid w:val="001A2F1F"/>
    <w:rsid w:val="001A2FAD"/>
    <w:rsid w:val="001A3071"/>
    <w:rsid w:val="001A35AC"/>
    <w:rsid w:val="001A367C"/>
    <w:rsid w:val="001A4642"/>
    <w:rsid w:val="001A5524"/>
    <w:rsid w:val="001A5817"/>
    <w:rsid w:val="001A584A"/>
    <w:rsid w:val="001A5B43"/>
    <w:rsid w:val="001A60DB"/>
    <w:rsid w:val="001A7638"/>
    <w:rsid w:val="001A79B7"/>
    <w:rsid w:val="001A7A44"/>
    <w:rsid w:val="001B0739"/>
    <w:rsid w:val="001B08E0"/>
    <w:rsid w:val="001B0946"/>
    <w:rsid w:val="001B1164"/>
    <w:rsid w:val="001B26DF"/>
    <w:rsid w:val="001B2AEB"/>
    <w:rsid w:val="001B2F81"/>
    <w:rsid w:val="001B35F9"/>
    <w:rsid w:val="001B36B1"/>
    <w:rsid w:val="001B6233"/>
    <w:rsid w:val="001B62DB"/>
    <w:rsid w:val="001B6471"/>
    <w:rsid w:val="001B6DB6"/>
    <w:rsid w:val="001B7458"/>
    <w:rsid w:val="001B7626"/>
    <w:rsid w:val="001B7B80"/>
    <w:rsid w:val="001B7FC3"/>
    <w:rsid w:val="001C024F"/>
    <w:rsid w:val="001C0C03"/>
    <w:rsid w:val="001C0D8C"/>
    <w:rsid w:val="001C1020"/>
    <w:rsid w:val="001C1CE7"/>
    <w:rsid w:val="001C2303"/>
    <w:rsid w:val="001C2306"/>
    <w:rsid w:val="001C243D"/>
    <w:rsid w:val="001C2C95"/>
    <w:rsid w:val="001C4324"/>
    <w:rsid w:val="001C4357"/>
    <w:rsid w:val="001C4BC8"/>
    <w:rsid w:val="001C4F30"/>
    <w:rsid w:val="001C60D5"/>
    <w:rsid w:val="001C7E70"/>
    <w:rsid w:val="001D08EA"/>
    <w:rsid w:val="001D119F"/>
    <w:rsid w:val="001D2063"/>
    <w:rsid w:val="001D34CF"/>
    <w:rsid w:val="001D361A"/>
    <w:rsid w:val="001D45E2"/>
    <w:rsid w:val="001D4D68"/>
    <w:rsid w:val="001D6241"/>
    <w:rsid w:val="001E0039"/>
    <w:rsid w:val="001E0888"/>
    <w:rsid w:val="001E0CAA"/>
    <w:rsid w:val="001E2274"/>
    <w:rsid w:val="001E2C19"/>
    <w:rsid w:val="001E3068"/>
    <w:rsid w:val="001E33AA"/>
    <w:rsid w:val="001E356B"/>
    <w:rsid w:val="001E5FE4"/>
    <w:rsid w:val="001E63FD"/>
    <w:rsid w:val="001E64C4"/>
    <w:rsid w:val="001F0543"/>
    <w:rsid w:val="001F1AA1"/>
    <w:rsid w:val="001F393E"/>
    <w:rsid w:val="001F4C0B"/>
    <w:rsid w:val="001F5CE8"/>
    <w:rsid w:val="001F60B7"/>
    <w:rsid w:val="001F6218"/>
    <w:rsid w:val="001F6455"/>
    <w:rsid w:val="001F6E6C"/>
    <w:rsid w:val="001F6F62"/>
    <w:rsid w:val="0020087D"/>
    <w:rsid w:val="002015F6"/>
    <w:rsid w:val="00201A1C"/>
    <w:rsid w:val="00201FB6"/>
    <w:rsid w:val="00202445"/>
    <w:rsid w:val="002047E9"/>
    <w:rsid w:val="002049B2"/>
    <w:rsid w:val="00204DFA"/>
    <w:rsid w:val="002053C4"/>
    <w:rsid w:val="002057A0"/>
    <w:rsid w:val="002059E0"/>
    <w:rsid w:val="0020639F"/>
    <w:rsid w:val="00206826"/>
    <w:rsid w:val="00206C3D"/>
    <w:rsid w:val="00206F0A"/>
    <w:rsid w:val="002072A6"/>
    <w:rsid w:val="0021028F"/>
    <w:rsid w:val="00210774"/>
    <w:rsid w:val="002110EC"/>
    <w:rsid w:val="00211607"/>
    <w:rsid w:val="002121D4"/>
    <w:rsid w:val="0021248B"/>
    <w:rsid w:val="00212C9C"/>
    <w:rsid w:val="00212D83"/>
    <w:rsid w:val="00213E07"/>
    <w:rsid w:val="00213F6B"/>
    <w:rsid w:val="0021460B"/>
    <w:rsid w:val="00214A61"/>
    <w:rsid w:val="002151FF"/>
    <w:rsid w:val="00215BB3"/>
    <w:rsid w:val="00215CB7"/>
    <w:rsid w:val="00216C1F"/>
    <w:rsid w:val="00216EE9"/>
    <w:rsid w:val="00217512"/>
    <w:rsid w:val="002217FB"/>
    <w:rsid w:val="00222371"/>
    <w:rsid w:val="00222381"/>
    <w:rsid w:val="00222979"/>
    <w:rsid w:val="002234E0"/>
    <w:rsid w:val="00223700"/>
    <w:rsid w:val="00224C79"/>
    <w:rsid w:val="00225C65"/>
    <w:rsid w:val="0022673D"/>
    <w:rsid w:val="00227BDB"/>
    <w:rsid w:val="00231B8F"/>
    <w:rsid w:val="00231BDE"/>
    <w:rsid w:val="00232574"/>
    <w:rsid w:val="00232B9C"/>
    <w:rsid w:val="00232F5E"/>
    <w:rsid w:val="002335A3"/>
    <w:rsid w:val="002353E2"/>
    <w:rsid w:val="00235A70"/>
    <w:rsid w:val="00235F6C"/>
    <w:rsid w:val="002378A0"/>
    <w:rsid w:val="00240848"/>
    <w:rsid w:val="00240BFD"/>
    <w:rsid w:val="0024179A"/>
    <w:rsid w:val="0024203D"/>
    <w:rsid w:val="00242167"/>
    <w:rsid w:val="00242D10"/>
    <w:rsid w:val="0024490E"/>
    <w:rsid w:val="00244C00"/>
    <w:rsid w:val="0024508F"/>
    <w:rsid w:val="002450C3"/>
    <w:rsid w:val="002453BB"/>
    <w:rsid w:val="00245ECD"/>
    <w:rsid w:val="00247B59"/>
    <w:rsid w:val="00247DC4"/>
    <w:rsid w:val="00251C10"/>
    <w:rsid w:val="00251D30"/>
    <w:rsid w:val="00252427"/>
    <w:rsid w:val="002528B4"/>
    <w:rsid w:val="00252BFA"/>
    <w:rsid w:val="00252E68"/>
    <w:rsid w:val="00252F20"/>
    <w:rsid w:val="00255DDF"/>
    <w:rsid w:val="002564A3"/>
    <w:rsid w:val="00256BC8"/>
    <w:rsid w:val="00256D45"/>
    <w:rsid w:val="00257161"/>
    <w:rsid w:val="002574AF"/>
    <w:rsid w:val="0026032F"/>
    <w:rsid w:val="002608F5"/>
    <w:rsid w:val="002610E7"/>
    <w:rsid w:val="002616BB"/>
    <w:rsid w:val="002630AF"/>
    <w:rsid w:val="0026368E"/>
    <w:rsid w:val="00263E4F"/>
    <w:rsid w:val="00264C8C"/>
    <w:rsid w:val="00265310"/>
    <w:rsid w:val="002654A8"/>
    <w:rsid w:val="0026589E"/>
    <w:rsid w:val="00265BDE"/>
    <w:rsid w:val="00265F77"/>
    <w:rsid w:val="00266138"/>
    <w:rsid w:val="00266A13"/>
    <w:rsid w:val="00266CC1"/>
    <w:rsid w:val="00266DC2"/>
    <w:rsid w:val="002670C2"/>
    <w:rsid w:val="002670CD"/>
    <w:rsid w:val="00270768"/>
    <w:rsid w:val="00270B6C"/>
    <w:rsid w:val="00271837"/>
    <w:rsid w:val="00271BA4"/>
    <w:rsid w:val="00271E4A"/>
    <w:rsid w:val="0027276B"/>
    <w:rsid w:val="0027313A"/>
    <w:rsid w:val="00273B2C"/>
    <w:rsid w:val="00274FD2"/>
    <w:rsid w:val="00275053"/>
    <w:rsid w:val="00275F1D"/>
    <w:rsid w:val="0027676A"/>
    <w:rsid w:val="00276B90"/>
    <w:rsid w:val="002771F3"/>
    <w:rsid w:val="002776D4"/>
    <w:rsid w:val="00277771"/>
    <w:rsid w:val="00277F8C"/>
    <w:rsid w:val="00280EFE"/>
    <w:rsid w:val="0028102D"/>
    <w:rsid w:val="002811F9"/>
    <w:rsid w:val="00281CBD"/>
    <w:rsid w:val="00282523"/>
    <w:rsid w:val="002839B5"/>
    <w:rsid w:val="00284117"/>
    <w:rsid w:val="00284153"/>
    <w:rsid w:val="00284CC5"/>
    <w:rsid w:val="002856D1"/>
    <w:rsid w:val="0028677C"/>
    <w:rsid w:val="00287069"/>
    <w:rsid w:val="00287527"/>
    <w:rsid w:val="00287DA3"/>
    <w:rsid w:val="00287F84"/>
    <w:rsid w:val="002907D5"/>
    <w:rsid w:val="00293BFA"/>
    <w:rsid w:val="00294B77"/>
    <w:rsid w:val="0029535E"/>
    <w:rsid w:val="002971AC"/>
    <w:rsid w:val="00297D47"/>
    <w:rsid w:val="002A00B2"/>
    <w:rsid w:val="002A222D"/>
    <w:rsid w:val="002A2A31"/>
    <w:rsid w:val="002A37E8"/>
    <w:rsid w:val="002A425F"/>
    <w:rsid w:val="002A4447"/>
    <w:rsid w:val="002A4F06"/>
    <w:rsid w:val="002A5D63"/>
    <w:rsid w:val="002A5F40"/>
    <w:rsid w:val="002A5FF4"/>
    <w:rsid w:val="002A68F8"/>
    <w:rsid w:val="002A73C5"/>
    <w:rsid w:val="002A74D7"/>
    <w:rsid w:val="002A7561"/>
    <w:rsid w:val="002A7A6A"/>
    <w:rsid w:val="002B0FA1"/>
    <w:rsid w:val="002B1183"/>
    <w:rsid w:val="002B14ED"/>
    <w:rsid w:val="002B1D33"/>
    <w:rsid w:val="002B1DD5"/>
    <w:rsid w:val="002B1EBE"/>
    <w:rsid w:val="002B4DFB"/>
    <w:rsid w:val="002B5532"/>
    <w:rsid w:val="002B56D6"/>
    <w:rsid w:val="002B579F"/>
    <w:rsid w:val="002B5BDD"/>
    <w:rsid w:val="002B607F"/>
    <w:rsid w:val="002B683F"/>
    <w:rsid w:val="002B6E40"/>
    <w:rsid w:val="002B713A"/>
    <w:rsid w:val="002B7C86"/>
    <w:rsid w:val="002C033D"/>
    <w:rsid w:val="002C0B09"/>
    <w:rsid w:val="002C0DF2"/>
    <w:rsid w:val="002C141B"/>
    <w:rsid w:val="002C1A59"/>
    <w:rsid w:val="002C2328"/>
    <w:rsid w:val="002C36C6"/>
    <w:rsid w:val="002C404F"/>
    <w:rsid w:val="002C4456"/>
    <w:rsid w:val="002C46C1"/>
    <w:rsid w:val="002C5C96"/>
    <w:rsid w:val="002C60EC"/>
    <w:rsid w:val="002C67CB"/>
    <w:rsid w:val="002C7175"/>
    <w:rsid w:val="002C7B77"/>
    <w:rsid w:val="002C7E81"/>
    <w:rsid w:val="002D2183"/>
    <w:rsid w:val="002D2946"/>
    <w:rsid w:val="002D3F8F"/>
    <w:rsid w:val="002D4127"/>
    <w:rsid w:val="002D4BD8"/>
    <w:rsid w:val="002D4EA9"/>
    <w:rsid w:val="002D5589"/>
    <w:rsid w:val="002D7B59"/>
    <w:rsid w:val="002E051D"/>
    <w:rsid w:val="002E05BB"/>
    <w:rsid w:val="002E0A2E"/>
    <w:rsid w:val="002E15FB"/>
    <w:rsid w:val="002E1706"/>
    <w:rsid w:val="002E1BA2"/>
    <w:rsid w:val="002E22E8"/>
    <w:rsid w:val="002E36EF"/>
    <w:rsid w:val="002E3B7C"/>
    <w:rsid w:val="002E45FA"/>
    <w:rsid w:val="002E46F1"/>
    <w:rsid w:val="002E498E"/>
    <w:rsid w:val="002E5FE0"/>
    <w:rsid w:val="002E6528"/>
    <w:rsid w:val="002F02BA"/>
    <w:rsid w:val="002F0668"/>
    <w:rsid w:val="002F0C69"/>
    <w:rsid w:val="002F0D08"/>
    <w:rsid w:val="002F10E6"/>
    <w:rsid w:val="002F1F89"/>
    <w:rsid w:val="002F29B8"/>
    <w:rsid w:val="002F2C90"/>
    <w:rsid w:val="002F2D99"/>
    <w:rsid w:val="002F31A7"/>
    <w:rsid w:val="002F3726"/>
    <w:rsid w:val="002F3B9F"/>
    <w:rsid w:val="002F3E3A"/>
    <w:rsid w:val="002F68CD"/>
    <w:rsid w:val="002F7E56"/>
    <w:rsid w:val="002F7F23"/>
    <w:rsid w:val="0030016A"/>
    <w:rsid w:val="003009E6"/>
    <w:rsid w:val="00300A9F"/>
    <w:rsid w:val="003010ED"/>
    <w:rsid w:val="00301BF4"/>
    <w:rsid w:val="00302AFA"/>
    <w:rsid w:val="00302BD5"/>
    <w:rsid w:val="00303909"/>
    <w:rsid w:val="00303D4F"/>
    <w:rsid w:val="0030670E"/>
    <w:rsid w:val="003068EE"/>
    <w:rsid w:val="00306F12"/>
    <w:rsid w:val="00307679"/>
    <w:rsid w:val="00307B84"/>
    <w:rsid w:val="00310A1F"/>
    <w:rsid w:val="00310EF3"/>
    <w:rsid w:val="00311172"/>
    <w:rsid w:val="003111C9"/>
    <w:rsid w:val="00311831"/>
    <w:rsid w:val="00312409"/>
    <w:rsid w:val="00312D79"/>
    <w:rsid w:val="00312E7F"/>
    <w:rsid w:val="00313171"/>
    <w:rsid w:val="003138F4"/>
    <w:rsid w:val="00313D29"/>
    <w:rsid w:val="00313F8E"/>
    <w:rsid w:val="00314245"/>
    <w:rsid w:val="00314ABF"/>
    <w:rsid w:val="00314F4F"/>
    <w:rsid w:val="00314FAA"/>
    <w:rsid w:val="003160BB"/>
    <w:rsid w:val="003161B8"/>
    <w:rsid w:val="00316296"/>
    <w:rsid w:val="00317592"/>
    <w:rsid w:val="00317D90"/>
    <w:rsid w:val="003203ED"/>
    <w:rsid w:val="0032119C"/>
    <w:rsid w:val="00321A5F"/>
    <w:rsid w:val="00322084"/>
    <w:rsid w:val="00322617"/>
    <w:rsid w:val="00322ED2"/>
    <w:rsid w:val="00322F0E"/>
    <w:rsid w:val="00323227"/>
    <w:rsid w:val="00325714"/>
    <w:rsid w:val="003261F8"/>
    <w:rsid w:val="00326D6C"/>
    <w:rsid w:val="00326DCE"/>
    <w:rsid w:val="00327F62"/>
    <w:rsid w:val="00327FCB"/>
    <w:rsid w:val="00330880"/>
    <w:rsid w:val="003313A6"/>
    <w:rsid w:val="0033161B"/>
    <w:rsid w:val="00331D4B"/>
    <w:rsid w:val="003333FF"/>
    <w:rsid w:val="003338BB"/>
    <w:rsid w:val="00333CF1"/>
    <w:rsid w:val="00333D80"/>
    <w:rsid w:val="00334D05"/>
    <w:rsid w:val="00335263"/>
    <w:rsid w:val="0033540C"/>
    <w:rsid w:val="00335997"/>
    <w:rsid w:val="00336821"/>
    <w:rsid w:val="003375A6"/>
    <w:rsid w:val="00337600"/>
    <w:rsid w:val="00337889"/>
    <w:rsid w:val="00340324"/>
    <w:rsid w:val="00340E34"/>
    <w:rsid w:val="00341180"/>
    <w:rsid w:val="003417C0"/>
    <w:rsid w:val="00341809"/>
    <w:rsid w:val="00341BA2"/>
    <w:rsid w:val="00341CCF"/>
    <w:rsid w:val="0034209A"/>
    <w:rsid w:val="003422F4"/>
    <w:rsid w:val="00343E67"/>
    <w:rsid w:val="00344869"/>
    <w:rsid w:val="003456C4"/>
    <w:rsid w:val="003465C5"/>
    <w:rsid w:val="00347492"/>
    <w:rsid w:val="00350BB5"/>
    <w:rsid w:val="00350FDA"/>
    <w:rsid w:val="003521AC"/>
    <w:rsid w:val="0035287D"/>
    <w:rsid w:val="00352895"/>
    <w:rsid w:val="00352B7B"/>
    <w:rsid w:val="003531A2"/>
    <w:rsid w:val="00354059"/>
    <w:rsid w:val="00354469"/>
    <w:rsid w:val="00355903"/>
    <w:rsid w:val="00355CC1"/>
    <w:rsid w:val="003564E4"/>
    <w:rsid w:val="00356BA4"/>
    <w:rsid w:val="003576CD"/>
    <w:rsid w:val="00357745"/>
    <w:rsid w:val="003579BB"/>
    <w:rsid w:val="003601D3"/>
    <w:rsid w:val="003609F4"/>
    <w:rsid w:val="00360A78"/>
    <w:rsid w:val="00360A85"/>
    <w:rsid w:val="00360E80"/>
    <w:rsid w:val="003614C9"/>
    <w:rsid w:val="00361B98"/>
    <w:rsid w:val="00362F60"/>
    <w:rsid w:val="00363526"/>
    <w:rsid w:val="00363D73"/>
    <w:rsid w:val="00364AE3"/>
    <w:rsid w:val="00365DF0"/>
    <w:rsid w:val="00366387"/>
    <w:rsid w:val="003665F3"/>
    <w:rsid w:val="00367B18"/>
    <w:rsid w:val="00367C81"/>
    <w:rsid w:val="00370022"/>
    <w:rsid w:val="00370B29"/>
    <w:rsid w:val="00370C4E"/>
    <w:rsid w:val="00370C64"/>
    <w:rsid w:val="00370E75"/>
    <w:rsid w:val="0037212A"/>
    <w:rsid w:val="003724FE"/>
    <w:rsid w:val="003738E9"/>
    <w:rsid w:val="0037457F"/>
    <w:rsid w:val="00374AD0"/>
    <w:rsid w:val="00374AD2"/>
    <w:rsid w:val="003753DB"/>
    <w:rsid w:val="003768F5"/>
    <w:rsid w:val="003771D2"/>
    <w:rsid w:val="00377265"/>
    <w:rsid w:val="00377775"/>
    <w:rsid w:val="00377BFC"/>
    <w:rsid w:val="00380652"/>
    <w:rsid w:val="00380D02"/>
    <w:rsid w:val="00380F80"/>
    <w:rsid w:val="00381058"/>
    <w:rsid w:val="00381143"/>
    <w:rsid w:val="0038117A"/>
    <w:rsid w:val="00381910"/>
    <w:rsid w:val="0038248D"/>
    <w:rsid w:val="003824AC"/>
    <w:rsid w:val="0038290E"/>
    <w:rsid w:val="00382BBB"/>
    <w:rsid w:val="003838E2"/>
    <w:rsid w:val="00383F27"/>
    <w:rsid w:val="003841D3"/>
    <w:rsid w:val="00384591"/>
    <w:rsid w:val="0038496C"/>
    <w:rsid w:val="003863D3"/>
    <w:rsid w:val="00386952"/>
    <w:rsid w:val="00387E27"/>
    <w:rsid w:val="00390716"/>
    <w:rsid w:val="003909D3"/>
    <w:rsid w:val="003919CF"/>
    <w:rsid w:val="00391C70"/>
    <w:rsid w:val="0039216C"/>
    <w:rsid w:val="003924F2"/>
    <w:rsid w:val="00393EBA"/>
    <w:rsid w:val="00393FA0"/>
    <w:rsid w:val="0039402C"/>
    <w:rsid w:val="003944EE"/>
    <w:rsid w:val="00395188"/>
    <w:rsid w:val="0039641D"/>
    <w:rsid w:val="00396814"/>
    <w:rsid w:val="00396C14"/>
    <w:rsid w:val="00397B56"/>
    <w:rsid w:val="00397B88"/>
    <w:rsid w:val="003A01BD"/>
    <w:rsid w:val="003A19B8"/>
    <w:rsid w:val="003A1C8F"/>
    <w:rsid w:val="003A223A"/>
    <w:rsid w:val="003A25B9"/>
    <w:rsid w:val="003A2F40"/>
    <w:rsid w:val="003A4B81"/>
    <w:rsid w:val="003A5108"/>
    <w:rsid w:val="003A5C78"/>
    <w:rsid w:val="003A5D71"/>
    <w:rsid w:val="003A6CDD"/>
    <w:rsid w:val="003A749D"/>
    <w:rsid w:val="003A79C5"/>
    <w:rsid w:val="003B057E"/>
    <w:rsid w:val="003B0772"/>
    <w:rsid w:val="003B0BB4"/>
    <w:rsid w:val="003B0EB9"/>
    <w:rsid w:val="003B11CA"/>
    <w:rsid w:val="003B259C"/>
    <w:rsid w:val="003B25B6"/>
    <w:rsid w:val="003B2B0F"/>
    <w:rsid w:val="003B2DC4"/>
    <w:rsid w:val="003B34A6"/>
    <w:rsid w:val="003B35AB"/>
    <w:rsid w:val="003B39CF"/>
    <w:rsid w:val="003B3EE4"/>
    <w:rsid w:val="003B4197"/>
    <w:rsid w:val="003B4B1F"/>
    <w:rsid w:val="003B4BEB"/>
    <w:rsid w:val="003B4D3A"/>
    <w:rsid w:val="003B4ED9"/>
    <w:rsid w:val="003B52F0"/>
    <w:rsid w:val="003B69CC"/>
    <w:rsid w:val="003B741E"/>
    <w:rsid w:val="003B7D8D"/>
    <w:rsid w:val="003C0584"/>
    <w:rsid w:val="003C0FC0"/>
    <w:rsid w:val="003C1CB9"/>
    <w:rsid w:val="003C1FE9"/>
    <w:rsid w:val="003C3781"/>
    <w:rsid w:val="003C3931"/>
    <w:rsid w:val="003C3B69"/>
    <w:rsid w:val="003C44B7"/>
    <w:rsid w:val="003C479A"/>
    <w:rsid w:val="003C5827"/>
    <w:rsid w:val="003C612F"/>
    <w:rsid w:val="003C62BD"/>
    <w:rsid w:val="003C6479"/>
    <w:rsid w:val="003C7E46"/>
    <w:rsid w:val="003D040B"/>
    <w:rsid w:val="003D0A1B"/>
    <w:rsid w:val="003D140D"/>
    <w:rsid w:val="003D22AE"/>
    <w:rsid w:val="003D329C"/>
    <w:rsid w:val="003D38D2"/>
    <w:rsid w:val="003D3F7C"/>
    <w:rsid w:val="003D43F3"/>
    <w:rsid w:val="003D473D"/>
    <w:rsid w:val="003D47F0"/>
    <w:rsid w:val="003D5573"/>
    <w:rsid w:val="003D55C7"/>
    <w:rsid w:val="003D6065"/>
    <w:rsid w:val="003D624F"/>
    <w:rsid w:val="003D6589"/>
    <w:rsid w:val="003D702D"/>
    <w:rsid w:val="003D703F"/>
    <w:rsid w:val="003D71FD"/>
    <w:rsid w:val="003D7571"/>
    <w:rsid w:val="003D7752"/>
    <w:rsid w:val="003D7AE4"/>
    <w:rsid w:val="003E042E"/>
    <w:rsid w:val="003E06CC"/>
    <w:rsid w:val="003E0B01"/>
    <w:rsid w:val="003E19E3"/>
    <w:rsid w:val="003E1C76"/>
    <w:rsid w:val="003E2000"/>
    <w:rsid w:val="003E2047"/>
    <w:rsid w:val="003E209F"/>
    <w:rsid w:val="003E331C"/>
    <w:rsid w:val="003E3B7D"/>
    <w:rsid w:val="003E4867"/>
    <w:rsid w:val="003E55F8"/>
    <w:rsid w:val="003E64B7"/>
    <w:rsid w:val="003E708A"/>
    <w:rsid w:val="003E7716"/>
    <w:rsid w:val="003E7B9A"/>
    <w:rsid w:val="003F0323"/>
    <w:rsid w:val="003F06FB"/>
    <w:rsid w:val="003F0DCD"/>
    <w:rsid w:val="003F158A"/>
    <w:rsid w:val="003F1A1C"/>
    <w:rsid w:val="003F24D8"/>
    <w:rsid w:val="003F2AA9"/>
    <w:rsid w:val="003F407D"/>
    <w:rsid w:val="003F4EC0"/>
    <w:rsid w:val="003F5325"/>
    <w:rsid w:val="003F55E3"/>
    <w:rsid w:val="003F62FD"/>
    <w:rsid w:val="003F67B0"/>
    <w:rsid w:val="003F7054"/>
    <w:rsid w:val="003F71C6"/>
    <w:rsid w:val="003F740C"/>
    <w:rsid w:val="003F76A3"/>
    <w:rsid w:val="0040045C"/>
    <w:rsid w:val="00401EEE"/>
    <w:rsid w:val="00402195"/>
    <w:rsid w:val="00402CDC"/>
    <w:rsid w:val="004031D3"/>
    <w:rsid w:val="00403CA8"/>
    <w:rsid w:val="00404B82"/>
    <w:rsid w:val="00404F43"/>
    <w:rsid w:val="00405623"/>
    <w:rsid w:val="00406971"/>
    <w:rsid w:val="0040725B"/>
    <w:rsid w:val="0041044D"/>
    <w:rsid w:val="00410EC0"/>
    <w:rsid w:val="00411516"/>
    <w:rsid w:val="00411735"/>
    <w:rsid w:val="00411FCD"/>
    <w:rsid w:val="00414C2D"/>
    <w:rsid w:val="00415458"/>
    <w:rsid w:val="00415A0F"/>
    <w:rsid w:val="00415E4C"/>
    <w:rsid w:val="0041677D"/>
    <w:rsid w:val="00416A57"/>
    <w:rsid w:val="00416CEA"/>
    <w:rsid w:val="00416D63"/>
    <w:rsid w:val="00417A7C"/>
    <w:rsid w:val="00417B31"/>
    <w:rsid w:val="00420F7C"/>
    <w:rsid w:val="00420F8A"/>
    <w:rsid w:val="00422012"/>
    <w:rsid w:val="0042231E"/>
    <w:rsid w:val="00422384"/>
    <w:rsid w:val="004223DD"/>
    <w:rsid w:val="00422427"/>
    <w:rsid w:val="00423143"/>
    <w:rsid w:val="00423498"/>
    <w:rsid w:val="00423A19"/>
    <w:rsid w:val="00423D6F"/>
    <w:rsid w:val="00423D79"/>
    <w:rsid w:val="004250E7"/>
    <w:rsid w:val="00425963"/>
    <w:rsid w:val="00425BF0"/>
    <w:rsid w:val="004261AC"/>
    <w:rsid w:val="0042668F"/>
    <w:rsid w:val="00426AA3"/>
    <w:rsid w:val="00426ADE"/>
    <w:rsid w:val="00426B94"/>
    <w:rsid w:val="00426EEA"/>
    <w:rsid w:val="004274E4"/>
    <w:rsid w:val="00427D04"/>
    <w:rsid w:val="004302F2"/>
    <w:rsid w:val="00430FE6"/>
    <w:rsid w:val="004312BE"/>
    <w:rsid w:val="00431443"/>
    <w:rsid w:val="004332B5"/>
    <w:rsid w:val="004333C8"/>
    <w:rsid w:val="004342EF"/>
    <w:rsid w:val="00434FF2"/>
    <w:rsid w:val="00436770"/>
    <w:rsid w:val="0043684E"/>
    <w:rsid w:val="00436F5E"/>
    <w:rsid w:val="00437388"/>
    <w:rsid w:val="0043775F"/>
    <w:rsid w:val="004379B4"/>
    <w:rsid w:val="004379F5"/>
    <w:rsid w:val="00437BE3"/>
    <w:rsid w:val="00440C2C"/>
    <w:rsid w:val="004414C5"/>
    <w:rsid w:val="00441EC6"/>
    <w:rsid w:val="00444092"/>
    <w:rsid w:val="0044420D"/>
    <w:rsid w:val="00444281"/>
    <w:rsid w:val="00444702"/>
    <w:rsid w:val="004454B9"/>
    <w:rsid w:val="00445501"/>
    <w:rsid w:val="004465B1"/>
    <w:rsid w:val="004468F5"/>
    <w:rsid w:val="00446EAC"/>
    <w:rsid w:val="0044707B"/>
    <w:rsid w:val="0044713B"/>
    <w:rsid w:val="004471CD"/>
    <w:rsid w:val="00451617"/>
    <w:rsid w:val="00451875"/>
    <w:rsid w:val="00452424"/>
    <w:rsid w:val="0045248A"/>
    <w:rsid w:val="00453820"/>
    <w:rsid w:val="00453A6C"/>
    <w:rsid w:val="00453B53"/>
    <w:rsid w:val="00454EB1"/>
    <w:rsid w:val="00454F39"/>
    <w:rsid w:val="0045518E"/>
    <w:rsid w:val="0045529D"/>
    <w:rsid w:val="004557FF"/>
    <w:rsid w:val="00455CF7"/>
    <w:rsid w:val="004571B3"/>
    <w:rsid w:val="004574BA"/>
    <w:rsid w:val="00457DCD"/>
    <w:rsid w:val="004609BC"/>
    <w:rsid w:val="00461579"/>
    <w:rsid w:val="00463479"/>
    <w:rsid w:val="0046408A"/>
    <w:rsid w:val="0046437C"/>
    <w:rsid w:val="004644A4"/>
    <w:rsid w:val="00465706"/>
    <w:rsid w:val="00466DD5"/>
    <w:rsid w:val="0046735C"/>
    <w:rsid w:val="0046769F"/>
    <w:rsid w:val="00467F27"/>
    <w:rsid w:val="004708E9"/>
    <w:rsid w:val="00470CD5"/>
    <w:rsid w:val="00470D90"/>
    <w:rsid w:val="0047156F"/>
    <w:rsid w:val="00471896"/>
    <w:rsid w:val="00471DED"/>
    <w:rsid w:val="0047289D"/>
    <w:rsid w:val="00472B30"/>
    <w:rsid w:val="00473289"/>
    <w:rsid w:val="00474520"/>
    <w:rsid w:val="00476149"/>
    <w:rsid w:val="00476379"/>
    <w:rsid w:val="004779FB"/>
    <w:rsid w:val="00477A35"/>
    <w:rsid w:val="004824B1"/>
    <w:rsid w:val="00482842"/>
    <w:rsid w:val="0048349C"/>
    <w:rsid w:val="004841F8"/>
    <w:rsid w:val="00485B3E"/>
    <w:rsid w:val="0048646B"/>
    <w:rsid w:val="00486620"/>
    <w:rsid w:val="0048724D"/>
    <w:rsid w:val="004879CE"/>
    <w:rsid w:val="00491C72"/>
    <w:rsid w:val="00491C96"/>
    <w:rsid w:val="00491D76"/>
    <w:rsid w:val="004926B2"/>
    <w:rsid w:val="00492B40"/>
    <w:rsid w:val="0049389A"/>
    <w:rsid w:val="00493E20"/>
    <w:rsid w:val="004941EB"/>
    <w:rsid w:val="0049437B"/>
    <w:rsid w:val="004943D8"/>
    <w:rsid w:val="00497383"/>
    <w:rsid w:val="004977DF"/>
    <w:rsid w:val="004A0654"/>
    <w:rsid w:val="004A0910"/>
    <w:rsid w:val="004A0B82"/>
    <w:rsid w:val="004A1392"/>
    <w:rsid w:val="004A1AF9"/>
    <w:rsid w:val="004A2338"/>
    <w:rsid w:val="004A2C3B"/>
    <w:rsid w:val="004A3DC1"/>
    <w:rsid w:val="004A4CBB"/>
    <w:rsid w:val="004A6134"/>
    <w:rsid w:val="004A7516"/>
    <w:rsid w:val="004B0219"/>
    <w:rsid w:val="004B0455"/>
    <w:rsid w:val="004B0460"/>
    <w:rsid w:val="004B1315"/>
    <w:rsid w:val="004B1BAC"/>
    <w:rsid w:val="004B21A7"/>
    <w:rsid w:val="004B25D8"/>
    <w:rsid w:val="004B29C1"/>
    <w:rsid w:val="004B2B86"/>
    <w:rsid w:val="004B2CAC"/>
    <w:rsid w:val="004B2CF6"/>
    <w:rsid w:val="004B3747"/>
    <w:rsid w:val="004B4C8F"/>
    <w:rsid w:val="004B58CA"/>
    <w:rsid w:val="004B59C6"/>
    <w:rsid w:val="004B6135"/>
    <w:rsid w:val="004B638C"/>
    <w:rsid w:val="004B6A29"/>
    <w:rsid w:val="004B6ED3"/>
    <w:rsid w:val="004B6F2C"/>
    <w:rsid w:val="004B7213"/>
    <w:rsid w:val="004B7BB3"/>
    <w:rsid w:val="004C115B"/>
    <w:rsid w:val="004C1548"/>
    <w:rsid w:val="004C1703"/>
    <w:rsid w:val="004C2443"/>
    <w:rsid w:val="004C3DCB"/>
    <w:rsid w:val="004C437A"/>
    <w:rsid w:val="004C467A"/>
    <w:rsid w:val="004C5501"/>
    <w:rsid w:val="004C5D05"/>
    <w:rsid w:val="004C70DE"/>
    <w:rsid w:val="004C7188"/>
    <w:rsid w:val="004C79CC"/>
    <w:rsid w:val="004C7C5C"/>
    <w:rsid w:val="004D0EA4"/>
    <w:rsid w:val="004D1954"/>
    <w:rsid w:val="004D196D"/>
    <w:rsid w:val="004D1C21"/>
    <w:rsid w:val="004D29CA"/>
    <w:rsid w:val="004D2A76"/>
    <w:rsid w:val="004D2F6B"/>
    <w:rsid w:val="004D31B5"/>
    <w:rsid w:val="004D3867"/>
    <w:rsid w:val="004D4D4E"/>
    <w:rsid w:val="004D5210"/>
    <w:rsid w:val="004D551B"/>
    <w:rsid w:val="004D572B"/>
    <w:rsid w:val="004D5D4E"/>
    <w:rsid w:val="004D7060"/>
    <w:rsid w:val="004D76F2"/>
    <w:rsid w:val="004E0139"/>
    <w:rsid w:val="004E1AF4"/>
    <w:rsid w:val="004E1FEB"/>
    <w:rsid w:val="004E20E8"/>
    <w:rsid w:val="004E3906"/>
    <w:rsid w:val="004E3AE0"/>
    <w:rsid w:val="004E3B1D"/>
    <w:rsid w:val="004E4386"/>
    <w:rsid w:val="004E4A4D"/>
    <w:rsid w:val="004E4C8F"/>
    <w:rsid w:val="004E58A9"/>
    <w:rsid w:val="004E5982"/>
    <w:rsid w:val="004E5DE5"/>
    <w:rsid w:val="004E67A1"/>
    <w:rsid w:val="004E6985"/>
    <w:rsid w:val="004E6AF9"/>
    <w:rsid w:val="004F0146"/>
    <w:rsid w:val="004F0A20"/>
    <w:rsid w:val="004F0E7C"/>
    <w:rsid w:val="004F1CCE"/>
    <w:rsid w:val="004F2B65"/>
    <w:rsid w:val="004F331B"/>
    <w:rsid w:val="004F4AC2"/>
    <w:rsid w:val="004F4BC9"/>
    <w:rsid w:val="004F50DF"/>
    <w:rsid w:val="004F6A68"/>
    <w:rsid w:val="004F77E6"/>
    <w:rsid w:val="005000EA"/>
    <w:rsid w:val="00501A39"/>
    <w:rsid w:val="00503058"/>
    <w:rsid w:val="00503529"/>
    <w:rsid w:val="00503972"/>
    <w:rsid w:val="005040A4"/>
    <w:rsid w:val="005053B6"/>
    <w:rsid w:val="005068C4"/>
    <w:rsid w:val="00506950"/>
    <w:rsid w:val="00510CE7"/>
    <w:rsid w:val="005115FB"/>
    <w:rsid w:val="00511EFD"/>
    <w:rsid w:val="00512B77"/>
    <w:rsid w:val="00512E51"/>
    <w:rsid w:val="0051310B"/>
    <w:rsid w:val="00513945"/>
    <w:rsid w:val="00515010"/>
    <w:rsid w:val="005156A2"/>
    <w:rsid w:val="00515B6A"/>
    <w:rsid w:val="00515E79"/>
    <w:rsid w:val="00516FB0"/>
    <w:rsid w:val="005209CD"/>
    <w:rsid w:val="00520C0B"/>
    <w:rsid w:val="00521579"/>
    <w:rsid w:val="00521890"/>
    <w:rsid w:val="00521D57"/>
    <w:rsid w:val="00522695"/>
    <w:rsid w:val="00523283"/>
    <w:rsid w:val="0052383F"/>
    <w:rsid w:val="00524691"/>
    <w:rsid w:val="00524B31"/>
    <w:rsid w:val="00524BE7"/>
    <w:rsid w:val="00524CBF"/>
    <w:rsid w:val="005257F6"/>
    <w:rsid w:val="00525E5E"/>
    <w:rsid w:val="00525F94"/>
    <w:rsid w:val="00526708"/>
    <w:rsid w:val="00526CAB"/>
    <w:rsid w:val="00526CCF"/>
    <w:rsid w:val="00526F29"/>
    <w:rsid w:val="00530735"/>
    <w:rsid w:val="005308C7"/>
    <w:rsid w:val="00530A40"/>
    <w:rsid w:val="0053119C"/>
    <w:rsid w:val="00531B14"/>
    <w:rsid w:val="005327E1"/>
    <w:rsid w:val="00532864"/>
    <w:rsid w:val="005328C1"/>
    <w:rsid w:val="00533008"/>
    <w:rsid w:val="005331AD"/>
    <w:rsid w:val="00533EFE"/>
    <w:rsid w:val="005340D2"/>
    <w:rsid w:val="005346A8"/>
    <w:rsid w:val="00534C2D"/>
    <w:rsid w:val="00535DB6"/>
    <w:rsid w:val="005362E9"/>
    <w:rsid w:val="00537206"/>
    <w:rsid w:val="00537290"/>
    <w:rsid w:val="005408DE"/>
    <w:rsid w:val="00540F01"/>
    <w:rsid w:val="00541C88"/>
    <w:rsid w:val="00542648"/>
    <w:rsid w:val="00542A4E"/>
    <w:rsid w:val="00542AEF"/>
    <w:rsid w:val="00542F98"/>
    <w:rsid w:val="005430D2"/>
    <w:rsid w:val="005433B2"/>
    <w:rsid w:val="005443A0"/>
    <w:rsid w:val="005448BA"/>
    <w:rsid w:val="00544CE4"/>
    <w:rsid w:val="005452DB"/>
    <w:rsid w:val="0054545C"/>
    <w:rsid w:val="00545CE1"/>
    <w:rsid w:val="00545EC7"/>
    <w:rsid w:val="005473B8"/>
    <w:rsid w:val="00547496"/>
    <w:rsid w:val="00547673"/>
    <w:rsid w:val="0054781D"/>
    <w:rsid w:val="005507DD"/>
    <w:rsid w:val="005507ED"/>
    <w:rsid w:val="005519B5"/>
    <w:rsid w:val="00551C26"/>
    <w:rsid w:val="00552B3C"/>
    <w:rsid w:val="00552E9E"/>
    <w:rsid w:val="00553A21"/>
    <w:rsid w:val="00553D8A"/>
    <w:rsid w:val="00554502"/>
    <w:rsid w:val="005554A2"/>
    <w:rsid w:val="005576D1"/>
    <w:rsid w:val="005579C1"/>
    <w:rsid w:val="00557B8E"/>
    <w:rsid w:val="0056141B"/>
    <w:rsid w:val="00561515"/>
    <w:rsid w:val="00561AD1"/>
    <w:rsid w:val="00561B1C"/>
    <w:rsid w:val="00562145"/>
    <w:rsid w:val="005622F7"/>
    <w:rsid w:val="00562462"/>
    <w:rsid w:val="005626A6"/>
    <w:rsid w:val="00562DD9"/>
    <w:rsid w:val="00562DF0"/>
    <w:rsid w:val="005632C1"/>
    <w:rsid w:val="0056373C"/>
    <w:rsid w:val="0056457C"/>
    <w:rsid w:val="00565BCB"/>
    <w:rsid w:val="00566347"/>
    <w:rsid w:val="00566A4D"/>
    <w:rsid w:val="00566F28"/>
    <w:rsid w:val="00567127"/>
    <w:rsid w:val="00567563"/>
    <w:rsid w:val="005703BB"/>
    <w:rsid w:val="005703DC"/>
    <w:rsid w:val="00570EF1"/>
    <w:rsid w:val="005715C1"/>
    <w:rsid w:val="0057255E"/>
    <w:rsid w:val="0057309E"/>
    <w:rsid w:val="005734AA"/>
    <w:rsid w:val="00573B06"/>
    <w:rsid w:val="005744D2"/>
    <w:rsid w:val="00574963"/>
    <w:rsid w:val="0057512F"/>
    <w:rsid w:val="005772CD"/>
    <w:rsid w:val="00577FC2"/>
    <w:rsid w:val="00580A93"/>
    <w:rsid w:val="00581DCF"/>
    <w:rsid w:val="00581FF5"/>
    <w:rsid w:val="00582661"/>
    <w:rsid w:val="005837C5"/>
    <w:rsid w:val="005849D8"/>
    <w:rsid w:val="00584EE9"/>
    <w:rsid w:val="005852B8"/>
    <w:rsid w:val="00585500"/>
    <w:rsid w:val="00585578"/>
    <w:rsid w:val="005863AE"/>
    <w:rsid w:val="0058655C"/>
    <w:rsid w:val="0058698B"/>
    <w:rsid w:val="00586C7A"/>
    <w:rsid w:val="00587407"/>
    <w:rsid w:val="00590348"/>
    <w:rsid w:val="00590502"/>
    <w:rsid w:val="00591334"/>
    <w:rsid w:val="00591381"/>
    <w:rsid w:val="00591C70"/>
    <w:rsid w:val="00591E9E"/>
    <w:rsid w:val="00592466"/>
    <w:rsid w:val="0059327A"/>
    <w:rsid w:val="00594823"/>
    <w:rsid w:val="00594E1D"/>
    <w:rsid w:val="00596C68"/>
    <w:rsid w:val="0059713E"/>
    <w:rsid w:val="00597B09"/>
    <w:rsid w:val="005A092A"/>
    <w:rsid w:val="005A1DA7"/>
    <w:rsid w:val="005A2950"/>
    <w:rsid w:val="005A33C9"/>
    <w:rsid w:val="005A349E"/>
    <w:rsid w:val="005A3F9F"/>
    <w:rsid w:val="005A40BB"/>
    <w:rsid w:val="005A48F1"/>
    <w:rsid w:val="005A5DDF"/>
    <w:rsid w:val="005A5E5D"/>
    <w:rsid w:val="005A676C"/>
    <w:rsid w:val="005A6B21"/>
    <w:rsid w:val="005A6BE6"/>
    <w:rsid w:val="005A7606"/>
    <w:rsid w:val="005B171D"/>
    <w:rsid w:val="005B1A13"/>
    <w:rsid w:val="005B1E1B"/>
    <w:rsid w:val="005B2053"/>
    <w:rsid w:val="005B2494"/>
    <w:rsid w:val="005B26DE"/>
    <w:rsid w:val="005B3063"/>
    <w:rsid w:val="005B620E"/>
    <w:rsid w:val="005B667C"/>
    <w:rsid w:val="005B7051"/>
    <w:rsid w:val="005B7D31"/>
    <w:rsid w:val="005C0314"/>
    <w:rsid w:val="005C038F"/>
    <w:rsid w:val="005C04E2"/>
    <w:rsid w:val="005C08CD"/>
    <w:rsid w:val="005C0C50"/>
    <w:rsid w:val="005C15ED"/>
    <w:rsid w:val="005C29A7"/>
    <w:rsid w:val="005C382A"/>
    <w:rsid w:val="005C3A6C"/>
    <w:rsid w:val="005C3F9D"/>
    <w:rsid w:val="005C4213"/>
    <w:rsid w:val="005C4BFF"/>
    <w:rsid w:val="005C4CD0"/>
    <w:rsid w:val="005C4F7A"/>
    <w:rsid w:val="005C5229"/>
    <w:rsid w:val="005C5B73"/>
    <w:rsid w:val="005C6078"/>
    <w:rsid w:val="005C7538"/>
    <w:rsid w:val="005D1345"/>
    <w:rsid w:val="005D1543"/>
    <w:rsid w:val="005D1F96"/>
    <w:rsid w:val="005D2732"/>
    <w:rsid w:val="005D50FC"/>
    <w:rsid w:val="005D54AD"/>
    <w:rsid w:val="005D643F"/>
    <w:rsid w:val="005D675E"/>
    <w:rsid w:val="005D67EE"/>
    <w:rsid w:val="005D6972"/>
    <w:rsid w:val="005D74C4"/>
    <w:rsid w:val="005D76ED"/>
    <w:rsid w:val="005E0483"/>
    <w:rsid w:val="005E0D85"/>
    <w:rsid w:val="005E1145"/>
    <w:rsid w:val="005E1A45"/>
    <w:rsid w:val="005E1D7A"/>
    <w:rsid w:val="005E2594"/>
    <w:rsid w:val="005E2F9A"/>
    <w:rsid w:val="005E31A5"/>
    <w:rsid w:val="005E38C6"/>
    <w:rsid w:val="005E394B"/>
    <w:rsid w:val="005E46E0"/>
    <w:rsid w:val="005E4A38"/>
    <w:rsid w:val="005E4B9E"/>
    <w:rsid w:val="005E628B"/>
    <w:rsid w:val="005E68D6"/>
    <w:rsid w:val="005E75BF"/>
    <w:rsid w:val="005F1F92"/>
    <w:rsid w:val="005F2356"/>
    <w:rsid w:val="005F2EA3"/>
    <w:rsid w:val="005F2F4D"/>
    <w:rsid w:val="005F3C35"/>
    <w:rsid w:val="005F3DAC"/>
    <w:rsid w:val="005F4485"/>
    <w:rsid w:val="005F5512"/>
    <w:rsid w:val="005F5B5F"/>
    <w:rsid w:val="005F6646"/>
    <w:rsid w:val="005F6E01"/>
    <w:rsid w:val="005F7FD7"/>
    <w:rsid w:val="00600483"/>
    <w:rsid w:val="00600985"/>
    <w:rsid w:val="00600C9D"/>
    <w:rsid w:val="00601A47"/>
    <w:rsid w:val="0060243A"/>
    <w:rsid w:val="006024AB"/>
    <w:rsid w:val="00602602"/>
    <w:rsid w:val="00602A2A"/>
    <w:rsid w:val="0060369A"/>
    <w:rsid w:val="00604DB2"/>
    <w:rsid w:val="006058EC"/>
    <w:rsid w:val="0060666E"/>
    <w:rsid w:val="006071FF"/>
    <w:rsid w:val="006076F4"/>
    <w:rsid w:val="006100E0"/>
    <w:rsid w:val="00610D66"/>
    <w:rsid w:val="00611E39"/>
    <w:rsid w:val="0061216D"/>
    <w:rsid w:val="00612EE6"/>
    <w:rsid w:val="0061307F"/>
    <w:rsid w:val="0061356C"/>
    <w:rsid w:val="00614802"/>
    <w:rsid w:val="00614F68"/>
    <w:rsid w:val="00616490"/>
    <w:rsid w:val="00616BBA"/>
    <w:rsid w:val="00617637"/>
    <w:rsid w:val="006221A1"/>
    <w:rsid w:val="00622305"/>
    <w:rsid w:val="006226EF"/>
    <w:rsid w:val="00622E07"/>
    <w:rsid w:val="00623144"/>
    <w:rsid w:val="006240D4"/>
    <w:rsid w:val="00625448"/>
    <w:rsid w:val="00625EC8"/>
    <w:rsid w:val="006268BB"/>
    <w:rsid w:val="00626E8B"/>
    <w:rsid w:val="00626F04"/>
    <w:rsid w:val="00627018"/>
    <w:rsid w:val="00627A73"/>
    <w:rsid w:val="00627D1D"/>
    <w:rsid w:val="00630A51"/>
    <w:rsid w:val="00630BDB"/>
    <w:rsid w:val="00630EEE"/>
    <w:rsid w:val="00631AF0"/>
    <w:rsid w:val="00631B88"/>
    <w:rsid w:val="00631F6A"/>
    <w:rsid w:val="006322B0"/>
    <w:rsid w:val="006324D9"/>
    <w:rsid w:val="00632646"/>
    <w:rsid w:val="006328CF"/>
    <w:rsid w:val="00632C2F"/>
    <w:rsid w:val="00632FA4"/>
    <w:rsid w:val="006330CF"/>
    <w:rsid w:val="00633573"/>
    <w:rsid w:val="00633AA3"/>
    <w:rsid w:val="00633DD2"/>
    <w:rsid w:val="00633F63"/>
    <w:rsid w:val="00635498"/>
    <w:rsid w:val="00635632"/>
    <w:rsid w:val="00635825"/>
    <w:rsid w:val="00635D29"/>
    <w:rsid w:val="00636121"/>
    <w:rsid w:val="00636A2D"/>
    <w:rsid w:val="00636A6E"/>
    <w:rsid w:val="00636D72"/>
    <w:rsid w:val="00636FA2"/>
    <w:rsid w:val="00637187"/>
    <w:rsid w:val="00637306"/>
    <w:rsid w:val="00637A19"/>
    <w:rsid w:val="00640692"/>
    <w:rsid w:val="0064108F"/>
    <w:rsid w:val="006410A5"/>
    <w:rsid w:val="00641F15"/>
    <w:rsid w:val="00642591"/>
    <w:rsid w:val="00644E3B"/>
    <w:rsid w:val="00645165"/>
    <w:rsid w:val="006455E0"/>
    <w:rsid w:val="00645668"/>
    <w:rsid w:val="0064596A"/>
    <w:rsid w:val="0064706A"/>
    <w:rsid w:val="00647547"/>
    <w:rsid w:val="00650B39"/>
    <w:rsid w:val="0065115A"/>
    <w:rsid w:val="0065153A"/>
    <w:rsid w:val="00651F8F"/>
    <w:rsid w:val="00652E06"/>
    <w:rsid w:val="00653112"/>
    <w:rsid w:val="00653FE7"/>
    <w:rsid w:val="006541D8"/>
    <w:rsid w:val="00654416"/>
    <w:rsid w:val="0065497A"/>
    <w:rsid w:val="00654D53"/>
    <w:rsid w:val="0065521A"/>
    <w:rsid w:val="00657260"/>
    <w:rsid w:val="00657DAA"/>
    <w:rsid w:val="00660BAA"/>
    <w:rsid w:val="006610E5"/>
    <w:rsid w:val="0066134C"/>
    <w:rsid w:val="00661C8C"/>
    <w:rsid w:val="00661FD7"/>
    <w:rsid w:val="00662207"/>
    <w:rsid w:val="0066283E"/>
    <w:rsid w:val="00662D25"/>
    <w:rsid w:val="00663DDF"/>
    <w:rsid w:val="00664728"/>
    <w:rsid w:val="00664916"/>
    <w:rsid w:val="00665A4D"/>
    <w:rsid w:val="00665E10"/>
    <w:rsid w:val="0066636A"/>
    <w:rsid w:val="00666809"/>
    <w:rsid w:val="006677A5"/>
    <w:rsid w:val="00667895"/>
    <w:rsid w:val="00670337"/>
    <w:rsid w:val="006710BC"/>
    <w:rsid w:val="00671B73"/>
    <w:rsid w:val="006727A2"/>
    <w:rsid w:val="0067294F"/>
    <w:rsid w:val="00672CD8"/>
    <w:rsid w:val="00674A06"/>
    <w:rsid w:val="0067741B"/>
    <w:rsid w:val="006775A1"/>
    <w:rsid w:val="006800AB"/>
    <w:rsid w:val="006804F8"/>
    <w:rsid w:val="00680A91"/>
    <w:rsid w:val="00680F7C"/>
    <w:rsid w:val="00682E2F"/>
    <w:rsid w:val="00683715"/>
    <w:rsid w:val="0068395E"/>
    <w:rsid w:val="00683D33"/>
    <w:rsid w:val="00684C5D"/>
    <w:rsid w:val="00686055"/>
    <w:rsid w:val="00686480"/>
    <w:rsid w:val="00686589"/>
    <w:rsid w:val="00686677"/>
    <w:rsid w:val="006871D4"/>
    <w:rsid w:val="006901FF"/>
    <w:rsid w:val="0069070C"/>
    <w:rsid w:val="00691200"/>
    <w:rsid w:val="0069129F"/>
    <w:rsid w:val="00691FB3"/>
    <w:rsid w:val="00692222"/>
    <w:rsid w:val="00693AAC"/>
    <w:rsid w:val="00694EBF"/>
    <w:rsid w:val="00695111"/>
    <w:rsid w:val="006955FD"/>
    <w:rsid w:val="006957E9"/>
    <w:rsid w:val="006967C4"/>
    <w:rsid w:val="00696DBF"/>
    <w:rsid w:val="00697FCD"/>
    <w:rsid w:val="006A05FC"/>
    <w:rsid w:val="006A095C"/>
    <w:rsid w:val="006A27C5"/>
    <w:rsid w:val="006A2BB8"/>
    <w:rsid w:val="006A31E1"/>
    <w:rsid w:val="006A3F6B"/>
    <w:rsid w:val="006A467F"/>
    <w:rsid w:val="006A4722"/>
    <w:rsid w:val="006A4773"/>
    <w:rsid w:val="006A497E"/>
    <w:rsid w:val="006A4AD4"/>
    <w:rsid w:val="006A4CC4"/>
    <w:rsid w:val="006A5937"/>
    <w:rsid w:val="006A66F7"/>
    <w:rsid w:val="006A67F7"/>
    <w:rsid w:val="006A7811"/>
    <w:rsid w:val="006B161B"/>
    <w:rsid w:val="006B1BBF"/>
    <w:rsid w:val="006B243A"/>
    <w:rsid w:val="006B2707"/>
    <w:rsid w:val="006B3181"/>
    <w:rsid w:val="006B3AA0"/>
    <w:rsid w:val="006B3C66"/>
    <w:rsid w:val="006B47DA"/>
    <w:rsid w:val="006B4889"/>
    <w:rsid w:val="006B583A"/>
    <w:rsid w:val="006B593C"/>
    <w:rsid w:val="006B6A28"/>
    <w:rsid w:val="006B6DA6"/>
    <w:rsid w:val="006B700E"/>
    <w:rsid w:val="006C1750"/>
    <w:rsid w:val="006C1815"/>
    <w:rsid w:val="006C1B4B"/>
    <w:rsid w:val="006C1FD9"/>
    <w:rsid w:val="006C2118"/>
    <w:rsid w:val="006C2699"/>
    <w:rsid w:val="006C2FA8"/>
    <w:rsid w:val="006C4448"/>
    <w:rsid w:val="006C4D31"/>
    <w:rsid w:val="006C5035"/>
    <w:rsid w:val="006C5C00"/>
    <w:rsid w:val="006C67C7"/>
    <w:rsid w:val="006D0003"/>
    <w:rsid w:val="006D00C5"/>
    <w:rsid w:val="006D08EA"/>
    <w:rsid w:val="006D0C14"/>
    <w:rsid w:val="006D0F0C"/>
    <w:rsid w:val="006D1A83"/>
    <w:rsid w:val="006D1BB5"/>
    <w:rsid w:val="006D1D58"/>
    <w:rsid w:val="006D1E04"/>
    <w:rsid w:val="006D2E07"/>
    <w:rsid w:val="006D392D"/>
    <w:rsid w:val="006D3C89"/>
    <w:rsid w:val="006D56F6"/>
    <w:rsid w:val="006D5B3E"/>
    <w:rsid w:val="006D5EBB"/>
    <w:rsid w:val="006D5F5F"/>
    <w:rsid w:val="006D6B6D"/>
    <w:rsid w:val="006D718E"/>
    <w:rsid w:val="006D7238"/>
    <w:rsid w:val="006E068E"/>
    <w:rsid w:val="006E10F0"/>
    <w:rsid w:val="006E112C"/>
    <w:rsid w:val="006E153C"/>
    <w:rsid w:val="006E2125"/>
    <w:rsid w:val="006E2EFC"/>
    <w:rsid w:val="006E300B"/>
    <w:rsid w:val="006E40B0"/>
    <w:rsid w:val="006E5E8F"/>
    <w:rsid w:val="006E6DE7"/>
    <w:rsid w:val="006E6EBA"/>
    <w:rsid w:val="006E707F"/>
    <w:rsid w:val="006F0868"/>
    <w:rsid w:val="006F1282"/>
    <w:rsid w:val="006F12CA"/>
    <w:rsid w:val="006F1AAB"/>
    <w:rsid w:val="006F1AB2"/>
    <w:rsid w:val="006F2B28"/>
    <w:rsid w:val="006F2BF5"/>
    <w:rsid w:val="006F2E49"/>
    <w:rsid w:val="006F2ED9"/>
    <w:rsid w:val="006F3416"/>
    <w:rsid w:val="006F38C2"/>
    <w:rsid w:val="006F39E9"/>
    <w:rsid w:val="006F41C2"/>
    <w:rsid w:val="006F516E"/>
    <w:rsid w:val="006F533A"/>
    <w:rsid w:val="006F5F4F"/>
    <w:rsid w:val="006F6573"/>
    <w:rsid w:val="006F6929"/>
    <w:rsid w:val="006F7562"/>
    <w:rsid w:val="00700498"/>
    <w:rsid w:val="0070081C"/>
    <w:rsid w:val="00700820"/>
    <w:rsid w:val="007009D9"/>
    <w:rsid w:val="007025C8"/>
    <w:rsid w:val="007026A8"/>
    <w:rsid w:val="0070278B"/>
    <w:rsid w:val="00702ED5"/>
    <w:rsid w:val="00703056"/>
    <w:rsid w:val="007034E2"/>
    <w:rsid w:val="007047E9"/>
    <w:rsid w:val="00704AD4"/>
    <w:rsid w:val="007055B9"/>
    <w:rsid w:val="00705C9B"/>
    <w:rsid w:val="007064E5"/>
    <w:rsid w:val="00707508"/>
    <w:rsid w:val="00707814"/>
    <w:rsid w:val="00707EB2"/>
    <w:rsid w:val="00710681"/>
    <w:rsid w:val="00712AA9"/>
    <w:rsid w:val="00712E12"/>
    <w:rsid w:val="00713CC5"/>
    <w:rsid w:val="007142E5"/>
    <w:rsid w:val="007144A6"/>
    <w:rsid w:val="0071510C"/>
    <w:rsid w:val="00716C87"/>
    <w:rsid w:val="007172E8"/>
    <w:rsid w:val="0071751D"/>
    <w:rsid w:val="007206CC"/>
    <w:rsid w:val="0072083D"/>
    <w:rsid w:val="00721C48"/>
    <w:rsid w:val="00721E89"/>
    <w:rsid w:val="007220BE"/>
    <w:rsid w:val="0072244D"/>
    <w:rsid w:val="0072274B"/>
    <w:rsid w:val="00722949"/>
    <w:rsid w:val="007234FD"/>
    <w:rsid w:val="00724183"/>
    <w:rsid w:val="00724865"/>
    <w:rsid w:val="00724B7C"/>
    <w:rsid w:val="007251F0"/>
    <w:rsid w:val="00726CEA"/>
    <w:rsid w:val="00726F70"/>
    <w:rsid w:val="0072727C"/>
    <w:rsid w:val="007277CC"/>
    <w:rsid w:val="007278BB"/>
    <w:rsid w:val="00727A5F"/>
    <w:rsid w:val="00730909"/>
    <w:rsid w:val="00730988"/>
    <w:rsid w:val="007309EF"/>
    <w:rsid w:val="00731421"/>
    <w:rsid w:val="0073142C"/>
    <w:rsid w:val="007315C7"/>
    <w:rsid w:val="007326BC"/>
    <w:rsid w:val="00733A86"/>
    <w:rsid w:val="00734403"/>
    <w:rsid w:val="0073466F"/>
    <w:rsid w:val="0073491B"/>
    <w:rsid w:val="00734922"/>
    <w:rsid w:val="00734CC8"/>
    <w:rsid w:val="007357BC"/>
    <w:rsid w:val="00736205"/>
    <w:rsid w:val="007365B5"/>
    <w:rsid w:val="00736E47"/>
    <w:rsid w:val="007403D7"/>
    <w:rsid w:val="007418FA"/>
    <w:rsid w:val="00741CC2"/>
    <w:rsid w:val="00741D64"/>
    <w:rsid w:val="00743A8A"/>
    <w:rsid w:val="00744580"/>
    <w:rsid w:val="007459C8"/>
    <w:rsid w:val="00745AF0"/>
    <w:rsid w:val="00747539"/>
    <w:rsid w:val="00747601"/>
    <w:rsid w:val="00747950"/>
    <w:rsid w:val="0075112B"/>
    <w:rsid w:val="00751A82"/>
    <w:rsid w:val="007520FA"/>
    <w:rsid w:val="007521E6"/>
    <w:rsid w:val="00752ECC"/>
    <w:rsid w:val="0075392A"/>
    <w:rsid w:val="00754AB6"/>
    <w:rsid w:val="00754D4B"/>
    <w:rsid w:val="007551E3"/>
    <w:rsid w:val="00755D92"/>
    <w:rsid w:val="00755F12"/>
    <w:rsid w:val="00762E98"/>
    <w:rsid w:val="007640B7"/>
    <w:rsid w:val="007643AC"/>
    <w:rsid w:val="00764F3B"/>
    <w:rsid w:val="00765410"/>
    <w:rsid w:val="0076546A"/>
    <w:rsid w:val="007659AF"/>
    <w:rsid w:val="00765A24"/>
    <w:rsid w:val="00765BBD"/>
    <w:rsid w:val="007664E2"/>
    <w:rsid w:val="0076724B"/>
    <w:rsid w:val="007703FC"/>
    <w:rsid w:val="00770DB0"/>
    <w:rsid w:val="00771BE3"/>
    <w:rsid w:val="007720E6"/>
    <w:rsid w:val="007722BE"/>
    <w:rsid w:val="00772572"/>
    <w:rsid w:val="00772AC7"/>
    <w:rsid w:val="00772AFB"/>
    <w:rsid w:val="00773E38"/>
    <w:rsid w:val="0077420D"/>
    <w:rsid w:val="007751BE"/>
    <w:rsid w:val="007755CE"/>
    <w:rsid w:val="00776597"/>
    <w:rsid w:val="007767A7"/>
    <w:rsid w:val="00776B36"/>
    <w:rsid w:val="00776CA3"/>
    <w:rsid w:val="00776DC0"/>
    <w:rsid w:val="007772B6"/>
    <w:rsid w:val="00777B6A"/>
    <w:rsid w:val="00777D10"/>
    <w:rsid w:val="0078022A"/>
    <w:rsid w:val="00780BBD"/>
    <w:rsid w:val="00780DAC"/>
    <w:rsid w:val="00780EBA"/>
    <w:rsid w:val="007814C1"/>
    <w:rsid w:val="00781BA6"/>
    <w:rsid w:val="00782437"/>
    <w:rsid w:val="00782871"/>
    <w:rsid w:val="00782950"/>
    <w:rsid w:val="00783165"/>
    <w:rsid w:val="007838BB"/>
    <w:rsid w:val="0078481E"/>
    <w:rsid w:val="00784893"/>
    <w:rsid w:val="00784BCC"/>
    <w:rsid w:val="00784E20"/>
    <w:rsid w:val="00785648"/>
    <w:rsid w:val="0078661B"/>
    <w:rsid w:val="0078681E"/>
    <w:rsid w:val="007876E4"/>
    <w:rsid w:val="007903DF"/>
    <w:rsid w:val="00792361"/>
    <w:rsid w:val="00792936"/>
    <w:rsid w:val="00792A99"/>
    <w:rsid w:val="00793187"/>
    <w:rsid w:val="00793ED1"/>
    <w:rsid w:val="00795155"/>
    <w:rsid w:val="00795358"/>
    <w:rsid w:val="007954DA"/>
    <w:rsid w:val="007A26B3"/>
    <w:rsid w:val="007A2A82"/>
    <w:rsid w:val="007A2D31"/>
    <w:rsid w:val="007A38F1"/>
    <w:rsid w:val="007A3B8B"/>
    <w:rsid w:val="007A3EFC"/>
    <w:rsid w:val="007A4A09"/>
    <w:rsid w:val="007A4EA7"/>
    <w:rsid w:val="007A5361"/>
    <w:rsid w:val="007A54BA"/>
    <w:rsid w:val="007A6516"/>
    <w:rsid w:val="007A6885"/>
    <w:rsid w:val="007A6CB4"/>
    <w:rsid w:val="007A7AD7"/>
    <w:rsid w:val="007B11BF"/>
    <w:rsid w:val="007B1908"/>
    <w:rsid w:val="007B1C58"/>
    <w:rsid w:val="007B27E0"/>
    <w:rsid w:val="007B2EF8"/>
    <w:rsid w:val="007B39A8"/>
    <w:rsid w:val="007B48A8"/>
    <w:rsid w:val="007B4AAB"/>
    <w:rsid w:val="007B4F09"/>
    <w:rsid w:val="007B563A"/>
    <w:rsid w:val="007B696F"/>
    <w:rsid w:val="007B6B37"/>
    <w:rsid w:val="007B6EE0"/>
    <w:rsid w:val="007B7981"/>
    <w:rsid w:val="007B7B5E"/>
    <w:rsid w:val="007C0196"/>
    <w:rsid w:val="007C0D8B"/>
    <w:rsid w:val="007C1647"/>
    <w:rsid w:val="007C1E24"/>
    <w:rsid w:val="007C3268"/>
    <w:rsid w:val="007C3695"/>
    <w:rsid w:val="007C4020"/>
    <w:rsid w:val="007C411B"/>
    <w:rsid w:val="007C44A1"/>
    <w:rsid w:val="007C49E2"/>
    <w:rsid w:val="007C4A13"/>
    <w:rsid w:val="007C547C"/>
    <w:rsid w:val="007C5E1C"/>
    <w:rsid w:val="007C652C"/>
    <w:rsid w:val="007C65C0"/>
    <w:rsid w:val="007C6689"/>
    <w:rsid w:val="007C6771"/>
    <w:rsid w:val="007D036F"/>
    <w:rsid w:val="007D09E8"/>
    <w:rsid w:val="007D120B"/>
    <w:rsid w:val="007D2287"/>
    <w:rsid w:val="007D2616"/>
    <w:rsid w:val="007D2981"/>
    <w:rsid w:val="007D31E9"/>
    <w:rsid w:val="007D350D"/>
    <w:rsid w:val="007D434A"/>
    <w:rsid w:val="007D48A1"/>
    <w:rsid w:val="007D4D55"/>
    <w:rsid w:val="007D50EE"/>
    <w:rsid w:val="007D535B"/>
    <w:rsid w:val="007D63E8"/>
    <w:rsid w:val="007D68F4"/>
    <w:rsid w:val="007D6CFF"/>
    <w:rsid w:val="007D6F65"/>
    <w:rsid w:val="007D75AE"/>
    <w:rsid w:val="007D780F"/>
    <w:rsid w:val="007D7869"/>
    <w:rsid w:val="007E0EB0"/>
    <w:rsid w:val="007E0F21"/>
    <w:rsid w:val="007E1559"/>
    <w:rsid w:val="007E156B"/>
    <w:rsid w:val="007E1620"/>
    <w:rsid w:val="007E19EF"/>
    <w:rsid w:val="007E1BC3"/>
    <w:rsid w:val="007E23B6"/>
    <w:rsid w:val="007E2950"/>
    <w:rsid w:val="007E336E"/>
    <w:rsid w:val="007E38C6"/>
    <w:rsid w:val="007E3A41"/>
    <w:rsid w:val="007E4089"/>
    <w:rsid w:val="007E5894"/>
    <w:rsid w:val="007E5947"/>
    <w:rsid w:val="007E5C8E"/>
    <w:rsid w:val="007E6453"/>
    <w:rsid w:val="007E6491"/>
    <w:rsid w:val="007E6FD0"/>
    <w:rsid w:val="007E7E28"/>
    <w:rsid w:val="007E7FB2"/>
    <w:rsid w:val="007F029C"/>
    <w:rsid w:val="007F090C"/>
    <w:rsid w:val="007F23C9"/>
    <w:rsid w:val="007F271A"/>
    <w:rsid w:val="007F364A"/>
    <w:rsid w:val="007F4D00"/>
    <w:rsid w:val="007F5325"/>
    <w:rsid w:val="007F6EDC"/>
    <w:rsid w:val="007F6FAF"/>
    <w:rsid w:val="007F7A98"/>
    <w:rsid w:val="00800CE2"/>
    <w:rsid w:val="00801F38"/>
    <w:rsid w:val="008025C6"/>
    <w:rsid w:val="00802BE7"/>
    <w:rsid w:val="00804086"/>
    <w:rsid w:val="00804B60"/>
    <w:rsid w:val="008057E2"/>
    <w:rsid w:val="00805905"/>
    <w:rsid w:val="00805D35"/>
    <w:rsid w:val="008060D2"/>
    <w:rsid w:val="0080655E"/>
    <w:rsid w:val="0080672F"/>
    <w:rsid w:val="00806BEB"/>
    <w:rsid w:val="00807045"/>
    <w:rsid w:val="00807421"/>
    <w:rsid w:val="00807669"/>
    <w:rsid w:val="00810063"/>
    <w:rsid w:val="00810781"/>
    <w:rsid w:val="00810F69"/>
    <w:rsid w:val="008118B7"/>
    <w:rsid w:val="008122A1"/>
    <w:rsid w:val="00812ED0"/>
    <w:rsid w:val="00814ECA"/>
    <w:rsid w:val="008156A1"/>
    <w:rsid w:val="008158D4"/>
    <w:rsid w:val="00816230"/>
    <w:rsid w:val="008172E4"/>
    <w:rsid w:val="00817393"/>
    <w:rsid w:val="00821805"/>
    <w:rsid w:val="00821A66"/>
    <w:rsid w:val="008230B6"/>
    <w:rsid w:val="0082362F"/>
    <w:rsid w:val="00823682"/>
    <w:rsid w:val="00823A88"/>
    <w:rsid w:val="00824715"/>
    <w:rsid w:val="00824A44"/>
    <w:rsid w:val="00825AEF"/>
    <w:rsid w:val="00825CBF"/>
    <w:rsid w:val="008271FB"/>
    <w:rsid w:val="0083043D"/>
    <w:rsid w:val="00830864"/>
    <w:rsid w:val="0083165D"/>
    <w:rsid w:val="0083248B"/>
    <w:rsid w:val="00832FC6"/>
    <w:rsid w:val="0083374B"/>
    <w:rsid w:val="00833B32"/>
    <w:rsid w:val="0083426A"/>
    <w:rsid w:val="0083482E"/>
    <w:rsid w:val="008354DF"/>
    <w:rsid w:val="00835BA8"/>
    <w:rsid w:val="008362EC"/>
    <w:rsid w:val="00836B9D"/>
    <w:rsid w:val="00840A27"/>
    <w:rsid w:val="00841476"/>
    <w:rsid w:val="00842D0D"/>
    <w:rsid w:val="00842DF1"/>
    <w:rsid w:val="00843442"/>
    <w:rsid w:val="0084380C"/>
    <w:rsid w:val="008439A3"/>
    <w:rsid w:val="008444FB"/>
    <w:rsid w:val="00844654"/>
    <w:rsid w:val="008450DC"/>
    <w:rsid w:val="0084565C"/>
    <w:rsid w:val="008471E6"/>
    <w:rsid w:val="008479E8"/>
    <w:rsid w:val="00850314"/>
    <w:rsid w:val="00850323"/>
    <w:rsid w:val="0085122C"/>
    <w:rsid w:val="00852CE3"/>
    <w:rsid w:val="00853E05"/>
    <w:rsid w:val="00854B1C"/>
    <w:rsid w:val="00854E07"/>
    <w:rsid w:val="00855ACF"/>
    <w:rsid w:val="008569B9"/>
    <w:rsid w:val="00856AD4"/>
    <w:rsid w:val="00856BFE"/>
    <w:rsid w:val="00860015"/>
    <w:rsid w:val="008603DF"/>
    <w:rsid w:val="00860520"/>
    <w:rsid w:val="00861418"/>
    <w:rsid w:val="00861A66"/>
    <w:rsid w:val="00861C70"/>
    <w:rsid w:val="008622E4"/>
    <w:rsid w:val="00863337"/>
    <w:rsid w:val="00863742"/>
    <w:rsid w:val="008637DA"/>
    <w:rsid w:val="00864221"/>
    <w:rsid w:val="008643E5"/>
    <w:rsid w:val="0086506F"/>
    <w:rsid w:val="0086543E"/>
    <w:rsid w:val="00865E46"/>
    <w:rsid w:val="0086740F"/>
    <w:rsid w:val="00867F0E"/>
    <w:rsid w:val="008703D6"/>
    <w:rsid w:val="008716B3"/>
    <w:rsid w:val="00871C38"/>
    <w:rsid w:val="00871E34"/>
    <w:rsid w:val="00871EFC"/>
    <w:rsid w:val="00872099"/>
    <w:rsid w:val="00873E41"/>
    <w:rsid w:val="0087405E"/>
    <w:rsid w:val="00874699"/>
    <w:rsid w:val="008751E3"/>
    <w:rsid w:val="0087523E"/>
    <w:rsid w:val="00875963"/>
    <w:rsid w:val="00875BB2"/>
    <w:rsid w:val="0087664A"/>
    <w:rsid w:val="00876BC4"/>
    <w:rsid w:val="00876DC4"/>
    <w:rsid w:val="0087710C"/>
    <w:rsid w:val="008803C2"/>
    <w:rsid w:val="008804C7"/>
    <w:rsid w:val="0088070C"/>
    <w:rsid w:val="00880BB5"/>
    <w:rsid w:val="008814E1"/>
    <w:rsid w:val="00881806"/>
    <w:rsid w:val="0088197E"/>
    <w:rsid w:val="00881B8E"/>
    <w:rsid w:val="00881DC2"/>
    <w:rsid w:val="00881FCC"/>
    <w:rsid w:val="00882135"/>
    <w:rsid w:val="008822C8"/>
    <w:rsid w:val="008837FF"/>
    <w:rsid w:val="0088396A"/>
    <w:rsid w:val="00885860"/>
    <w:rsid w:val="00885B8D"/>
    <w:rsid w:val="00885CAF"/>
    <w:rsid w:val="00886E9D"/>
    <w:rsid w:val="00886F68"/>
    <w:rsid w:val="0088750E"/>
    <w:rsid w:val="00890260"/>
    <w:rsid w:val="00890BA6"/>
    <w:rsid w:val="00891B92"/>
    <w:rsid w:val="00892155"/>
    <w:rsid w:val="00893177"/>
    <w:rsid w:val="00893A0C"/>
    <w:rsid w:val="00894F0F"/>
    <w:rsid w:val="00894F38"/>
    <w:rsid w:val="00896BF3"/>
    <w:rsid w:val="0089711F"/>
    <w:rsid w:val="008973FA"/>
    <w:rsid w:val="008975AA"/>
    <w:rsid w:val="0089776F"/>
    <w:rsid w:val="0089792D"/>
    <w:rsid w:val="00897ED0"/>
    <w:rsid w:val="008A004B"/>
    <w:rsid w:val="008A1027"/>
    <w:rsid w:val="008A1470"/>
    <w:rsid w:val="008A1D5A"/>
    <w:rsid w:val="008A2173"/>
    <w:rsid w:val="008A23A5"/>
    <w:rsid w:val="008A2488"/>
    <w:rsid w:val="008A2CBC"/>
    <w:rsid w:val="008A44BC"/>
    <w:rsid w:val="008A525B"/>
    <w:rsid w:val="008A631F"/>
    <w:rsid w:val="008A70AF"/>
    <w:rsid w:val="008A7CB7"/>
    <w:rsid w:val="008B0639"/>
    <w:rsid w:val="008B13B9"/>
    <w:rsid w:val="008B2350"/>
    <w:rsid w:val="008B2B01"/>
    <w:rsid w:val="008B30A0"/>
    <w:rsid w:val="008B3114"/>
    <w:rsid w:val="008B35AF"/>
    <w:rsid w:val="008B4B13"/>
    <w:rsid w:val="008B4DEA"/>
    <w:rsid w:val="008B64F6"/>
    <w:rsid w:val="008B66C0"/>
    <w:rsid w:val="008B672B"/>
    <w:rsid w:val="008B68A4"/>
    <w:rsid w:val="008B6BD2"/>
    <w:rsid w:val="008B73B8"/>
    <w:rsid w:val="008B7404"/>
    <w:rsid w:val="008B7646"/>
    <w:rsid w:val="008B7AC0"/>
    <w:rsid w:val="008C0AAC"/>
    <w:rsid w:val="008C22D3"/>
    <w:rsid w:val="008C244D"/>
    <w:rsid w:val="008C2FFE"/>
    <w:rsid w:val="008C330F"/>
    <w:rsid w:val="008C3CC4"/>
    <w:rsid w:val="008C3DAF"/>
    <w:rsid w:val="008C4EFB"/>
    <w:rsid w:val="008C4F11"/>
    <w:rsid w:val="008C5253"/>
    <w:rsid w:val="008C55D6"/>
    <w:rsid w:val="008C57F3"/>
    <w:rsid w:val="008C62F8"/>
    <w:rsid w:val="008C6B6B"/>
    <w:rsid w:val="008C6F87"/>
    <w:rsid w:val="008C75F5"/>
    <w:rsid w:val="008C79C3"/>
    <w:rsid w:val="008C7F1E"/>
    <w:rsid w:val="008D0A92"/>
    <w:rsid w:val="008D11F2"/>
    <w:rsid w:val="008D2F90"/>
    <w:rsid w:val="008D4541"/>
    <w:rsid w:val="008D4DE2"/>
    <w:rsid w:val="008D4FB5"/>
    <w:rsid w:val="008D59B4"/>
    <w:rsid w:val="008D5ED2"/>
    <w:rsid w:val="008D64FA"/>
    <w:rsid w:val="008D6CB1"/>
    <w:rsid w:val="008D7236"/>
    <w:rsid w:val="008D7BD6"/>
    <w:rsid w:val="008E0631"/>
    <w:rsid w:val="008E0FE8"/>
    <w:rsid w:val="008E1178"/>
    <w:rsid w:val="008E12F5"/>
    <w:rsid w:val="008E1E7A"/>
    <w:rsid w:val="008E22B2"/>
    <w:rsid w:val="008E3524"/>
    <w:rsid w:val="008E382B"/>
    <w:rsid w:val="008E3ACF"/>
    <w:rsid w:val="008E408D"/>
    <w:rsid w:val="008E40AE"/>
    <w:rsid w:val="008E757F"/>
    <w:rsid w:val="008E7A20"/>
    <w:rsid w:val="008F0BE2"/>
    <w:rsid w:val="008F1771"/>
    <w:rsid w:val="008F2125"/>
    <w:rsid w:val="008F3985"/>
    <w:rsid w:val="008F3C6C"/>
    <w:rsid w:val="008F426B"/>
    <w:rsid w:val="008F55BE"/>
    <w:rsid w:val="008F7179"/>
    <w:rsid w:val="008F74BE"/>
    <w:rsid w:val="008F75A0"/>
    <w:rsid w:val="008F7889"/>
    <w:rsid w:val="008F7F3F"/>
    <w:rsid w:val="00900C05"/>
    <w:rsid w:val="00900F66"/>
    <w:rsid w:val="00901BBD"/>
    <w:rsid w:val="00901C7B"/>
    <w:rsid w:val="00901EC7"/>
    <w:rsid w:val="009020B2"/>
    <w:rsid w:val="00902239"/>
    <w:rsid w:val="00902A46"/>
    <w:rsid w:val="0090376D"/>
    <w:rsid w:val="0090391F"/>
    <w:rsid w:val="00903FEA"/>
    <w:rsid w:val="00905502"/>
    <w:rsid w:val="009056FE"/>
    <w:rsid w:val="00907C0F"/>
    <w:rsid w:val="00907D08"/>
    <w:rsid w:val="00907E98"/>
    <w:rsid w:val="009113DB"/>
    <w:rsid w:val="009119E8"/>
    <w:rsid w:val="00911B4E"/>
    <w:rsid w:val="00912468"/>
    <w:rsid w:val="00912961"/>
    <w:rsid w:val="00912997"/>
    <w:rsid w:val="0091341B"/>
    <w:rsid w:val="00914916"/>
    <w:rsid w:val="0091719D"/>
    <w:rsid w:val="009171B0"/>
    <w:rsid w:val="00917405"/>
    <w:rsid w:val="009204BB"/>
    <w:rsid w:val="009207AC"/>
    <w:rsid w:val="00920822"/>
    <w:rsid w:val="00920B19"/>
    <w:rsid w:val="009211D2"/>
    <w:rsid w:val="009211F2"/>
    <w:rsid w:val="0092134F"/>
    <w:rsid w:val="0092159E"/>
    <w:rsid w:val="009219A7"/>
    <w:rsid w:val="0092273E"/>
    <w:rsid w:val="00923516"/>
    <w:rsid w:val="00923BA7"/>
    <w:rsid w:val="00923FCA"/>
    <w:rsid w:val="00924C7D"/>
    <w:rsid w:val="00925663"/>
    <w:rsid w:val="0092618D"/>
    <w:rsid w:val="0092677F"/>
    <w:rsid w:val="009267DD"/>
    <w:rsid w:val="009270AA"/>
    <w:rsid w:val="00927C01"/>
    <w:rsid w:val="00927DD4"/>
    <w:rsid w:val="00930BB3"/>
    <w:rsid w:val="0093112F"/>
    <w:rsid w:val="00931351"/>
    <w:rsid w:val="0093142E"/>
    <w:rsid w:val="009318CA"/>
    <w:rsid w:val="00931B34"/>
    <w:rsid w:val="009329C8"/>
    <w:rsid w:val="00932CAE"/>
    <w:rsid w:val="0093382B"/>
    <w:rsid w:val="00933849"/>
    <w:rsid w:val="00933B99"/>
    <w:rsid w:val="00934053"/>
    <w:rsid w:val="00934172"/>
    <w:rsid w:val="00935B4C"/>
    <w:rsid w:val="009366E8"/>
    <w:rsid w:val="00936731"/>
    <w:rsid w:val="0093685B"/>
    <w:rsid w:val="009369B4"/>
    <w:rsid w:val="00937010"/>
    <w:rsid w:val="00937055"/>
    <w:rsid w:val="00937213"/>
    <w:rsid w:val="00937583"/>
    <w:rsid w:val="00937E2C"/>
    <w:rsid w:val="00940C5B"/>
    <w:rsid w:val="009411DD"/>
    <w:rsid w:val="00942363"/>
    <w:rsid w:val="009424CD"/>
    <w:rsid w:val="009433C5"/>
    <w:rsid w:val="00944FCD"/>
    <w:rsid w:val="009463A5"/>
    <w:rsid w:val="00946932"/>
    <w:rsid w:val="00947CDD"/>
    <w:rsid w:val="009500AA"/>
    <w:rsid w:val="00950B11"/>
    <w:rsid w:val="00950D5F"/>
    <w:rsid w:val="00950DB0"/>
    <w:rsid w:val="00950F5D"/>
    <w:rsid w:val="009510A4"/>
    <w:rsid w:val="00952B10"/>
    <w:rsid w:val="00952B8B"/>
    <w:rsid w:val="00952B9B"/>
    <w:rsid w:val="00952BF2"/>
    <w:rsid w:val="009534CF"/>
    <w:rsid w:val="00953CC3"/>
    <w:rsid w:val="00954F4E"/>
    <w:rsid w:val="00955537"/>
    <w:rsid w:val="00955980"/>
    <w:rsid w:val="00956430"/>
    <w:rsid w:val="0095648A"/>
    <w:rsid w:val="009564B1"/>
    <w:rsid w:val="009564EE"/>
    <w:rsid w:val="00956669"/>
    <w:rsid w:val="00960D86"/>
    <w:rsid w:val="00960FBA"/>
    <w:rsid w:val="00961E17"/>
    <w:rsid w:val="00961E8E"/>
    <w:rsid w:val="00961ED0"/>
    <w:rsid w:val="009626E8"/>
    <w:rsid w:val="009639D3"/>
    <w:rsid w:val="00963DB2"/>
    <w:rsid w:val="00964D0C"/>
    <w:rsid w:val="009655B1"/>
    <w:rsid w:val="0096600F"/>
    <w:rsid w:val="009668F5"/>
    <w:rsid w:val="00967289"/>
    <w:rsid w:val="00967BF1"/>
    <w:rsid w:val="00970165"/>
    <w:rsid w:val="00970623"/>
    <w:rsid w:val="00970965"/>
    <w:rsid w:val="00971040"/>
    <w:rsid w:val="0097145C"/>
    <w:rsid w:val="009725D0"/>
    <w:rsid w:val="00972CE1"/>
    <w:rsid w:val="00972D63"/>
    <w:rsid w:val="00973588"/>
    <w:rsid w:val="00973FA0"/>
    <w:rsid w:val="00975475"/>
    <w:rsid w:val="00975AA8"/>
    <w:rsid w:val="00975C67"/>
    <w:rsid w:val="009768D1"/>
    <w:rsid w:val="0097695A"/>
    <w:rsid w:val="009772A9"/>
    <w:rsid w:val="009802D1"/>
    <w:rsid w:val="009803E4"/>
    <w:rsid w:val="009807C2"/>
    <w:rsid w:val="00980BDD"/>
    <w:rsid w:val="00980E13"/>
    <w:rsid w:val="009813E1"/>
    <w:rsid w:val="00981A3B"/>
    <w:rsid w:val="0098266F"/>
    <w:rsid w:val="00982994"/>
    <w:rsid w:val="00982EA7"/>
    <w:rsid w:val="00983B7B"/>
    <w:rsid w:val="009843AD"/>
    <w:rsid w:val="009845E2"/>
    <w:rsid w:val="00984897"/>
    <w:rsid w:val="00985C2F"/>
    <w:rsid w:val="009870E8"/>
    <w:rsid w:val="00987441"/>
    <w:rsid w:val="009910F3"/>
    <w:rsid w:val="0099256C"/>
    <w:rsid w:val="009931A8"/>
    <w:rsid w:val="009934B8"/>
    <w:rsid w:val="00993A9B"/>
    <w:rsid w:val="00993E01"/>
    <w:rsid w:val="009940BA"/>
    <w:rsid w:val="00995291"/>
    <w:rsid w:val="00995E84"/>
    <w:rsid w:val="009961DE"/>
    <w:rsid w:val="0099751A"/>
    <w:rsid w:val="009977D3"/>
    <w:rsid w:val="009A02AF"/>
    <w:rsid w:val="009A0330"/>
    <w:rsid w:val="009A059A"/>
    <w:rsid w:val="009A1945"/>
    <w:rsid w:val="009A1B71"/>
    <w:rsid w:val="009A2A20"/>
    <w:rsid w:val="009A2C52"/>
    <w:rsid w:val="009A2C96"/>
    <w:rsid w:val="009A31B7"/>
    <w:rsid w:val="009A3444"/>
    <w:rsid w:val="009A39B4"/>
    <w:rsid w:val="009A4DEA"/>
    <w:rsid w:val="009A5713"/>
    <w:rsid w:val="009A5FA8"/>
    <w:rsid w:val="009A5FFE"/>
    <w:rsid w:val="009A64CB"/>
    <w:rsid w:val="009A6580"/>
    <w:rsid w:val="009A78FE"/>
    <w:rsid w:val="009A7CBC"/>
    <w:rsid w:val="009A7D1A"/>
    <w:rsid w:val="009A7F2E"/>
    <w:rsid w:val="009A7F42"/>
    <w:rsid w:val="009B0D10"/>
    <w:rsid w:val="009B13EB"/>
    <w:rsid w:val="009B2630"/>
    <w:rsid w:val="009B2D84"/>
    <w:rsid w:val="009B3805"/>
    <w:rsid w:val="009B4583"/>
    <w:rsid w:val="009B4DD4"/>
    <w:rsid w:val="009B5488"/>
    <w:rsid w:val="009B5CF7"/>
    <w:rsid w:val="009B6CB1"/>
    <w:rsid w:val="009B72F4"/>
    <w:rsid w:val="009B79A5"/>
    <w:rsid w:val="009C0A70"/>
    <w:rsid w:val="009C123B"/>
    <w:rsid w:val="009C2B86"/>
    <w:rsid w:val="009C2CD4"/>
    <w:rsid w:val="009C30B6"/>
    <w:rsid w:val="009C36A6"/>
    <w:rsid w:val="009C4317"/>
    <w:rsid w:val="009C5309"/>
    <w:rsid w:val="009C585F"/>
    <w:rsid w:val="009C5D2B"/>
    <w:rsid w:val="009C5F85"/>
    <w:rsid w:val="009C6A8E"/>
    <w:rsid w:val="009C6C0F"/>
    <w:rsid w:val="009C6C8D"/>
    <w:rsid w:val="009C7E4A"/>
    <w:rsid w:val="009D0889"/>
    <w:rsid w:val="009D0D27"/>
    <w:rsid w:val="009D1122"/>
    <w:rsid w:val="009D130A"/>
    <w:rsid w:val="009D13EA"/>
    <w:rsid w:val="009D1A48"/>
    <w:rsid w:val="009D1CD5"/>
    <w:rsid w:val="009D23F2"/>
    <w:rsid w:val="009D2CED"/>
    <w:rsid w:val="009D3239"/>
    <w:rsid w:val="009D45C0"/>
    <w:rsid w:val="009D465F"/>
    <w:rsid w:val="009D4B51"/>
    <w:rsid w:val="009D4FB9"/>
    <w:rsid w:val="009D5002"/>
    <w:rsid w:val="009D57A9"/>
    <w:rsid w:val="009D5876"/>
    <w:rsid w:val="009D63AF"/>
    <w:rsid w:val="009D6727"/>
    <w:rsid w:val="009D6DDB"/>
    <w:rsid w:val="009E12C5"/>
    <w:rsid w:val="009E12F5"/>
    <w:rsid w:val="009E1D56"/>
    <w:rsid w:val="009E251D"/>
    <w:rsid w:val="009E262B"/>
    <w:rsid w:val="009E296B"/>
    <w:rsid w:val="009E36F7"/>
    <w:rsid w:val="009E3F05"/>
    <w:rsid w:val="009E4B09"/>
    <w:rsid w:val="009E574B"/>
    <w:rsid w:val="009E7265"/>
    <w:rsid w:val="009F019B"/>
    <w:rsid w:val="009F0952"/>
    <w:rsid w:val="009F1534"/>
    <w:rsid w:val="009F220F"/>
    <w:rsid w:val="009F2645"/>
    <w:rsid w:val="009F2646"/>
    <w:rsid w:val="009F31F7"/>
    <w:rsid w:val="009F383B"/>
    <w:rsid w:val="009F4BD6"/>
    <w:rsid w:val="009F4C4B"/>
    <w:rsid w:val="009F4F19"/>
    <w:rsid w:val="009F5CC3"/>
    <w:rsid w:val="009F5D20"/>
    <w:rsid w:val="009F60EC"/>
    <w:rsid w:val="009F66E0"/>
    <w:rsid w:val="009F67F1"/>
    <w:rsid w:val="00A00961"/>
    <w:rsid w:val="00A01592"/>
    <w:rsid w:val="00A018DC"/>
    <w:rsid w:val="00A026CC"/>
    <w:rsid w:val="00A0428C"/>
    <w:rsid w:val="00A04360"/>
    <w:rsid w:val="00A04534"/>
    <w:rsid w:val="00A04A05"/>
    <w:rsid w:val="00A10FBD"/>
    <w:rsid w:val="00A1320E"/>
    <w:rsid w:val="00A13581"/>
    <w:rsid w:val="00A13CCF"/>
    <w:rsid w:val="00A13E04"/>
    <w:rsid w:val="00A143C8"/>
    <w:rsid w:val="00A1441A"/>
    <w:rsid w:val="00A15547"/>
    <w:rsid w:val="00A1565F"/>
    <w:rsid w:val="00A15CB2"/>
    <w:rsid w:val="00A15D1D"/>
    <w:rsid w:val="00A15F3B"/>
    <w:rsid w:val="00A15FB7"/>
    <w:rsid w:val="00A1761D"/>
    <w:rsid w:val="00A176C0"/>
    <w:rsid w:val="00A20766"/>
    <w:rsid w:val="00A21401"/>
    <w:rsid w:val="00A21F27"/>
    <w:rsid w:val="00A23914"/>
    <w:rsid w:val="00A242B7"/>
    <w:rsid w:val="00A24AF5"/>
    <w:rsid w:val="00A25439"/>
    <w:rsid w:val="00A25BE2"/>
    <w:rsid w:val="00A26183"/>
    <w:rsid w:val="00A27389"/>
    <w:rsid w:val="00A27537"/>
    <w:rsid w:val="00A27DCA"/>
    <w:rsid w:val="00A30B8F"/>
    <w:rsid w:val="00A312D2"/>
    <w:rsid w:val="00A32289"/>
    <w:rsid w:val="00A32304"/>
    <w:rsid w:val="00A33C1A"/>
    <w:rsid w:val="00A33DA2"/>
    <w:rsid w:val="00A35844"/>
    <w:rsid w:val="00A366F0"/>
    <w:rsid w:val="00A367F3"/>
    <w:rsid w:val="00A36A6F"/>
    <w:rsid w:val="00A36CAD"/>
    <w:rsid w:val="00A370E2"/>
    <w:rsid w:val="00A3770B"/>
    <w:rsid w:val="00A37B3E"/>
    <w:rsid w:val="00A37CD1"/>
    <w:rsid w:val="00A40E45"/>
    <w:rsid w:val="00A41737"/>
    <w:rsid w:val="00A4306D"/>
    <w:rsid w:val="00A43BB5"/>
    <w:rsid w:val="00A44677"/>
    <w:rsid w:val="00A4524E"/>
    <w:rsid w:val="00A4534F"/>
    <w:rsid w:val="00A45460"/>
    <w:rsid w:val="00A45938"/>
    <w:rsid w:val="00A45DDB"/>
    <w:rsid w:val="00A465B3"/>
    <w:rsid w:val="00A4717A"/>
    <w:rsid w:val="00A501AE"/>
    <w:rsid w:val="00A50CAD"/>
    <w:rsid w:val="00A50E79"/>
    <w:rsid w:val="00A50FDA"/>
    <w:rsid w:val="00A514A6"/>
    <w:rsid w:val="00A524CE"/>
    <w:rsid w:val="00A532AF"/>
    <w:rsid w:val="00A53A8E"/>
    <w:rsid w:val="00A53CC7"/>
    <w:rsid w:val="00A54436"/>
    <w:rsid w:val="00A54C49"/>
    <w:rsid w:val="00A550E8"/>
    <w:rsid w:val="00A57558"/>
    <w:rsid w:val="00A57D28"/>
    <w:rsid w:val="00A57EEA"/>
    <w:rsid w:val="00A60384"/>
    <w:rsid w:val="00A60C7B"/>
    <w:rsid w:val="00A613C3"/>
    <w:rsid w:val="00A617E8"/>
    <w:rsid w:val="00A63021"/>
    <w:rsid w:val="00A63597"/>
    <w:rsid w:val="00A64BA0"/>
    <w:rsid w:val="00A650F3"/>
    <w:rsid w:val="00A65981"/>
    <w:rsid w:val="00A66568"/>
    <w:rsid w:val="00A672E3"/>
    <w:rsid w:val="00A6777D"/>
    <w:rsid w:val="00A70A26"/>
    <w:rsid w:val="00A70D1F"/>
    <w:rsid w:val="00A71909"/>
    <w:rsid w:val="00A71A57"/>
    <w:rsid w:val="00A72C27"/>
    <w:rsid w:val="00A73593"/>
    <w:rsid w:val="00A7368E"/>
    <w:rsid w:val="00A73B81"/>
    <w:rsid w:val="00A73D81"/>
    <w:rsid w:val="00A74204"/>
    <w:rsid w:val="00A74B14"/>
    <w:rsid w:val="00A7657E"/>
    <w:rsid w:val="00A76862"/>
    <w:rsid w:val="00A77E1B"/>
    <w:rsid w:val="00A84191"/>
    <w:rsid w:val="00A84698"/>
    <w:rsid w:val="00A84A2A"/>
    <w:rsid w:val="00A862D2"/>
    <w:rsid w:val="00A90794"/>
    <w:rsid w:val="00A90A1F"/>
    <w:rsid w:val="00A92134"/>
    <w:rsid w:val="00A924D4"/>
    <w:rsid w:val="00A92E43"/>
    <w:rsid w:val="00A936DC"/>
    <w:rsid w:val="00A948B1"/>
    <w:rsid w:val="00A94FEC"/>
    <w:rsid w:val="00A967A7"/>
    <w:rsid w:val="00A96C67"/>
    <w:rsid w:val="00A9745F"/>
    <w:rsid w:val="00A9765F"/>
    <w:rsid w:val="00A97C77"/>
    <w:rsid w:val="00A97CDB"/>
    <w:rsid w:val="00AA0366"/>
    <w:rsid w:val="00AA088B"/>
    <w:rsid w:val="00AA121A"/>
    <w:rsid w:val="00AA1305"/>
    <w:rsid w:val="00AA2025"/>
    <w:rsid w:val="00AA2723"/>
    <w:rsid w:val="00AA2A47"/>
    <w:rsid w:val="00AA2A7F"/>
    <w:rsid w:val="00AA3092"/>
    <w:rsid w:val="00AA321D"/>
    <w:rsid w:val="00AA324D"/>
    <w:rsid w:val="00AA32D1"/>
    <w:rsid w:val="00AA3495"/>
    <w:rsid w:val="00AA353F"/>
    <w:rsid w:val="00AA37B6"/>
    <w:rsid w:val="00AA3B7B"/>
    <w:rsid w:val="00AA4FE9"/>
    <w:rsid w:val="00AA5E07"/>
    <w:rsid w:val="00AA5F20"/>
    <w:rsid w:val="00AA6F5B"/>
    <w:rsid w:val="00AA765E"/>
    <w:rsid w:val="00AA76E2"/>
    <w:rsid w:val="00AA7D4C"/>
    <w:rsid w:val="00AA7ED4"/>
    <w:rsid w:val="00AB07A4"/>
    <w:rsid w:val="00AB1816"/>
    <w:rsid w:val="00AB26AC"/>
    <w:rsid w:val="00AB2C87"/>
    <w:rsid w:val="00AB3923"/>
    <w:rsid w:val="00AB39E6"/>
    <w:rsid w:val="00AB41CE"/>
    <w:rsid w:val="00AB508D"/>
    <w:rsid w:val="00AB5A32"/>
    <w:rsid w:val="00AB601A"/>
    <w:rsid w:val="00AB62B1"/>
    <w:rsid w:val="00AB66A4"/>
    <w:rsid w:val="00AB71D9"/>
    <w:rsid w:val="00AB75DA"/>
    <w:rsid w:val="00AC0A43"/>
    <w:rsid w:val="00AC0B6A"/>
    <w:rsid w:val="00AC14C3"/>
    <w:rsid w:val="00AC1A1E"/>
    <w:rsid w:val="00AC1A23"/>
    <w:rsid w:val="00AC1E8C"/>
    <w:rsid w:val="00AC230E"/>
    <w:rsid w:val="00AC3031"/>
    <w:rsid w:val="00AC4C61"/>
    <w:rsid w:val="00AC65EB"/>
    <w:rsid w:val="00AC6960"/>
    <w:rsid w:val="00AD139E"/>
    <w:rsid w:val="00AD149F"/>
    <w:rsid w:val="00AD1946"/>
    <w:rsid w:val="00AD252F"/>
    <w:rsid w:val="00AD2DE5"/>
    <w:rsid w:val="00AD3564"/>
    <w:rsid w:val="00AD3F43"/>
    <w:rsid w:val="00AD4BE8"/>
    <w:rsid w:val="00AD4D3F"/>
    <w:rsid w:val="00AD55F9"/>
    <w:rsid w:val="00AD56C2"/>
    <w:rsid w:val="00AD5B06"/>
    <w:rsid w:val="00AD6853"/>
    <w:rsid w:val="00AD6CE2"/>
    <w:rsid w:val="00AD753A"/>
    <w:rsid w:val="00AE022E"/>
    <w:rsid w:val="00AE0A77"/>
    <w:rsid w:val="00AE0FA0"/>
    <w:rsid w:val="00AE241E"/>
    <w:rsid w:val="00AE278E"/>
    <w:rsid w:val="00AE2916"/>
    <w:rsid w:val="00AE3241"/>
    <w:rsid w:val="00AE3632"/>
    <w:rsid w:val="00AE400C"/>
    <w:rsid w:val="00AE4A34"/>
    <w:rsid w:val="00AE53B5"/>
    <w:rsid w:val="00AE7A3E"/>
    <w:rsid w:val="00AE7C04"/>
    <w:rsid w:val="00AF028E"/>
    <w:rsid w:val="00AF04AF"/>
    <w:rsid w:val="00AF0ED0"/>
    <w:rsid w:val="00AF15E9"/>
    <w:rsid w:val="00AF18CE"/>
    <w:rsid w:val="00AF2AE8"/>
    <w:rsid w:val="00AF379C"/>
    <w:rsid w:val="00AF3FB1"/>
    <w:rsid w:val="00AF45B1"/>
    <w:rsid w:val="00AF4BC2"/>
    <w:rsid w:val="00AF571A"/>
    <w:rsid w:val="00AF5E22"/>
    <w:rsid w:val="00AF65B3"/>
    <w:rsid w:val="00AF6A52"/>
    <w:rsid w:val="00AF6D0E"/>
    <w:rsid w:val="00B00022"/>
    <w:rsid w:val="00B00A55"/>
    <w:rsid w:val="00B01011"/>
    <w:rsid w:val="00B04394"/>
    <w:rsid w:val="00B05847"/>
    <w:rsid w:val="00B05926"/>
    <w:rsid w:val="00B05D37"/>
    <w:rsid w:val="00B12046"/>
    <w:rsid w:val="00B128C6"/>
    <w:rsid w:val="00B14EA1"/>
    <w:rsid w:val="00B15756"/>
    <w:rsid w:val="00B15843"/>
    <w:rsid w:val="00B15A93"/>
    <w:rsid w:val="00B15E60"/>
    <w:rsid w:val="00B16A5D"/>
    <w:rsid w:val="00B16AF4"/>
    <w:rsid w:val="00B16D95"/>
    <w:rsid w:val="00B175D7"/>
    <w:rsid w:val="00B17ABB"/>
    <w:rsid w:val="00B17D24"/>
    <w:rsid w:val="00B2127D"/>
    <w:rsid w:val="00B213DF"/>
    <w:rsid w:val="00B21576"/>
    <w:rsid w:val="00B22992"/>
    <w:rsid w:val="00B22D46"/>
    <w:rsid w:val="00B22EB8"/>
    <w:rsid w:val="00B24220"/>
    <w:rsid w:val="00B24C2B"/>
    <w:rsid w:val="00B24DFB"/>
    <w:rsid w:val="00B24ECA"/>
    <w:rsid w:val="00B25273"/>
    <w:rsid w:val="00B25ADA"/>
    <w:rsid w:val="00B25C73"/>
    <w:rsid w:val="00B2676E"/>
    <w:rsid w:val="00B26848"/>
    <w:rsid w:val="00B27025"/>
    <w:rsid w:val="00B30451"/>
    <w:rsid w:val="00B305C1"/>
    <w:rsid w:val="00B3089F"/>
    <w:rsid w:val="00B30C02"/>
    <w:rsid w:val="00B30DD5"/>
    <w:rsid w:val="00B31024"/>
    <w:rsid w:val="00B3120A"/>
    <w:rsid w:val="00B328D6"/>
    <w:rsid w:val="00B32967"/>
    <w:rsid w:val="00B332CE"/>
    <w:rsid w:val="00B33373"/>
    <w:rsid w:val="00B33374"/>
    <w:rsid w:val="00B33447"/>
    <w:rsid w:val="00B337DA"/>
    <w:rsid w:val="00B34296"/>
    <w:rsid w:val="00B354EE"/>
    <w:rsid w:val="00B37370"/>
    <w:rsid w:val="00B40263"/>
    <w:rsid w:val="00B40BB7"/>
    <w:rsid w:val="00B41756"/>
    <w:rsid w:val="00B41765"/>
    <w:rsid w:val="00B41835"/>
    <w:rsid w:val="00B41B52"/>
    <w:rsid w:val="00B4332C"/>
    <w:rsid w:val="00B44043"/>
    <w:rsid w:val="00B44922"/>
    <w:rsid w:val="00B45877"/>
    <w:rsid w:val="00B45F24"/>
    <w:rsid w:val="00B468CF"/>
    <w:rsid w:val="00B474F0"/>
    <w:rsid w:val="00B478D7"/>
    <w:rsid w:val="00B505ED"/>
    <w:rsid w:val="00B516D2"/>
    <w:rsid w:val="00B517F0"/>
    <w:rsid w:val="00B5189C"/>
    <w:rsid w:val="00B52322"/>
    <w:rsid w:val="00B524CF"/>
    <w:rsid w:val="00B52A27"/>
    <w:rsid w:val="00B5316C"/>
    <w:rsid w:val="00B53478"/>
    <w:rsid w:val="00B54743"/>
    <w:rsid w:val="00B55343"/>
    <w:rsid w:val="00B55EB5"/>
    <w:rsid w:val="00B56255"/>
    <w:rsid w:val="00B56C1C"/>
    <w:rsid w:val="00B56E99"/>
    <w:rsid w:val="00B578E8"/>
    <w:rsid w:val="00B601B6"/>
    <w:rsid w:val="00B60E4D"/>
    <w:rsid w:val="00B63077"/>
    <w:rsid w:val="00B630F0"/>
    <w:rsid w:val="00B63CEB"/>
    <w:rsid w:val="00B64950"/>
    <w:rsid w:val="00B65581"/>
    <w:rsid w:val="00B65DC4"/>
    <w:rsid w:val="00B66559"/>
    <w:rsid w:val="00B66972"/>
    <w:rsid w:val="00B67569"/>
    <w:rsid w:val="00B67935"/>
    <w:rsid w:val="00B704F6"/>
    <w:rsid w:val="00B7063A"/>
    <w:rsid w:val="00B70C0D"/>
    <w:rsid w:val="00B72190"/>
    <w:rsid w:val="00B7292E"/>
    <w:rsid w:val="00B72AFF"/>
    <w:rsid w:val="00B72B4D"/>
    <w:rsid w:val="00B72BCC"/>
    <w:rsid w:val="00B741A6"/>
    <w:rsid w:val="00B74F8D"/>
    <w:rsid w:val="00B75239"/>
    <w:rsid w:val="00B77092"/>
    <w:rsid w:val="00B774A2"/>
    <w:rsid w:val="00B804E1"/>
    <w:rsid w:val="00B807F6"/>
    <w:rsid w:val="00B80CB0"/>
    <w:rsid w:val="00B80D45"/>
    <w:rsid w:val="00B8128F"/>
    <w:rsid w:val="00B8149C"/>
    <w:rsid w:val="00B81CAA"/>
    <w:rsid w:val="00B82160"/>
    <w:rsid w:val="00B82DBB"/>
    <w:rsid w:val="00B830F3"/>
    <w:rsid w:val="00B83569"/>
    <w:rsid w:val="00B84E78"/>
    <w:rsid w:val="00B85EA6"/>
    <w:rsid w:val="00B87489"/>
    <w:rsid w:val="00B874A8"/>
    <w:rsid w:val="00B87C42"/>
    <w:rsid w:val="00B87CC0"/>
    <w:rsid w:val="00B901D3"/>
    <w:rsid w:val="00B90903"/>
    <w:rsid w:val="00B90ADA"/>
    <w:rsid w:val="00B91FE1"/>
    <w:rsid w:val="00B92FC8"/>
    <w:rsid w:val="00B931DF"/>
    <w:rsid w:val="00B93F4E"/>
    <w:rsid w:val="00B94295"/>
    <w:rsid w:val="00B94399"/>
    <w:rsid w:val="00B949CC"/>
    <w:rsid w:val="00B94D27"/>
    <w:rsid w:val="00B94FE4"/>
    <w:rsid w:val="00B95208"/>
    <w:rsid w:val="00B95305"/>
    <w:rsid w:val="00B95348"/>
    <w:rsid w:val="00B961D8"/>
    <w:rsid w:val="00B96758"/>
    <w:rsid w:val="00B96785"/>
    <w:rsid w:val="00B972EF"/>
    <w:rsid w:val="00B97403"/>
    <w:rsid w:val="00B9753A"/>
    <w:rsid w:val="00B97611"/>
    <w:rsid w:val="00B97E0B"/>
    <w:rsid w:val="00BA069B"/>
    <w:rsid w:val="00BA092C"/>
    <w:rsid w:val="00BA0D38"/>
    <w:rsid w:val="00BA3EB1"/>
    <w:rsid w:val="00BA610D"/>
    <w:rsid w:val="00BA65CD"/>
    <w:rsid w:val="00BB03BC"/>
    <w:rsid w:val="00BB0C0E"/>
    <w:rsid w:val="00BB0E8C"/>
    <w:rsid w:val="00BB16F4"/>
    <w:rsid w:val="00BB240B"/>
    <w:rsid w:val="00BB2CA4"/>
    <w:rsid w:val="00BB378D"/>
    <w:rsid w:val="00BB423B"/>
    <w:rsid w:val="00BB42A4"/>
    <w:rsid w:val="00BB44FD"/>
    <w:rsid w:val="00BB47BF"/>
    <w:rsid w:val="00BB5155"/>
    <w:rsid w:val="00BB5987"/>
    <w:rsid w:val="00BB5DC2"/>
    <w:rsid w:val="00BB6D35"/>
    <w:rsid w:val="00BB7181"/>
    <w:rsid w:val="00BB7217"/>
    <w:rsid w:val="00BB73EE"/>
    <w:rsid w:val="00BB793B"/>
    <w:rsid w:val="00BC0C42"/>
    <w:rsid w:val="00BC0C48"/>
    <w:rsid w:val="00BC0DA6"/>
    <w:rsid w:val="00BC16F9"/>
    <w:rsid w:val="00BC2125"/>
    <w:rsid w:val="00BC23CB"/>
    <w:rsid w:val="00BC33B0"/>
    <w:rsid w:val="00BC3D4B"/>
    <w:rsid w:val="00BC4394"/>
    <w:rsid w:val="00BC5381"/>
    <w:rsid w:val="00BC5689"/>
    <w:rsid w:val="00BC632F"/>
    <w:rsid w:val="00BC7BAB"/>
    <w:rsid w:val="00BD0115"/>
    <w:rsid w:val="00BD0B15"/>
    <w:rsid w:val="00BD0C31"/>
    <w:rsid w:val="00BD1076"/>
    <w:rsid w:val="00BD1306"/>
    <w:rsid w:val="00BD1F75"/>
    <w:rsid w:val="00BD2CC0"/>
    <w:rsid w:val="00BD2DE5"/>
    <w:rsid w:val="00BD3481"/>
    <w:rsid w:val="00BD4F88"/>
    <w:rsid w:val="00BD6E95"/>
    <w:rsid w:val="00BD73A6"/>
    <w:rsid w:val="00BD794D"/>
    <w:rsid w:val="00BE0054"/>
    <w:rsid w:val="00BE0525"/>
    <w:rsid w:val="00BE0957"/>
    <w:rsid w:val="00BE0BD0"/>
    <w:rsid w:val="00BE0DD1"/>
    <w:rsid w:val="00BE12F6"/>
    <w:rsid w:val="00BE1787"/>
    <w:rsid w:val="00BE1C94"/>
    <w:rsid w:val="00BE1F0C"/>
    <w:rsid w:val="00BE24E8"/>
    <w:rsid w:val="00BE26A1"/>
    <w:rsid w:val="00BE3A4E"/>
    <w:rsid w:val="00BE4C8A"/>
    <w:rsid w:val="00BE4F6A"/>
    <w:rsid w:val="00BE54B0"/>
    <w:rsid w:val="00BE5A04"/>
    <w:rsid w:val="00BE5EF3"/>
    <w:rsid w:val="00BE662E"/>
    <w:rsid w:val="00BE6A99"/>
    <w:rsid w:val="00BE6BDF"/>
    <w:rsid w:val="00BE6C48"/>
    <w:rsid w:val="00BE6FE7"/>
    <w:rsid w:val="00BE749D"/>
    <w:rsid w:val="00BE76A6"/>
    <w:rsid w:val="00BE79B3"/>
    <w:rsid w:val="00BE7FDA"/>
    <w:rsid w:val="00BF016C"/>
    <w:rsid w:val="00BF0387"/>
    <w:rsid w:val="00BF04A7"/>
    <w:rsid w:val="00BF0518"/>
    <w:rsid w:val="00BF0741"/>
    <w:rsid w:val="00BF1DE8"/>
    <w:rsid w:val="00BF2181"/>
    <w:rsid w:val="00BF2A65"/>
    <w:rsid w:val="00BF2E7B"/>
    <w:rsid w:val="00BF2FD2"/>
    <w:rsid w:val="00BF363B"/>
    <w:rsid w:val="00BF3B85"/>
    <w:rsid w:val="00BF404D"/>
    <w:rsid w:val="00BF42FF"/>
    <w:rsid w:val="00BF521B"/>
    <w:rsid w:val="00BF52CB"/>
    <w:rsid w:val="00BF52D8"/>
    <w:rsid w:val="00BF5792"/>
    <w:rsid w:val="00BF589E"/>
    <w:rsid w:val="00BF5DF6"/>
    <w:rsid w:val="00BF6600"/>
    <w:rsid w:val="00BF7049"/>
    <w:rsid w:val="00BF72DA"/>
    <w:rsid w:val="00C01A08"/>
    <w:rsid w:val="00C02EAD"/>
    <w:rsid w:val="00C039AD"/>
    <w:rsid w:val="00C03CEB"/>
    <w:rsid w:val="00C04490"/>
    <w:rsid w:val="00C052A9"/>
    <w:rsid w:val="00C0626E"/>
    <w:rsid w:val="00C06662"/>
    <w:rsid w:val="00C07353"/>
    <w:rsid w:val="00C07616"/>
    <w:rsid w:val="00C07B76"/>
    <w:rsid w:val="00C07C20"/>
    <w:rsid w:val="00C10323"/>
    <w:rsid w:val="00C11826"/>
    <w:rsid w:val="00C11987"/>
    <w:rsid w:val="00C13306"/>
    <w:rsid w:val="00C13C15"/>
    <w:rsid w:val="00C14751"/>
    <w:rsid w:val="00C148FC"/>
    <w:rsid w:val="00C14D9E"/>
    <w:rsid w:val="00C15DBA"/>
    <w:rsid w:val="00C15E55"/>
    <w:rsid w:val="00C162B1"/>
    <w:rsid w:val="00C17653"/>
    <w:rsid w:val="00C17F58"/>
    <w:rsid w:val="00C17F9F"/>
    <w:rsid w:val="00C2043E"/>
    <w:rsid w:val="00C20B35"/>
    <w:rsid w:val="00C21BE0"/>
    <w:rsid w:val="00C21E08"/>
    <w:rsid w:val="00C22517"/>
    <w:rsid w:val="00C225BC"/>
    <w:rsid w:val="00C23349"/>
    <w:rsid w:val="00C23C1F"/>
    <w:rsid w:val="00C23C9B"/>
    <w:rsid w:val="00C250FD"/>
    <w:rsid w:val="00C25A6E"/>
    <w:rsid w:val="00C25E4A"/>
    <w:rsid w:val="00C2672E"/>
    <w:rsid w:val="00C276B2"/>
    <w:rsid w:val="00C276E6"/>
    <w:rsid w:val="00C27FE1"/>
    <w:rsid w:val="00C302E3"/>
    <w:rsid w:val="00C31070"/>
    <w:rsid w:val="00C31330"/>
    <w:rsid w:val="00C3226D"/>
    <w:rsid w:val="00C32D2A"/>
    <w:rsid w:val="00C32E94"/>
    <w:rsid w:val="00C35305"/>
    <w:rsid w:val="00C3699E"/>
    <w:rsid w:val="00C40302"/>
    <w:rsid w:val="00C406BC"/>
    <w:rsid w:val="00C41DD9"/>
    <w:rsid w:val="00C41E3C"/>
    <w:rsid w:val="00C429C2"/>
    <w:rsid w:val="00C43EAA"/>
    <w:rsid w:val="00C43FC9"/>
    <w:rsid w:val="00C44D59"/>
    <w:rsid w:val="00C45903"/>
    <w:rsid w:val="00C45B8B"/>
    <w:rsid w:val="00C46123"/>
    <w:rsid w:val="00C4618C"/>
    <w:rsid w:val="00C462AD"/>
    <w:rsid w:val="00C46336"/>
    <w:rsid w:val="00C46374"/>
    <w:rsid w:val="00C466A6"/>
    <w:rsid w:val="00C47B44"/>
    <w:rsid w:val="00C523FA"/>
    <w:rsid w:val="00C527D3"/>
    <w:rsid w:val="00C54B3D"/>
    <w:rsid w:val="00C54FA6"/>
    <w:rsid w:val="00C5518D"/>
    <w:rsid w:val="00C55362"/>
    <w:rsid w:val="00C55435"/>
    <w:rsid w:val="00C5559E"/>
    <w:rsid w:val="00C56828"/>
    <w:rsid w:val="00C56CA1"/>
    <w:rsid w:val="00C56F49"/>
    <w:rsid w:val="00C61214"/>
    <w:rsid w:val="00C624AB"/>
    <w:rsid w:val="00C62565"/>
    <w:rsid w:val="00C6276F"/>
    <w:rsid w:val="00C63165"/>
    <w:rsid w:val="00C637B8"/>
    <w:rsid w:val="00C64F44"/>
    <w:rsid w:val="00C6566E"/>
    <w:rsid w:val="00C656D3"/>
    <w:rsid w:val="00C661AA"/>
    <w:rsid w:val="00C669C4"/>
    <w:rsid w:val="00C66EF5"/>
    <w:rsid w:val="00C678F0"/>
    <w:rsid w:val="00C67C3F"/>
    <w:rsid w:val="00C7021D"/>
    <w:rsid w:val="00C702FB"/>
    <w:rsid w:val="00C7048C"/>
    <w:rsid w:val="00C71614"/>
    <w:rsid w:val="00C71FB4"/>
    <w:rsid w:val="00C72020"/>
    <w:rsid w:val="00C722AB"/>
    <w:rsid w:val="00C7252D"/>
    <w:rsid w:val="00C725B4"/>
    <w:rsid w:val="00C725CB"/>
    <w:rsid w:val="00C727AB"/>
    <w:rsid w:val="00C74379"/>
    <w:rsid w:val="00C74A0E"/>
    <w:rsid w:val="00C753B4"/>
    <w:rsid w:val="00C756AC"/>
    <w:rsid w:val="00C756E2"/>
    <w:rsid w:val="00C75A1F"/>
    <w:rsid w:val="00C76503"/>
    <w:rsid w:val="00C76F07"/>
    <w:rsid w:val="00C770F7"/>
    <w:rsid w:val="00C776CA"/>
    <w:rsid w:val="00C77B30"/>
    <w:rsid w:val="00C77D9D"/>
    <w:rsid w:val="00C80F25"/>
    <w:rsid w:val="00C81083"/>
    <w:rsid w:val="00C8149F"/>
    <w:rsid w:val="00C81E24"/>
    <w:rsid w:val="00C81FF1"/>
    <w:rsid w:val="00C8352C"/>
    <w:rsid w:val="00C8384E"/>
    <w:rsid w:val="00C847A9"/>
    <w:rsid w:val="00C84ACD"/>
    <w:rsid w:val="00C84DE4"/>
    <w:rsid w:val="00C85920"/>
    <w:rsid w:val="00C8595D"/>
    <w:rsid w:val="00C87167"/>
    <w:rsid w:val="00C90C80"/>
    <w:rsid w:val="00C91150"/>
    <w:rsid w:val="00C91A19"/>
    <w:rsid w:val="00C91D63"/>
    <w:rsid w:val="00C92009"/>
    <w:rsid w:val="00C9204A"/>
    <w:rsid w:val="00C9251C"/>
    <w:rsid w:val="00C95C16"/>
    <w:rsid w:val="00C967CD"/>
    <w:rsid w:val="00C96D32"/>
    <w:rsid w:val="00CA045F"/>
    <w:rsid w:val="00CA0ECF"/>
    <w:rsid w:val="00CA1143"/>
    <w:rsid w:val="00CA1971"/>
    <w:rsid w:val="00CA1B37"/>
    <w:rsid w:val="00CA1B3F"/>
    <w:rsid w:val="00CA1DD9"/>
    <w:rsid w:val="00CA2C41"/>
    <w:rsid w:val="00CA31BA"/>
    <w:rsid w:val="00CA3666"/>
    <w:rsid w:val="00CA3BE9"/>
    <w:rsid w:val="00CA3C0F"/>
    <w:rsid w:val="00CA3ED3"/>
    <w:rsid w:val="00CA659E"/>
    <w:rsid w:val="00CA6887"/>
    <w:rsid w:val="00CB051F"/>
    <w:rsid w:val="00CB0AAD"/>
    <w:rsid w:val="00CB146A"/>
    <w:rsid w:val="00CB1602"/>
    <w:rsid w:val="00CB18D1"/>
    <w:rsid w:val="00CB1EC0"/>
    <w:rsid w:val="00CB2878"/>
    <w:rsid w:val="00CB2ACD"/>
    <w:rsid w:val="00CB4356"/>
    <w:rsid w:val="00CB63EC"/>
    <w:rsid w:val="00CB65B6"/>
    <w:rsid w:val="00CB6B95"/>
    <w:rsid w:val="00CB7082"/>
    <w:rsid w:val="00CB72AF"/>
    <w:rsid w:val="00CB72C0"/>
    <w:rsid w:val="00CB7BC2"/>
    <w:rsid w:val="00CC0204"/>
    <w:rsid w:val="00CC04AF"/>
    <w:rsid w:val="00CC094D"/>
    <w:rsid w:val="00CC0F3C"/>
    <w:rsid w:val="00CC1504"/>
    <w:rsid w:val="00CC3DEB"/>
    <w:rsid w:val="00CC417B"/>
    <w:rsid w:val="00CC49DD"/>
    <w:rsid w:val="00CC4FE9"/>
    <w:rsid w:val="00CC55B6"/>
    <w:rsid w:val="00CC6325"/>
    <w:rsid w:val="00CC66D2"/>
    <w:rsid w:val="00CC74F2"/>
    <w:rsid w:val="00CC7A23"/>
    <w:rsid w:val="00CD01B1"/>
    <w:rsid w:val="00CD021A"/>
    <w:rsid w:val="00CD03EB"/>
    <w:rsid w:val="00CD14B0"/>
    <w:rsid w:val="00CD196B"/>
    <w:rsid w:val="00CD223F"/>
    <w:rsid w:val="00CD26FB"/>
    <w:rsid w:val="00CD284F"/>
    <w:rsid w:val="00CD38B1"/>
    <w:rsid w:val="00CD3AAE"/>
    <w:rsid w:val="00CD4CB4"/>
    <w:rsid w:val="00CD5242"/>
    <w:rsid w:val="00CD5807"/>
    <w:rsid w:val="00CD6877"/>
    <w:rsid w:val="00CE0C84"/>
    <w:rsid w:val="00CE12E6"/>
    <w:rsid w:val="00CE19C1"/>
    <w:rsid w:val="00CE4337"/>
    <w:rsid w:val="00CE49A2"/>
    <w:rsid w:val="00CE4B5B"/>
    <w:rsid w:val="00CE55D5"/>
    <w:rsid w:val="00CE5D5B"/>
    <w:rsid w:val="00CE60D5"/>
    <w:rsid w:val="00CE6321"/>
    <w:rsid w:val="00CE6AA7"/>
    <w:rsid w:val="00CE6ABF"/>
    <w:rsid w:val="00CE6F72"/>
    <w:rsid w:val="00CF0AD6"/>
    <w:rsid w:val="00CF0CAD"/>
    <w:rsid w:val="00CF1F65"/>
    <w:rsid w:val="00CF22A2"/>
    <w:rsid w:val="00CF2AE7"/>
    <w:rsid w:val="00CF375F"/>
    <w:rsid w:val="00CF3BF5"/>
    <w:rsid w:val="00CF41F7"/>
    <w:rsid w:val="00CF4738"/>
    <w:rsid w:val="00CF4F43"/>
    <w:rsid w:val="00CF504D"/>
    <w:rsid w:val="00CF5712"/>
    <w:rsid w:val="00CF609A"/>
    <w:rsid w:val="00CF673B"/>
    <w:rsid w:val="00CF67EE"/>
    <w:rsid w:val="00CF72B2"/>
    <w:rsid w:val="00CF790A"/>
    <w:rsid w:val="00D0024E"/>
    <w:rsid w:val="00D035DB"/>
    <w:rsid w:val="00D03D88"/>
    <w:rsid w:val="00D0427E"/>
    <w:rsid w:val="00D047C6"/>
    <w:rsid w:val="00D04C7C"/>
    <w:rsid w:val="00D04FBB"/>
    <w:rsid w:val="00D051A9"/>
    <w:rsid w:val="00D055AC"/>
    <w:rsid w:val="00D05BE2"/>
    <w:rsid w:val="00D0647E"/>
    <w:rsid w:val="00D0693A"/>
    <w:rsid w:val="00D06D4A"/>
    <w:rsid w:val="00D072EF"/>
    <w:rsid w:val="00D07684"/>
    <w:rsid w:val="00D07BA7"/>
    <w:rsid w:val="00D07CF4"/>
    <w:rsid w:val="00D1105E"/>
    <w:rsid w:val="00D11A38"/>
    <w:rsid w:val="00D1330C"/>
    <w:rsid w:val="00D1405A"/>
    <w:rsid w:val="00D14EF0"/>
    <w:rsid w:val="00D15334"/>
    <w:rsid w:val="00D15AC8"/>
    <w:rsid w:val="00D16B03"/>
    <w:rsid w:val="00D16C7A"/>
    <w:rsid w:val="00D16E13"/>
    <w:rsid w:val="00D17942"/>
    <w:rsid w:val="00D17CBF"/>
    <w:rsid w:val="00D2044F"/>
    <w:rsid w:val="00D204CB"/>
    <w:rsid w:val="00D20AD5"/>
    <w:rsid w:val="00D21605"/>
    <w:rsid w:val="00D21747"/>
    <w:rsid w:val="00D22122"/>
    <w:rsid w:val="00D22DD7"/>
    <w:rsid w:val="00D2408F"/>
    <w:rsid w:val="00D259CA"/>
    <w:rsid w:val="00D25C81"/>
    <w:rsid w:val="00D25F34"/>
    <w:rsid w:val="00D26047"/>
    <w:rsid w:val="00D27760"/>
    <w:rsid w:val="00D30279"/>
    <w:rsid w:val="00D32140"/>
    <w:rsid w:val="00D33DD6"/>
    <w:rsid w:val="00D33FF3"/>
    <w:rsid w:val="00D3409D"/>
    <w:rsid w:val="00D3476F"/>
    <w:rsid w:val="00D35E6F"/>
    <w:rsid w:val="00D41169"/>
    <w:rsid w:val="00D417A7"/>
    <w:rsid w:val="00D41DEC"/>
    <w:rsid w:val="00D42FDE"/>
    <w:rsid w:val="00D433C6"/>
    <w:rsid w:val="00D44F6F"/>
    <w:rsid w:val="00D45D63"/>
    <w:rsid w:val="00D46F9D"/>
    <w:rsid w:val="00D47E29"/>
    <w:rsid w:val="00D50F20"/>
    <w:rsid w:val="00D50FEA"/>
    <w:rsid w:val="00D51129"/>
    <w:rsid w:val="00D5129E"/>
    <w:rsid w:val="00D51DEC"/>
    <w:rsid w:val="00D53404"/>
    <w:rsid w:val="00D5396A"/>
    <w:rsid w:val="00D55B35"/>
    <w:rsid w:val="00D56440"/>
    <w:rsid w:val="00D56813"/>
    <w:rsid w:val="00D608AD"/>
    <w:rsid w:val="00D61232"/>
    <w:rsid w:val="00D6136C"/>
    <w:rsid w:val="00D6194D"/>
    <w:rsid w:val="00D61ED3"/>
    <w:rsid w:val="00D61FA8"/>
    <w:rsid w:val="00D63544"/>
    <w:rsid w:val="00D63630"/>
    <w:rsid w:val="00D636C3"/>
    <w:rsid w:val="00D640FC"/>
    <w:rsid w:val="00D64CAC"/>
    <w:rsid w:val="00D64F24"/>
    <w:rsid w:val="00D65767"/>
    <w:rsid w:val="00D659B9"/>
    <w:rsid w:val="00D66480"/>
    <w:rsid w:val="00D6671D"/>
    <w:rsid w:val="00D6795E"/>
    <w:rsid w:val="00D67CF7"/>
    <w:rsid w:val="00D70313"/>
    <w:rsid w:val="00D70E54"/>
    <w:rsid w:val="00D71631"/>
    <w:rsid w:val="00D71650"/>
    <w:rsid w:val="00D72543"/>
    <w:rsid w:val="00D726EA"/>
    <w:rsid w:val="00D7322F"/>
    <w:rsid w:val="00D73C2F"/>
    <w:rsid w:val="00D743A1"/>
    <w:rsid w:val="00D7462A"/>
    <w:rsid w:val="00D748BF"/>
    <w:rsid w:val="00D750C2"/>
    <w:rsid w:val="00D7655A"/>
    <w:rsid w:val="00D766C9"/>
    <w:rsid w:val="00D76980"/>
    <w:rsid w:val="00D76ADB"/>
    <w:rsid w:val="00D76F5B"/>
    <w:rsid w:val="00D81D17"/>
    <w:rsid w:val="00D81DB8"/>
    <w:rsid w:val="00D82125"/>
    <w:rsid w:val="00D82B8A"/>
    <w:rsid w:val="00D833CA"/>
    <w:rsid w:val="00D837C0"/>
    <w:rsid w:val="00D8586C"/>
    <w:rsid w:val="00D867FA"/>
    <w:rsid w:val="00D87508"/>
    <w:rsid w:val="00D87614"/>
    <w:rsid w:val="00D877B2"/>
    <w:rsid w:val="00D87AB0"/>
    <w:rsid w:val="00D9016B"/>
    <w:rsid w:val="00D905A9"/>
    <w:rsid w:val="00D90B86"/>
    <w:rsid w:val="00D90D96"/>
    <w:rsid w:val="00D91260"/>
    <w:rsid w:val="00D915AF"/>
    <w:rsid w:val="00D91C19"/>
    <w:rsid w:val="00D92AF1"/>
    <w:rsid w:val="00D92D07"/>
    <w:rsid w:val="00D92E81"/>
    <w:rsid w:val="00D938E5"/>
    <w:rsid w:val="00D96A66"/>
    <w:rsid w:val="00D97438"/>
    <w:rsid w:val="00D97958"/>
    <w:rsid w:val="00DA0021"/>
    <w:rsid w:val="00DA0BF0"/>
    <w:rsid w:val="00DA1E34"/>
    <w:rsid w:val="00DA210E"/>
    <w:rsid w:val="00DA241C"/>
    <w:rsid w:val="00DA2577"/>
    <w:rsid w:val="00DA263B"/>
    <w:rsid w:val="00DA3464"/>
    <w:rsid w:val="00DA3879"/>
    <w:rsid w:val="00DA45CF"/>
    <w:rsid w:val="00DA4D59"/>
    <w:rsid w:val="00DA5069"/>
    <w:rsid w:val="00DA5407"/>
    <w:rsid w:val="00DA61D6"/>
    <w:rsid w:val="00DA6B34"/>
    <w:rsid w:val="00DA6D1E"/>
    <w:rsid w:val="00DA7E11"/>
    <w:rsid w:val="00DB1304"/>
    <w:rsid w:val="00DB1614"/>
    <w:rsid w:val="00DB17E4"/>
    <w:rsid w:val="00DB23DE"/>
    <w:rsid w:val="00DB2A3E"/>
    <w:rsid w:val="00DB3A58"/>
    <w:rsid w:val="00DB3F50"/>
    <w:rsid w:val="00DB3FDA"/>
    <w:rsid w:val="00DB4200"/>
    <w:rsid w:val="00DB4276"/>
    <w:rsid w:val="00DB443D"/>
    <w:rsid w:val="00DB6ADE"/>
    <w:rsid w:val="00DB6C36"/>
    <w:rsid w:val="00DB6CFF"/>
    <w:rsid w:val="00DB7ABF"/>
    <w:rsid w:val="00DC03FD"/>
    <w:rsid w:val="00DC0C08"/>
    <w:rsid w:val="00DC166C"/>
    <w:rsid w:val="00DC1754"/>
    <w:rsid w:val="00DC17D9"/>
    <w:rsid w:val="00DC4A04"/>
    <w:rsid w:val="00DC5010"/>
    <w:rsid w:val="00DC5227"/>
    <w:rsid w:val="00DC5C92"/>
    <w:rsid w:val="00DC5DC5"/>
    <w:rsid w:val="00DC654F"/>
    <w:rsid w:val="00DC74AD"/>
    <w:rsid w:val="00DC7B73"/>
    <w:rsid w:val="00DD0647"/>
    <w:rsid w:val="00DD119C"/>
    <w:rsid w:val="00DD18ED"/>
    <w:rsid w:val="00DD27EF"/>
    <w:rsid w:val="00DD2855"/>
    <w:rsid w:val="00DD2B56"/>
    <w:rsid w:val="00DD3728"/>
    <w:rsid w:val="00DD3DA3"/>
    <w:rsid w:val="00DD4A56"/>
    <w:rsid w:val="00DD4F5F"/>
    <w:rsid w:val="00DD7069"/>
    <w:rsid w:val="00DD7E15"/>
    <w:rsid w:val="00DE0588"/>
    <w:rsid w:val="00DE06E4"/>
    <w:rsid w:val="00DE0B28"/>
    <w:rsid w:val="00DE109D"/>
    <w:rsid w:val="00DE25AA"/>
    <w:rsid w:val="00DE25F2"/>
    <w:rsid w:val="00DE2A03"/>
    <w:rsid w:val="00DE2C33"/>
    <w:rsid w:val="00DE3112"/>
    <w:rsid w:val="00DE35C5"/>
    <w:rsid w:val="00DE36B4"/>
    <w:rsid w:val="00DE391F"/>
    <w:rsid w:val="00DE3D2A"/>
    <w:rsid w:val="00DE3D82"/>
    <w:rsid w:val="00DE40D1"/>
    <w:rsid w:val="00DE48C0"/>
    <w:rsid w:val="00DE5658"/>
    <w:rsid w:val="00DE58A9"/>
    <w:rsid w:val="00DE653C"/>
    <w:rsid w:val="00DE65BE"/>
    <w:rsid w:val="00DE6676"/>
    <w:rsid w:val="00DE670E"/>
    <w:rsid w:val="00DE7162"/>
    <w:rsid w:val="00DE7165"/>
    <w:rsid w:val="00DE79BD"/>
    <w:rsid w:val="00DE7D49"/>
    <w:rsid w:val="00DF029C"/>
    <w:rsid w:val="00DF0342"/>
    <w:rsid w:val="00DF121E"/>
    <w:rsid w:val="00DF22D8"/>
    <w:rsid w:val="00DF2B5B"/>
    <w:rsid w:val="00DF2D02"/>
    <w:rsid w:val="00DF322E"/>
    <w:rsid w:val="00DF34A3"/>
    <w:rsid w:val="00DF396A"/>
    <w:rsid w:val="00DF3DD4"/>
    <w:rsid w:val="00DF49EE"/>
    <w:rsid w:val="00DF545F"/>
    <w:rsid w:val="00DF6769"/>
    <w:rsid w:val="00DF6B23"/>
    <w:rsid w:val="00DF74E0"/>
    <w:rsid w:val="00E00042"/>
    <w:rsid w:val="00E004F0"/>
    <w:rsid w:val="00E00BB5"/>
    <w:rsid w:val="00E018EF"/>
    <w:rsid w:val="00E0192D"/>
    <w:rsid w:val="00E028B1"/>
    <w:rsid w:val="00E040C6"/>
    <w:rsid w:val="00E0427E"/>
    <w:rsid w:val="00E04303"/>
    <w:rsid w:val="00E04F20"/>
    <w:rsid w:val="00E068D3"/>
    <w:rsid w:val="00E06909"/>
    <w:rsid w:val="00E06FB1"/>
    <w:rsid w:val="00E071A8"/>
    <w:rsid w:val="00E074D0"/>
    <w:rsid w:val="00E074F2"/>
    <w:rsid w:val="00E10230"/>
    <w:rsid w:val="00E10E31"/>
    <w:rsid w:val="00E11193"/>
    <w:rsid w:val="00E1125F"/>
    <w:rsid w:val="00E11A78"/>
    <w:rsid w:val="00E12033"/>
    <w:rsid w:val="00E120D1"/>
    <w:rsid w:val="00E12450"/>
    <w:rsid w:val="00E12A8C"/>
    <w:rsid w:val="00E12AA2"/>
    <w:rsid w:val="00E12F25"/>
    <w:rsid w:val="00E1385A"/>
    <w:rsid w:val="00E13975"/>
    <w:rsid w:val="00E13E89"/>
    <w:rsid w:val="00E143D1"/>
    <w:rsid w:val="00E14A9C"/>
    <w:rsid w:val="00E15BE6"/>
    <w:rsid w:val="00E1687E"/>
    <w:rsid w:val="00E1746B"/>
    <w:rsid w:val="00E17659"/>
    <w:rsid w:val="00E17C14"/>
    <w:rsid w:val="00E17CF9"/>
    <w:rsid w:val="00E20A3B"/>
    <w:rsid w:val="00E217F7"/>
    <w:rsid w:val="00E21FE2"/>
    <w:rsid w:val="00E21FF3"/>
    <w:rsid w:val="00E22A2C"/>
    <w:rsid w:val="00E22E0B"/>
    <w:rsid w:val="00E22E57"/>
    <w:rsid w:val="00E232E2"/>
    <w:rsid w:val="00E235C3"/>
    <w:rsid w:val="00E235C8"/>
    <w:rsid w:val="00E2361E"/>
    <w:rsid w:val="00E23A45"/>
    <w:rsid w:val="00E24364"/>
    <w:rsid w:val="00E24E44"/>
    <w:rsid w:val="00E2532A"/>
    <w:rsid w:val="00E25AA5"/>
    <w:rsid w:val="00E27145"/>
    <w:rsid w:val="00E300B6"/>
    <w:rsid w:val="00E30A04"/>
    <w:rsid w:val="00E30FF7"/>
    <w:rsid w:val="00E3171D"/>
    <w:rsid w:val="00E32D44"/>
    <w:rsid w:val="00E32EDC"/>
    <w:rsid w:val="00E32F7C"/>
    <w:rsid w:val="00E3366C"/>
    <w:rsid w:val="00E33BB3"/>
    <w:rsid w:val="00E366FD"/>
    <w:rsid w:val="00E37162"/>
    <w:rsid w:val="00E37886"/>
    <w:rsid w:val="00E37995"/>
    <w:rsid w:val="00E37F6B"/>
    <w:rsid w:val="00E40235"/>
    <w:rsid w:val="00E40AAC"/>
    <w:rsid w:val="00E41096"/>
    <w:rsid w:val="00E41E39"/>
    <w:rsid w:val="00E41FFE"/>
    <w:rsid w:val="00E42128"/>
    <w:rsid w:val="00E433B1"/>
    <w:rsid w:val="00E457A6"/>
    <w:rsid w:val="00E45D5C"/>
    <w:rsid w:val="00E4708B"/>
    <w:rsid w:val="00E474F9"/>
    <w:rsid w:val="00E47775"/>
    <w:rsid w:val="00E508F9"/>
    <w:rsid w:val="00E509F0"/>
    <w:rsid w:val="00E50C65"/>
    <w:rsid w:val="00E50EC6"/>
    <w:rsid w:val="00E52120"/>
    <w:rsid w:val="00E5247E"/>
    <w:rsid w:val="00E52688"/>
    <w:rsid w:val="00E53407"/>
    <w:rsid w:val="00E5446C"/>
    <w:rsid w:val="00E55C81"/>
    <w:rsid w:val="00E55FDD"/>
    <w:rsid w:val="00E56A07"/>
    <w:rsid w:val="00E57290"/>
    <w:rsid w:val="00E5734A"/>
    <w:rsid w:val="00E575A6"/>
    <w:rsid w:val="00E60842"/>
    <w:rsid w:val="00E61193"/>
    <w:rsid w:val="00E611CB"/>
    <w:rsid w:val="00E62D16"/>
    <w:rsid w:val="00E62FAF"/>
    <w:rsid w:val="00E631E1"/>
    <w:rsid w:val="00E63A1E"/>
    <w:rsid w:val="00E6466E"/>
    <w:rsid w:val="00E649F8"/>
    <w:rsid w:val="00E64A45"/>
    <w:rsid w:val="00E64C43"/>
    <w:rsid w:val="00E656DF"/>
    <w:rsid w:val="00E65DF6"/>
    <w:rsid w:val="00E660B7"/>
    <w:rsid w:val="00E664FC"/>
    <w:rsid w:val="00E6743D"/>
    <w:rsid w:val="00E675CA"/>
    <w:rsid w:val="00E70ADD"/>
    <w:rsid w:val="00E70D2A"/>
    <w:rsid w:val="00E7219E"/>
    <w:rsid w:val="00E72705"/>
    <w:rsid w:val="00E72CCB"/>
    <w:rsid w:val="00E74873"/>
    <w:rsid w:val="00E773BC"/>
    <w:rsid w:val="00E7755C"/>
    <w:rsid w:val="00E77A10"/>
    <w:rsid w:val="00E8059B"/>
    <w:rsid w:val="00E806FB"/>
    <w:rsid w:val="00E83160"/>
    <w:rsid w:val="00E851A2"/>
    <w:rsid w:val="00E85F93"/>
    <w:rsid w:val="00E86093"/>
    <w:rsid w:val="00E869B6"/>
    <w:rsid w:val="00E86C26"/>
    <w:rsid w:val="00E86D42"/>
    <w:rsid w:val="00E8778F"/>
    <w:rsid w:val="00E87939"/>
    <w:rsid w:val="00E87A31"/>
    <w:rsid w:val="00E90860"/>
    <w:rsid w:val="00E908D6"/>
    <w:rsid w:val="00E90BE0"/>
    <w:rsid w:val="00E920A3"/>
    <w:rsid w:val="00E924AC"/>
    <w:rsid w:val="00E93329"/>
    <w:rsid w:val="00E938A3"/>
    <w:rsid w:val="00E944A8"/>
    <w:rsid w:val="00E9459E"/>
    <w:rsid w:val="00E94B11"/>
    <w:rsid w:val="00E954C5"/>
    <w:rsid w:val="00E95D89"/>
    <w:rsid w:val="00E960C9"/>
    <w:rsid w:val="00E96898"/>
    <w:rsid w:val="00E978CD"/>
    <w:rsid w:val="00E97A39"/>
    <w:rsid w:val="00E97AE3"/>
    <w:rsid w:val="00E97DEC"/>
    <w:rsid w:val="00EA08EC"/>
    <w:rsid w:val="00EA15D2"/>
    <w:rsid w:val="00EA1641"/>
    <w:rsid w:val="00EA1DED"/>
    <w:rsid w:val="00EA1E91"/>
    <w:rsid w:val="00EA22AC"/>
    <w:rsid w:val="00EA27CD"/>
    <w:rsid w:val="00EA2872"/>
    <w:rsid w:val="00EA2CC1"/>
    <w:rsid w:val="00EA31CE"/>
    <w:rsid w:val="00EA3BB8"/>
    <w:rsid w:val="00EA3DB5"/>
    <w:rsid w:val="00EA63BC"/>
    <w:rsid w:val="00EA678F"/>
    <w:rsid w:val="00EA68FC"/>
    <w:rsid w:val="00EA6B0F"/>
    <w:rsid w:val="00EB15C3"/>
    <w:rsid w:val="00EB2330"/>
    <w:rsid w:val="00EB279D"/>
    <w:rsid w:val="00EB286F"/>
    <w:rsid w:val="00EB318D"/>
    <w:rsid w:val="00EB61F8"/>
    <w:rsid w:val="00EB665E"/>
    <w:rsid w:val="00EB690B"/>
    <w:rsid w:val="00EB6C5A"/>
    <w:rsid w:val="00EB6C98"/>
    <w:rsid w:val="00EC061B"/>
    <w:rsid w:val="00EC0644"/>
    <w:rsid w:val="00EC0FB2"/>
    <w:rsid w:val="00EC16F2"/>
    <w:rsid w:val="00EC263E"/>
    <w:rsid w:val="00EC2F63"/>
    <w:rsid w:val="00EC3FDE"/>
    <w:rsid w:val="00EC4102"/>
    <w:rsid w:val="00EC4205"/>
    <w:rsid w:val="00EC4C13"/>
    <w:rsid w:val="00EC4DF5"/>
    <w:rsid w:val="00EC674F"/>
    <w:rsid w:val="00EC6819"/>
    <w:rsid w:val="00EC6875"/>
    <w:rsid w:val="00EC6BC0"/>
    <w:rsid w:val="00ED0822"/>
    <w:rsid w:val="00ED0DC3"/>
    <w:rsid w:val="00ED1431"/>
    <w:rsid w:val="00ED16BA"/>
    <w:rsid w:val="00ED2448"/>
    <w:rsid w:val="00ED2478"/>
    <w:rsid w:val="00ED28D7"/>
    <w:rsid w:val="00ED340E"/>
    <w:rsid w:val="00ED3F45"/>
    <w:rsid w:val="00ED3F6A"/>
    <w:rsid w:val="00ED41BE"/>
    <w:rsid w:val="00ED57A3"/>
    <w:rsid w:val="00ED6445"/>
    <w:rsid w:val="00ED6568"/>
    <w:rsid w:val="00ED7771"/>
    <w:rsid w:val="00EE090C"/>
    <w:rsid w:val="00EE097B"/>
    <w:rsid w:val="00EE123D"/>
    <w:rsid w:val="00EE17EB"/>
    <w:rsid w:val="00EE1D91"/>
    <w:rsid w:val="00EE21A0"/>
    <w:rsid w:val="00EE2265"/>
    <w:rsid w:val="00EE26E9"/>
    <w:rsid w:val="00EE2AC8"/>
    <w:rsid w:val="00EE458E"/>
    <w:rsid w:val="00EE5090"/>
    <w:rsid w:val="00EE5BEB"/>
    <w:rsid w:val="00EE5DE5"/>
    <w:rsid w:val="00EE6289"/>
    <w:rsid w:val="00EE6B30"/>
    <w:rsid w:val="00EE6D08"/>
    <w:rsid w:val="00EE7284"/>
    <w:rsid w:val="00EE7350"/>
    <w:rsid w:val="00EE745C"/>
    <w:rsid w:val="00EF0077"/>
    <w:rsid w:val="00EF0B92"/>
    <w:rsid w:val="00EF10E8"/>
    <w:rsid w:val="00EF1618"/>
    <w:rsid w:val="00EF31C5"/>
    <w:rsid w:val="00EF36F6"/>
    <w:rsid w:val="00EF3DF6"/>
    <w:rsid w:val="00EF43E5"/>
    <w:rsid w:val="00EF668E"/>
    <w:rsid w:val="00EF670D"/>
    <w:rsid w:val="00EF6F2E"/>
    <w:rsid w:val="00F003CD"/>
    <w:rsid w:val="00F006BC"/>
    <w:rsid w:val="00F00D64"/>
    <w:rsid w:val="00F00DBA"/>
    <w:rsid w:val="00F011CE"/>
    <w:rsid w:val="00F019B2"/>
    <w:rsid w:val="00F02D0D"/>
    <w:rsid w:val="00F0305F"/>
    <w:rsid w:val="00F042D5"/>
    <w:rsid w:val="00F04377"/>
    <w:rsid w:val="00F04A75"/>
    <w:rsid w:val="00F052BE"/>
    <w:rsid w:val="00F05B62"/>
    <w:rsid w:val="00F05C66"/>
    <w:rsid w:val="00F06046"/>
    <w:rsid w:val="00F06487"/>
    <w:rsid w:val="00F0745A"/>
    <w:rsid w:val="00F105E0"/>
    <w:rsid w:val="00F11DBA"/>
    <w:rsid w:val="00F1308F"/>
    <w:rsid w:val="00F135DE"/>
    <w:rsid w:val="00F13EA0"/>
    <w:rsid w:val="00F15337"/>
    <w:rsid w:val="00F15E6D"/>
    <w:rsid w:val="00F167F1"/>
    <w:rsid w:val="00F16F3C"/>
    <w:rsid w:val="00F16F80"/>
    <w:rsid w:val="00F17336"/>
    <w:rsid w:val="00F17527"/>
    <w:rsid w:val="00F1794F"/>
    <w:rsid w:val="00F21598"/>
    <w:rsid w:val="00F218C9"/>
    <w:rsid w:val="00F22F92"/>
    <w:rsid w:val="00F22FF9"/>
    <w:rsid w:val="00F241A9"/>
    <w:rsid w:val="00F2489D"/>
    <w:rsid w:val="00F24B17"/>
    <w:rsid w:val="00F24F9E"/>
    <w:rsid w:val="00F2640F"/>
    <w:rsid w:val="00F26513"/>
    <w:rsid w:val="00F26B28"/>
    <w:rsid w:val="00F26FBE"/>
    <w:rsid w:val="00F274F3"/>
    <w:rsid w:val="00F27943"/>
    <w:rsid w:val="00F27A26"/>
    <w:rsid w:val="00F3014F"/>
    <w:rsid w:val="00F301A8"/>
    <w:rsid w:val="00F312BF"/>
    <w:rsid w:val="00F31C7B"/>
    <w:rsid w:val="00F32174"/>
    <w:rsid w:val="00F35031"/>
    <w:rsid w:val="00F359F3"/>
    <w:rsid w:val="00F35A15"/>
    <w:rsid w:val="00F35A7E"/>
    <w:rsid w:val="00F36466"/>
    <w:rsid w:val="00F36692"/>
    <w:rsid w:val="00F4043E"/>
    <w:rsid w:val="00F4240F"/>
    <w:rsid w:val="00F432B0"/>
    <w:rsid w:val="00F43CD4"/>
    <w:rsid w:val="00F43F7F"/>
    <w:rsid w:val="00F43FA5"/>
    <w:rsid w:val="00F44FE1"/>
    <w:rsid w:val="00F45197"/>
    <w:rsid w:val="00F45628"/>
    <w:rsid w:val="00F46A8A"/>
    <w:rsid w:val="00F46C0D"/>
    <w:rsid w:val="00F47583"/>
    <w:rsid w:val="00F50D9E"/>
    <w:rsid w:val="00F52494"/>
    <w:rsid w:val="00F524FA"/>
    <w:rsid w:val="00F531AE"/>
    <w:rsid w:val="00F54196"/>
    <w:rsid w:val="00F54908"/>
    <w:rsid w:val="00F550BC"/>
    <w:rsid w:val="00F55598"/>
    <w:rsid w:val="00F55C87"/>
    <w:rsid w:val="00F5606C"/>
    <w:rsid w:val="00F564EA"/>
    <w:rsid w:val="00F56B56"/>
    <w:rsid w:val="00F573F9"/>
    <w:rsid w:val="00F57580"/>
    <w:rsid w:val="00F6001E"/>
    <w:rsid w:val="00F603BB"/>
    <w:rsid w:val="00F60FBD"/>
    <w:rsid w:val="00F61D53"/>
    <w:rsid w:val="00F623BF"/>
    <w:rsid w:val="00F63761"/>
    <w:rsid w:val="00F645D4"/>
    <w:rsid w:val="00F667CC"/>
    <w:rsid w:val="00F668F0"/>
    <w:rsid w:val="00F66A09"/>
    <w:rsid w:val="00F674DD"/>
    <w:rsid w:val="00F679AE"/>
    <w:rsid w:val="00F70A7D"/>
    <w:rsid w:val="00F70FFC"/>
    <w:rsid w:val="00F7143D"/>
    <w:rsid w:val="00F719B6"/>
    <w:rsid w:val="00F71A7B"/>
    <w:rsid w:val="00F726AA"/>
    <w:rsid w:val="00F72D3D"/>
    <w:rsid w:val="00F73F36"/>
    <w:rsid w:val="00F74885"/>
    <w:rsid w:val="00F75CC0"/>
    <w:rsid w:val="00F75DD9"/>
    <w:rsid w:val="00F7626B"/>
    <w:rsid w:val="00F763D2"/>
    <w:rsid w:val="00F76611"/>
    <w:rsid w:val="00F767E8"/>
    <w:rsid w:val="00F76A6B"/>
    <w:rsid w:val="00F77600"/>
    <w:rsid w:val="00F77A30"/>
    <w:rsid w:val="00F77C00"/>
    <w:rsid w:val="00F80986"/>
    <w:rsid w:val="00F80F09"/>
    <w:rsid w:val="00F81DBE"/>
    <w:rsid w:val="00F8264B"/>
    <w:rsid w:val="00F82935"/>
    <w:rsid w:val="00F83D2D"/>
    <w:rsid w:val="00F84574"/>
    <w:rsid w:val="00F846C8"/>
    <w:rsid w:val="00F84C90"/>
    <w:rsid w:val="00F857F6"/>
    <w:rsid w:val="00F860AE"/>
    <w:rsid w:val="00F860B1"/>
    <w:rsid w:val="00F86356"/>
    <w:rsid w:val="00F901E5"/>
    <w:rsid w:val="00F90B28"/>
    <w:rsid w:val="00F90BCB"/>
    <w:rsid w:val="00F9276E"/>
    <w:rsid w:val="00F92871"/>
    <w:rsid w:val="00F93655"/>
    <w:rsid w:val="00F95B05"/>
    <w:rsid w:val="00F95B94"/>
    <w:rsid w:val="00F96273"/>
    <w:rsid w:val="00F97412"/>
    <w:rsid w:val="00F97E98"/>
    <w:rsid w:val="00FA0039"/>
    <w:rsid w:val="00FA03F4"/>
    <w:rsid w:val="00FA0B08"/>
    <w:rsid w:val="00FA1A75"/>
    <w:rsid w:val="00FA2BFA"/>
    <w:rsid w:val="00FA3411"/>
    <w:rsid w:val="00FA3DD9"/>
    <w:rsid w:val="00FA4613"/>
    <w:rsid w:val="00FA4918"/>
    <w:rsid w:val="00FA4AE8"/>
    <w:rsid w:val="00FA5717"/>
    <w:rsid w:val="00FA5C91"/>
    <w:rsid w:val="00FA5FE0"/>
    <w:rsid w:val="00FA6086"/>
    <w:rsid w:val="00FA656E"/>
    <w:rsid w:val="00FA771B"/>
    <w:rsid w:val="00FA7D00"/>
    <w:rsid w:val="00FB00F1"/>
    <w:rsid w:val="00FB0421"/>
    <w:rsid w:val="00FB0477"/>
    <w:rsid w:val="00FB0686"/>
    <w:rsid w:val="00FB103C"/>
    <w:rsid w:val="00FB1930"/>
    <w:rsid w:val="00FB1EDC"/>
    <w:rsid w:val="00FB2BC6"/>
    <w:rsid w:val="00FB41FB"/>
    <w:rsid w:val="00FB49ED"/>
    <w:rsid w:val="00FB4B01"/>
    <w:rsid w:val="00FB5849"/>
    <w:rsid w:val="00FB6043"/>
    <w:rsid w:val="00FB6060"/>
    <w:rsid w:val="00FB6AAA"/>
    <w:rsid w:val="00FB773F"/>
    <w:rsid w:val="00FC00E2"/>
    <w:rsid w:val="00FC04D9"/>
    <w:rsid w:val="00FC089D"/>
    <w:rsid w:val="00FC0F76"/>
    <w:rsid w:val="00FC18F8"/>
    <w:rsid w:val="00FC1CD6"/>
    <w:rsid w:val="00FC2283"/>
    <w:rsid w:val="00FC240C"/>
    <w:rsid w:val="00FC4278"/>
    <w:rsid w:val="00FC429D"/>
    <w:rsid w:val="00FC47F1"/>
    <w:rsid w:val="00FC54E5"/>
    <w:rsid w:val="00FC575C"/>
    <w:rsid w:val="00FC63E1"/>
    <w:rsid w:val="00FC63ED"/>
    <w:rsid w:val="00FC653D"/>
    <w:rsid w:val="00FC6E19"/>
    <w:rsid w:val="00FC7C7A"/>
    <w:rsid w:val="00FD071D"/>
    <w:rsid w:val="00FD0AAE"/>
    <w:rsid w:val="00FD0C28"/>
    <w:rsid w:val="00FD10AA"/>
    <w:rsid w:val="00FD3192"/>
    <w:rsid w:val="00FD3807"/>
    <w:rsid w:val="00FD48D2"/>
    <w:rsid w:val="00FD49EA"/>
    <w:rsid w:val="00FD5937"/>
    <w:rsid w:val="00FD6543"/>
    <w:rsid w:val="00FD6AE2"/>
    <w:rsid w:val="00FD6B0A"/>
    <w:rsid w:val="00FD7298"/>
    <w:rsid w:val="00FD72E3"/>
    <w:rsid w:val="00FD7441"/>
    <w:rsid w:val="00FE089B"/>
    <w:rsid w:val="00FE0BE8"/>
    <w:rsid w:val="00FE1FD8"/>
    <w:rsid w:val="00FE23A7"/>
    <w:rsid w:val="00FE23FC"/>
    <w:rsid w:val="00FE275E"/>
    <w:rsid w:val="00FE316C"/>
    <w:rsid w:val="00FE4F07"/>
    <w:rsid w:val="00FE58E9"/>
    <w:rsid w:val="00FE6577"/>
    <w:rsid w:val="00FE6778"/>
    <w:rsid w:val="00FE6C66"/>
    <w:rsid w:val="00FE75DE"/>
    <w:rsid w:val="00FE786E"/>
    <w:rsid w:val="00FE7C3B"/>
    <w:rsid w:val="00FF0972"/>
    <w:rsid w:val="00FF22DC"/>
    <w:rsid w:val="00FF25A3"/>
    <w:rsid w:val="00FF2BAD"/>
    <w:rsid w:val="00FF34F8"/>
    <w:rsid w:val="00FF3EC2"/>
    <w:rsid w:val="00FF5D93"/>
    <w:rsid w:val="00FF61EC"/>
    <w:rsid w:val="00FF62C2"/>
    <w:rsid w:val="00FF6456"/>
    <w:rsid w:val="00FF753A"/>
    <w:rsid w:val="0E9A6AAC"/>
    <w:rsid w:val="1230FF9B"/>
    <w:rsid w:val="1DA8F65E"/>
    <w:rsid w:val="1EB87BFC"/>
    <w:rsid w:val="2DA77ED3"/>
    <w:rsid w:val="2E2043FC"/>
    <w:rsid w:val="30233887"/>
    <w:rsid w:val="3E238DC5"/>
    <w:rsid w:val="4901FAFD"/>
    <w:rsid w:val="4D321977"/>
    <w:rsid w:val="4ECDE9D8"/>
    <w:rsid w:val="4EEC46D1"/>
    <w:rsid w:val="53E7BD48"/>
    <w:rsid w:val="6E1FD344"/>
    <w:rsid w:val="6F2F58E2"/>
    <w:rsid w:val="7249718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3212]"/>
    </o:shapedefaults>
    <o:shapelayout v:ext="edit">
      <o:idmap v:ext="edit" data="1"/>
    </o:shapelayout>
  </w:shapeDefaults>
  <w:decimalSymbol w:val=","/>
  <w:listSeparator w:val=";"/>
  <w14:docId w14:val="6B0E20BB"/>
  <w15:docId w15:val="{70542936-F95C-4191-A1B0-374EB31A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45"/>
    <w:pPr>
      <w:spacing w:after="0"/>
      <w:ind w:firstLine="709"/>
    </w:pPr>
    <w:rPr>
      <w:rFonts w:ascii="Times New Roman" w:eastAsia="Times New Roman" w:hAnsi="Times New Roman" w:cs="Times New Roman"/>
      <w:lang w:eastAsia="nb-NO"/>
    </w:rPr>
  </w:style>
  <w:style w:type="paragraph" w:styleId="Heading1">
    <w:name w:val="heading 1"/>
    <w:basedOn w:val="Normal"/>
    <w:next w:val="Normal"/>
    <w:link w:val="Heading1Char"/>
    <w:uiPriority w:val="9"/>
    <w:qFormat/>
    <w:rsid w:val="00401EEE"/>
    <w:pPr>
      <w:keepNext/>
      <w:keepLines/>
      <w:numPr>
        <w:numId w:val="4"/>
      </w:numPr>
      <w:spacing w:before="480"/>
      <w:outlineLvl w:val="0"/>
    </w:pPr>
    <w:rPr>
      <w:rFonts w:eastAsiaTheme="majorEastAsia"/>
      <w:color w:val="000000" w:themeColor="text1"/>
      <w:sz w:val="32"/>
      <w:szCs w:val="28"/>
      <w:lang w:val="en-US"/>
    </w:rPr>
  </w:style>
  <w:style w:type="paragraph" w:styleId="Heading2">
    <w:name w:val="heading 2"/>
    <w:basedOn w:val="Normal"/>
    <w:next w:val="Normal"/>
    <w:link w:val="Heading2Char"/>
    <w:uiPriority w:val="9"/>
    <w:unhideWhenUsed/>
    <w:qFormat/>
    <w:rsid w:val="00401EEE"/>
    <w:pPr>
      <w:keepNext/>
      <w:keepLines/>
      <w:numPr>
        <w:ilvl w:val="1"/>
        <w:numId w:val="4"/>
      </w:numPr>
      <w:spacing w:before="120"/>
      <w:outlineLvl w:val="1"/>
    </w:pPr>
    <w:rPr>
      <w:rFonts w:eastAsiaTheme="majorEastAsia"/>
      <w:color w:val="000000" w:themeColor="text1"/>
      <w:sz w:val="28"/>
      <w:szCs w:val="26"/>
      <w:lang w:val="en-US"/>
    </w:rPr>
  </w:style>
  <w:style w:type="paragraph" w:styleId="Heading3">
    <w:name w:val="heading 3"/>
    <w:basedOn w:val="Normal"/>
    <w:next w:val="Normal"/>
    <w:link w:val="Heading3Char"/>
    <w:uiPriority w:val="9"/>
    <w:unhideWhenUsed/>
    <w:qFormat/>
    <w:rsid w:val="00E15BE6"/>
    <w:pPr>
      <w:keepNext/>
      <w:keepLines/>
      <w:spacing w:before="240"/>
      <w:ind w:firstLine="0"/>
      <w:outlineLvl w:val="2"/>
    </w:pPr>
    <w:rPr>
      <w:rFonts w:asciiTheme="majorHAnsi" w:eastAsiaTheme="majorEastAsia" w:hAnsiTheme="majorHAnsi" w:cstheme="majorBidi"/>
      <w:color w:val="000000" w:themeColor="text1"/>
      <w:u w:val="single"/>
    </w:rPr>
  </w:style>
  <w:style w:type="paragraph" w:styleId="Heading4">
    <w:name w:val="heading 4"/>
    <w:basedOn w:val="Normal"/>
    <w:next w:val="Normal"/>
    <w:link w:val="Heading4Char"/>
    <w:uiPriority w:val="9"/>
    <w:unhideWhenUsed/>
    <w:qFormat/>
    <w:rsid w:val="00765A2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B1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B1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B1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B1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B1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092D"/>
  </w:style>
  <w:style w:type="paragraph" w:styleId="NormalWeb">
    <w:name w:val="Normal (Web)"/>
    <w:basedOn w:val="Normal"/>
    <w:uiPriority w:val="99"/>
    <w:semiHidden/>
    <w:unhideWhenUsed/>
    <w:rsid w:val="0010092D"/>
    <w:pPr>
      <w:spacing w:before="100" w:beforeAutospacing="1" w:after="100" w:afterAutospacing="1"/>
    </w:pPr>
  </w:style>
  <w:style w:type="paragraph" w:styleId="Title">
    <w:name w:val="Title"/>
    <w:basedOn w:val="Normal"/>
    <w:next w:val="Normal"/>
    <w:link w:val="TitleChar"/>
    <w:uiPriority w:val="10"/>
    <w:qFormat/>
    <w:rsid w:val="00F16F3C"/>
    <w:pPr>
      <w:ind w:firstLine="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16F3C"/>
    <w:rPr>
      <w:rFonts w:asciiTheme="majorHAnsi" w:eastAsiaTheme="majorEastAsia" w:hAnsiTheme="majorHAnsi" w:cstheme="majorBidi"/>
      <w:spacing w:val="-10"/>
      <w:kern w:val="28"/>
      <w:sz w:val="32"/>
      <w:szCs w:val="56"/>
      <w:lang w:eastAsia="nb-NO"/>
    </w:rPr>
  </w:style>
  <w:style w:type="character" w:customStyle="1" w:styleId="Heading1Char">
    <w:name w:val="Heading 1 Char"/>
    <w:basedOn w:val="DefaultParagraphFont"/>
    <w:link w:val="Heading1"/>
    <w:uiPriority w:val="9"/>
    <w:rsid w:val="00401EEE"/>
    <w:rPr>
      <w:rFonts w:ascii="Times New Roman" w:eastAsiaTheme="majorEastAsia" w:hAnsi="Times New Roman" w:cs="Times New Roman"/>
      <w:color w:val="000000" w:themeColor="text1"/>
      <w:sz w:val="32"/>
      <w:szCs w:val="28"/>
      <w:lang w:val="en-US" w:eastAsia="nb-NO"/>
    </w:rPr>
  </w:style>
  <w:style w:type="paragraph" w:customStyle="1" w:styleId="Utenavsnitt">
    <w:name w:val="Uten avsnitt"/>
    <w:basedOn w:val="Normal"/>
    <w:qFormat/>
    <w:rsid w:val="00E0192D"/>
    <w:pPr>
      <w:ind w:firstLine="0"/>
    </w:pPr>
    <w:rPr>
      <w:sz w:val="20"/>
      <w:szCs w:val="20"/>
      <w:vertAlign w:val="superscript"/>
      <w:lang w:val="en-US"/>
    </w:rPr>
  </w:style>
  <w:style w:type="character" w:customStyle="1" w:styleId="apple-converted-space">
    <w:name w:val="apple-converted-space"/>
    <w:basedOn w:val="DefaultParagraphFont"/>
    <w:rsid w:val="009A31B7"/>
  </w:style>
  <w:style w:type="character" w:customStyle="1" w:styleId="Heading2Char">
    <w:name w:val="Heading 2 Char"/>
    <w:basedOn w:val="DefaultParagraphFont"/>
    <w:link w:val="Heading2"/>
    <w:uiPriority w:val="9"/>
    <w:rsid w:val="00401EEE"/>
    <w:rPr>
      <w:rFonts w:ascii="Times New Roman" w:eastAsiaTheme="majorEastAsia" w:hAnsi="Times New Roman" w:cs="Times New Roman"/>
      <w:color w:val="000000" w:themeColor="text1"/>
      <w:sz w:val="28"/>
      <w:szCs w:val="26"/>
      <w:lang w:val="en-US" w:eastAsia="nb-NO"/>
    </w:rPr>
  </w:style>
  <w:style w:type="character" w:customStyle="1" w:styleId="Heading3Char">
    <w:name w:val="Heading 3 Char"/>
    <w:basedOn w:val="DefaultParagraphFont"/>
    <w:link w:val="Heading3"/>
    <w:uiPriority w:val="9"/>
    <w:rsid w:val="00E15BE6"/>
    <w:rPr>
      <w:rFonts w:asciiTheme="majorHAnsi" w:eastAsiaTheme="majorEastAsia" w:hAnsiTheme="majorHAnsi" w:cstheme="majorBidi"/>
      <w:color w:val="000000" w:themeColor="text1"/>
      <w:u w:val="single"/>
      <w:lang w:eastAsia="nb-NO"/>
    </w:rPr>
  </w:style>
  <w:style w:type="character" w:customStyle="1" w:styleId="Heading4Char">
    <w:name w:val="Heading 4 Char"/>
    <w:basedOn w:val="DefaultParagraphFont"/>
    <w:link w:val="Heading4"/>
    <w:uiPriority w:val="9"/>
    <w:rsid w:val="00765A24"/>
    <w:rPr>
      <w:rFonts w:asciiTheme="majorHAnsi" w:eastAsiaTheme="majorEastAsia" w:hAnsiTheme="majorHAnsi" w:cstheme="majorBidi"/>
      <w:i/>
      <w:iCs/>
      <w:color w:val="2F5496" w:themeColor="accent1" w:themeShade="BF"/>
      <w:lang w:eastAsia="nb-NO"/>
    </w:rPr>
  </w:style>
  <w:style w:type="table" w:customStyle="1" w:styleId="TableGrid01">
    <w:name w:val="Table Grid01"/>
    <w:basedOn w:val="TableNormal"/>
    <w:uiPriority w:val="39"/>
    <w:rsid w:val="00033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Abstract"/>
    <w:basedOn w:val="Normal"/>
    <w:next w:val="Normal"/>
    <w:link w:val="SubtitleChar"/>
    <w:uiPriority w:val="11"/>
    <w:qFormat/>
    <w:rsid w:val="009534CF"/>
    <w:pPr>
      <w:numPr>
        <w:ilvl w:val="1"/>
      </w:numPr>
      <w:spacing w:before="120" w:after="160"/>
      <w:ind w:firstLine="709"/>
    </w:pPr>
    <w:rPr>
      <w:rFonts w:asciiTheme="majorHAnsi" w:eastAsiaTheme="minorEastAsia" w:hAnsiTheme="majorHAnsi"/>
      <w:color w:val="2F5496" w:themeColor="accent1" w:themeShade="BF"/>
      <w:spacing w:val="15"/>
      <w:sz w:val="32"/>
      <w:szCs w:val="22"/>
    </w:rPr>
  </w:style>
  <w:style w:type="character" w:customStyle="1" w:styleId="Heading5Char">
    <w:name w:val="Heading 5 Char"/>
    <w:basedOn w:val="DefaultParagraphFont"/>
    <w:link w:val="Heading5"/>
    <w:uiPriority w:val="9"/>
    <w:semiHidden/>
    <w:rsid w:val="008B4B13"/>
    <w:rPr>
      <w:rFonts w:asciiTheme="majorHAnsi" w:eastAsiaTheme="majorEastAsia" w:hAnsiTheme="majorHAnsi" w:cstheme="majorBidi"/>
      <w:color w:val="2F5496" w:themeColor="accent1" w:themeShade="BF"/>
      <w:lang w:eastAsia="nb-NO"/>
    </w:rPr>
  </w:style>
  <w:style w:type="character" w:customStyle="1" w:styleId="Heading6Char">
    <w:name w:val="Heading 6 Char"/>
    <w:basedOn w:val="DefaultParagraphFont"/>
    <w:link w:val="Heading6"/>
    <w:uiPriority w:val="9"/>
    <w:semiHidden/>
    <w:rsid w:val="008B4B13"/>
    <w:rPr>
      <w:rFonts w:asciiTheme="majorHAnsi" w:eastAsiaTheme="majorEastAsia" w:hAnsiTheme="majorHAnsi" w:cstheme="majorBidi"/>
      <w:color w:val="1F3763" w:themeColor="accent1" w:themeShade="7F"/>
      <w:lang w:eastAsia="nb-NO"/>
    </w:rPr>
  </w:style>
  <w:style w:type="character" w:customStyle="1" w:styleId="Heading7Char">
    <w:name w:val="Heading 7 Char"/>
    <w:basedOn w:val="DefaultParagraphFont"/>
    <w:link w:val="Heading7"/>
    <w:uiPriority w:val="9"/>
    <w:semiHidden/>
    <w:rsid w:val="008B4B13"/>
    <w:rPr>
      <w:rFonts w:asciiTheme="majorHAnsi" w:eastAsiaTheme="majorEastAsia" w:hAnsiTheme="majorHAnsi" w:cstheme="majorBidi"/>
      <w:i/>
      <w:iCs/>
      <w:color w:val="1F3763" w:themeColor="accent1" w:themeShade="7F"/>
      <w:lang w:eastAsia="nb-NO"/>
    </w:rPr>
  </w:style>
  <w:style w:type="character" w:customStyle="1" w:styleId="Heading8Char">
    <w:name w:val="Heading 8 Char"/>
    <w:basedOn w:val="DefaultParagraphFont"/>
    <w:link w:val="Heading8"/>
    <w:uiPriority w:val="9"/>
    <w:semiHidden/>
    <w:rsid w:val="008B4B13"/>
    <w:rPr>
      <w:rFonts w:asciiTheme="majorHAnsi" w:eastAsiaTheme="majorEastAsia" w:hAnsiTheme="majorHAnsi" w:cstheme="majorBidi"/>
      <w:color w:val="272727" w:themeColor="text1" w:themeTint="D8"/>
      <w:sz w:val="21"/>
      <w:szCs w:val="21"/>
      <w:lang w:eastAsia="nb-NO"/>
    </w:rPr>
  </w:style>
  <w:style w:type="character" w:customStyle="1" w:styleId="Heading9Char">
    <w:name w:val="Heading 9 Char"/>
    <w:basedOn w:val="DefaultParagraphFont"/>
    <w:link w:val="Heading9"/>
    <w:uiPriority w:val="9"/>
    <w:semiHidden/>
    <w:rsid w:val="008B4B13"/>
    <w:rPr>
      <w:rFonts w:asciiTheme="majorHAnsi" w:eastAsiaTheme="majorEastAsia" w:hAnsiTheme="majorHAnsi" w:cstheme="majorBidi"/>
      <w:i/>
      <w:iCs/>
      <w:color w:val="272727" w:themeColor="text1" w:themeTint="D8"/>
      <w:sz w:val="21"/>
      <w:szCs w:val="21"/>
      <w:lang w:eastAsia="nb-NO"/>
    </w:rPr>
  </w:style>
  <w:style w:type="character" w:customStyle="1" w:styleId="SubtitleChar">
    <w:name w:val="Subtitle Char"/>
    <w:aliases w:val="Abstract Char"/>
    <w:basedOn w:val="DefaultParagraphFont"/>
    <w:link w:val="Subtitle"/>
    <w:uiPriority w:val="11"/>
    <w:rsid w:val="009534CF"/>
    <w:rPr>
      <w:rFonts w:asciiTheme="majorHAnsi" w:eastAsiaTheme="minorEastAsia" w:hAnsiTheme="majorHAnsi"/>
      <w:color w:val="2F5496" w:themeColor="accent1" w:themeShade="BF"/>
      <w:spacing w:val="15"/>
      <w:sz w:val="32"/>
      <w:szCs w:val="22"/>
    </w:rPr>
  </w:style>
  <w:style w:type="paragraph" w:customStyle="1" w:styleId="Utenkapittel">
    <w:name w:val="Uten kapittel"/>
    <w:basedOn w:val="Heading1"/>
    <w:qFormat/>
    <w:rsid w:val="00401EEE"/>
    <w:pPr>
      <w:numPr>
        <w:numId w:val="0"/>
      </w:numPr>
    </w:pPr>
    <w:rPr>
      <w:rFonts w:eastAsia="Times New Roman"/>
    </w:rPr>
  </w:style>
  <w:style w:type="character" w:styleId="PlaceholderText">
    <w:name w:val="Placeholder Text"/>
    <w:basedOn w:val="DefaultParagraphFont"/>
    <w:uiPriority w:val="99"/>
    <w:semiHidden/>
    <w:rsid w:val="00980E13"/>
    <w:rPr>
      <w:color w:val="808080"/>
    </w:rPr>
  </w:style>
  <w:style w:type="numbering" w:customStyle="1" w:styleId="Gjeldendeliste1">
    <w:name w:val="Gjeldende liste1"/>
    <w:uiPriority w:val="99"/>
    <w:rsid w:val="009534CF"/>
    <w:pPr>
      <w:numPr>
        <w:numId w:val="1"/>
      </w:numPr>
    </w:pPr>
  </w:style>
  <w:style w:type="paragraph" w:styleId="Caption">
    <w:name w:val="caption"/>
    <w:basedOn w:val="Normal"/>
    <w:next w:val="Normal"/>
    <w:uiPriority w:val="35"/>
    <w:unhideWhenUsed/>
    <w:qFormat/>
    <w:rsid w:val="00E15BE6"/>
    <w:pPr>
      <w:spacing w:after="200" w:line="240" w:lineRule="auto"/>
      <w:ind w:firstLine="0"/>
    </w:pPr>
    <w:rPr>
      <w:i/>
      <w:iCs/>
      <w:color w:val="000000" w:themeColor="text1"/>
      <w:szCs w:val="18"/>
    </w:rPr>
  </w:style>
  <w:style w:type="table" w:styleId="GridTable1Light">
    <w:name w:val="Grid Table 1 Light"/>
    <w:basedOn w:val="TableNormal"/>
    <w:uiPriority w:val="46"/>
    <w:rsid w:val="004D2F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D2F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27D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Underteksttabell">
    <w:name w:val="Undertekst tabell"/>
    <w:basedOn w:val="Normal"/>
    <w:qFormat/>
    <w:rsid w:val="00C14751"/>
    <w:pPr>
      <w:spacing w:after="3" w:line="240" w:lineRule="auto"/>
      <w:ind w:firstLine="0"/>
    </w:pPr>
    <w:rPr>
      <w:sz w:val="17"/>
    </w:rPr>
  </w:style>
  <w:style w:type="table" w:styleId="TableGridLight">
    <w:name w:val="Grid Table Light"/>
    <w:basedOn w:val="TableNormal"/>
    <w:uiPriority w:val="40"/>
    <w:rsid w:val="00540F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quation">
    <w:name w:val="Equation"/>
    <w:basedOn w:val="Caption"/>
    <w:link w:val="EquationTegn"/>
    <w:qFormat/>
    <w:rsid w:val="005D74C4"/>
    <w:pPr>
      <w:spacing w:before="240" w:after="240"/>
      <w:jc w:val="center"/>
    </w:pPr>
    <w:rPr>
      <w:rFonts w:eastAsia="Calibri"/>
      <w:i w:val="0"/>
      <w:lang w:val="en-US"/>
    </w:rPr>
  </w:style>
  <w:style w:type="character" w:styleId="Hyperlink">
    <w:name w:val="Hyperlink"/>
    <w:basedOn w:val="DefaultParagraphFont"/>
    <w:uiPriority w:val="99"/>
    <w:unhideWhenUsed/>
    <w:rsid w:val="008D4FB5"/>
    <w:rPr>
      <w:color w:val="0563C1" w:themeColor="hyperlink"/>
      <w:u w:val="single"/>
    </w:rPr>
  </w:style>
  <w:style w:type="character" w:customStyle="1" w:styleId="EquationTegn">
    <w:name w:val="Equation Tegn"/>
    <w:basedOn w:val="DefaultParagraphFont"/>
    <w:link w:val="Equation"/>
    <w:rsid w:val="005D74C4"/>
    <w:rPr>
      <w:rFonts w:ascii="Times New Roman" w:eastAsia="Calibri" w:hAnsi="Times New Roman" w:cs="Times New Roman"/>
      <w:iCs/>
      <w:color w:val="000000" w:themeColor="text1"/>
      <w:szCs w:val="18"/>
      <w:lang w:val="en-US" w:eastAsia="nb-NO"/>
    </w:rPr>
  </w:style>
  <w:style w:type="character" w:customStyle="1" w:styleId="Ulstomtale1">
    <w:name w:val="Uløst omtale1"/>
    <w:basedOn w:val="DefaultParagraphFont"/>
    <w:uiPriority w:val="99"/>
    <w:semiHidden/>
    <w:unhideWhenUsed/>
    <w:rsid w:val="008D4FB5"/>
    <w:rPr>
      <w:color w:val="605E5C"/>
      <w:shd w:val="clear" w:color="auto" w:fill="E1DFDD"/>
    </w:rPr>
  </w:style>
  <w:style w:type="paragraph" w:styleId="Header">
    <w:name w:val="header"/>
    <w:basedOn w:val="Normal"/>
    <w:link w:val="HeaderChar"/>
    <w:uiPriority w:val="99"/>
    <w:semiHidden/>
    <w:unhideWhenUsed/>
    <w:rsid w:val="0032208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8395E"/>
    <w:rPr>
      <w:rFonts w:ascii="Times New Roman" w:eastAsia="Times New Roman" w:hAnsi="Times New Roman" w:cs="Times New Roman"/>
      <w:lang w:eastAsia="nb-NO"/>
    </w:rPr>
  </w:style>
  <w:style w:type="paragraph" w:styleId="Footer">
    <w:name w:val="footer"/>
    <w:basedOn w:val="Normal"/>
    <w:link w:val="FooterChar"/>
    <w:uiPriority w:val="99"/>
    <w:unhideWhenUsed/>
    <w:rsid w:val="00322084"/>
    <w:pPr>
      <w:tabs>
        <w:tab w:val="center" w:pos="4513"/>
        <w:tab w:val="right" w:pos="9026"/>
      </w:tabs>
      <w:spacing w:line="240" w:lineRule="auto"/>
    </w:pPr>
  </w:style>
  <w:style w:type="character" w:customStyle="1" w:styleId="FooterChar">
    <w:name w:val="Footer Char"/>
    <w:basedOn w:val="DefaultParagraphFont"/>
    <w:link w:val="Footer"/>
    <w:uiPriority w:val="99"/>
    <w:rsid w:val="0068395E"/>
    <w:rPr>
      <w:rFonts w:ascii="Times New Roman" w:eastAsia="Times New Roman" w:hAnsi="Times New Roman" w:cs="Times New Roman"/>
      <w:lang w:eastAsia="nb-NO"/>
    </w:rPr>
  </w:style>
  <w:style w:type="character" w:styleId="CommentReference">
    <w:name w:val="annotation reference"/>
    <w:basedOn w:val="DefaultParagraphFont"/>
    <w:uiPriority w:val="99"/>
    <w:semiHidden/>
    <w:unhideWhenUsed/>
    <w:rsid w:val="00544CE4"/>
    <w:rPr>
      <w:sz w:val="16"/>
      <w:szCs w:val="16"/>
    </w:rPr>
  </w:style>
  <w:style w:type="paragraph" w:styleId="CommentText">
    <w:name w:val="annotation text"/>
    <w:basedOn w:val="Normal"/>
    <w:link w:val="CommentTextChar"/>
    <w:uiPriority w:val="99"/>
    <w:unhideWhenUsed/>
    <w:rsid w:val="00544CE4"/>
    <w:pPr>
      <w:spacing w:line="240" w:lineRule="auto"/>
    </w:pPr>
    <w:rPr>
      <w:sz w:val="20"/>
      <w:szCs w:val="20"/>
    </w:rPr>
  </w:style>
  <w:style w:type="character" w:customStyle="1" w:styleId="CommentTextChar">
    <w:name w:val="Comment Text Char"/>
    <w:basedOn w:val="DefaultParagraphFont"/>
    <w:link w:val="CommentText"/>
    <w:uiPriority w:val="99"/>
    <w:rsid w:val="00544CE4"/>
    <w:rPr>
      <w:rFonts w:ascii="Times New Roman" w:eastAsia="Times New Roman" w:hAnsi="Times New Roman" w:cs="Times New Roman"/>
      <w:sz w:val="20"/>
      <w:szCs w:val="20"/>
      <w:lang w:eastAsia="nb-NO"/>
    </w:rPr>
  </w:style>
  <w:style w:type="paragraph" w:styleId="CommentSubject">
    <w:name w:val="annotation subject"/>
    <w:basedOn w:val="CommentText"/>
    <w:next w:val="CommentText"/>
    <w:link w:val="CommentSubjectChar"/>
    <w:uiPriority w:val="99"/>
    <w:semiHidden/>
    <w:unhideWhenUsed/>
    <w:rsid w:val="00544CE4"/>
    <w:rPr>
      <w:b/>
      <w:bCs/>
    </w:rPr>
  </w:style>
  <w:style w:type="character" w:customStyle="1" w:styleId="CommentSubjectChar">
    <w:name w:val="Comment Subject Char"/>
    <w:basedOn w:val="CommentTextChar"/>
    <w:link w:val="CommentSubject"/>
    <w:uiPriority w:val="99"/>
    <w:semiHidden/>
    <w:rsid w:val="00544CE4"/>
    <w:rPr>
      <w:rFonts w:ascii="Times New Roman" w:eastAsia="Times New Roman" w:hAnsi="Times New Roman" w:cs="Times New Roman"/>
      <w:b/>
      <w:bCs/>
      <w:sz w:val="20"/>
      <w:szCs w:val="20"/>
      <w:lang w:eastAsia="nb-NO"/>
    </w:rPr>
  </w:style>
  <w:style w:type="paragraph" w:styleId="Revision">
    <w:name w:val="Revision"/>
    <w:hidden/>
    <w:uiPriority w:val="99"/>
    <w:semiHidden/>
    <w:rsid w:val="00D55B35"/>
    <w:pPr>
      <w:spacing w:after="0" w:line="240" w:lineRule="auto"/>
    </w:pPr>
    <w:rPr>
      <w:rFonts w:ascii="Times New Roman" w:eastAsia="Times New Roman" w:hAnsi="Times New Roman" w:cs="Times New Roman"/>
      <w:lang w:eastAsia="nb-NO"/>
    </w:rPr>
  </w:style>
  <w:style w:type="paragraph" w:customStyle="1" w:styleId="Tabell">
    <w:name w:val="Tabell"/>
    <w:basedOn w:val="Normal"/>
    <w:qFormat/>
    <w:rsid w:val="00437388"/>
    <w:pPr>
      <w:spacing w:line="240" w:lineRule="auto"/>
      <w:ind w:firstLine="0"/>
    </w:pPr>
  </w:style>
  <w:style w:type="paragraph" w:styleId="FootnoteText">
    <w:name w:val="footnote text"/>
    <w:basedOn w:val="Normal"/>
    <w:link w:val="FootnoteTextChar"/>
    <w:uiPriority w:val="99"/>
    <w:semiHidden/>
    <w:unhideWhenUsed/>
    <w:rsid w:val="00954F4E"/>
    <w:pPr>
      <w:spacing w:line="240" w:lineRule="auto"/>
    </w:pPr>
    <w:rPr>
      <w:sz w:val="20"/>
      <w:szCs w:val="20"/>
    </w:rPr>
  </w:style>
  <w:style w:type="character" w:customStyle="1" w:styleId="FootnoteTextChar">
    <w:name w:val="Footnote Text Char"/>
    <w:basedOn w:val="DefaultParagraphFont"/>
    <w:link w:val="FootnoteText"/>
    <w:uiPriority w:val="99"/>
    <w:semiHidden/>
    <w:rsid w:val="00954F4E"/>
    <w:rPr>
      <w:rFonts w:ascii="Times New Roman" w:eastAsia="Times New Roman" w:hAnsi="Times New Roman" w:cs="Times New Roman"/>
      <w:sz w:val="20"/>
      <w:szCs w:val="20"/>
      <w:lang w:eastAsia="nb-NO"/>
    </w:rPr>
  </w:style>
  <w:style w:type="character" w:styleId="FootnoteReference">
    <w:name w:val="footnote reference"/>
    <w:basedOn w:val="DefaultParagraphFont"/>
    <w:uiPriority w:val="99"/>
    <w:semiHidden/>
    <w:unhideWhenUsed/>
    <w:rsid w:val="00954F4E"/>
    <w:rPr>
      <w:vertAlign w:val="superscript"/>
    </w:rPr>
  </w:style>
  <w:style w:type="paragraph" w:customStyle="1" w:styleId="References">
    <w:name w:val="References"/>
    <w:basedOn w:val="Normal"/>
    <w:qFormat/>
    <w:rsid w:val="00947CDD"/>
    <w:pPr>
      <w:spacing w:after="120" w:line="240" w:lineRule="auto"/>
      <w:ind w:left="284" w:hanging="284"/>
    </w:pPr>
    <w:rPr>
      <w:lang w:val="en-US"/>
    </w:rPr>
  </w:style>
  <w:style w:type="character" w:customStyle="1" w:styleId="Omtale1">
    <w:name w:val="Omtale1"/>
    <w:basedOn w:val="DefaultParagraphFont"/>
    <w:uiPriority w:val="99"/>
    <w:unhideWhenUsed/>
    <w:rsid w:val="00E64A45"/>
    <w:rPr>
      <w:color w:val="2B579A"/>
      <w:shd w:val="clear" w:color="auto" w:fill="E1DFDD"/>
    </w:rPr>
  </w:style>
  <w:style w:type="paragraph" w:styleId="ListParagraph">
    <w:name w:val="List Paragraph"/>
    <w:basedOn w:val="Normal"/>
    <w:uiPriority w:val="34"/>
    <w:qFormat/>
    <w:rsid w:val="00510CE7"/>
    <w:pPr>
      <w:ind w:left="720"/>
      <w:contextualSpacing/>
    </w:pPr>
  </w:style>
  <w:style w:type="paragraph" w:styleId="BalloonText">
    <w:name w:val="Balloon Text"/>
    <w:basedOn w:val="Normal"/>
    <w:link w:val="BalloonTextChar"/>
    <w:uiPriority w:val="99"/>
    <w:semiHidden/>
    <w:unhideWhenUsed/>
    <w:rsid w:val="000B75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5AA"/>
    <w:rPr>
      <w:rFonts w:ascii="Segoe UI" w:eastAsia="Times New Roman" w:hAnsi="Segoe UI" w:cs="Segoe UI"/>
      <w:sz w:val="18"/>
      <w:szCs w:val="18"/>
      <w:lang w:eastAsia="nb-NO"/>
    </w:rPr>
  </w:style>
  <w:style w:type="table" w:customStyle="1" w:styleId="TableGrid1">
    <w:name w:val="Table Grid1"/>
    <w:rsid w:val="002F2D99"/>
    <w:pPr>
      <w:spacing w:after="0" w:line="240" w:lineRule="auto"/>
    </w:pPr>
    <w:rPr>
      <w:rFonts w:eastAsiaTheme="minorEastAsia"/>
      <w:lang w:eastAsia="nb-NO"/>
    </w:rPr>
    <w:tblPr>
      <w:tblCellMar>
        <w:top w:w="0" w:type="dxa"/>
        <w:left w:w="0" w:type="dxa"/>
        <w:bottom w:w="0" w:type="dxa"/>
        <w:right w:w="0" w:type="dxa"/>
      </w:tblCellMar>
    </w:tblPr>
  </w:style>
  <w:style w:type="table" w:customStyle="1" w:styleId="TableGrid0">
    <w:name w:val="Table Grid0"/>
    <w:basedOn w:val="TableNormal"/>
    <w:uiPriority w:val="39"/>
    <w:rsid w:val="002F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99">
      <w:bodyDiv w:val="1"/>
      <w:marLeft w:val="0"/>
      <w:marRight w:val="0"/>
      <w:marTop w:val="0"/>
      <w:marBottom w:val="0"/>
      <w:divBdr>
        <w:top w:val="none" w:sz="0" w:space="0" w:color="auto"/>
        <w:left w:val="none" w:sz="0" w:space="0" w:color="auto"/>
        <w:bottom w:val="none" w:sz="0" w:space="0" w:color="auto"/>
        <w:right w:val="none" w:sz="0" w:space="0" w:color="auto"/>
      </w:divBdr>
    </w:div>
    <w:div w:id="9795327">
      <w:bodyDiv w:val="1"/>
      <w:marLeft w:val="0"/>
      <w:marRight w:val="0"/>
      <w:marTop w:val="0"/>
      <w:marBottom w:val="0"/>
      <w:divBdr>
        <w:top w:val="none" w:sz="0" w:space="0" w:color="auto"/>
        <w:left w:val="none" w:sz="0" w:space="0" w:color="auto"/>
        <w:bottom w:val="none" w:sz="0" w:space="0" w:color="auto"/>
        <w:right w:val="none" w:sz="0" w:space="0" w:color="auto"/>
      </w:divBdr>
    </w:div>
    <w:div w:id="15622388">
      <w:bodyDiv w:val="1"/>
      <w:marLeft w:val="0"/>
      <w:marRight w:val="0"/>
      <w:marTop w:val="0"/>
      <w:marBottom w:val="0"/>
      <w:divBdr>
        <w:top w:val="none" w:sz="0" w:space="0" w:color="auto"/>
        <w:left w:val="none" w:sz="0" w:space="0" w:color="auto"/>
        <w:bottom w:val="none" w:sz="0" w:space="0" w:color="auto"/>
        <w:right w:val="none" w:sz="0" w:space="0" w:color="auto"/>
      </w:divBdr>
      <w:divsChild>
        <w:div w:id="777677895">
          <w:marLeft w:val="480"/>
          <w:marRight w:val="0"/>
          <w:marTop w:val="0"/>
          <w:marBottom w:val="0"/>
          <w:divBdr>
            <w:top w:val="none" w:sz="0" w:space="0" w:color="auto"/>
            <w:left w:val="none" w:sz="0" w:space="0" w:color="auto"/>
            <w:bottom w:val="none" w:sz="0" w:space="0" w:color="auto"/>
            <w:right w:val="none" w:sz="0" w:space="0" w:color="auto"/>
          </w:divBdr>
        </w:div>
        <w:div w:id="2096777601">
          <w:marLeft w:val="480"/>
          <w:marRight w:val="0"/>
          <w:marTop w:val="0"/>
          <w:marBottom w:val="0"/>
          <w:divBdr>
            <w:top w:val="none" w:sz="0" w:space="0" w:color="auto"/>
            <w:left w:val="none" w:sz="0" w:space="0" w:color="auto"/>
            <w:bottom w:val="none" w:sz="0" w:space="0" w:color="auto"/>
            <w:right w:val="none" w:sz="0" w:space="0" w:color="auto"/>
          </w:divBdr>
        </w:div>
        <w:div w:id="1885478673">
          <w:marLeft w:val="480"/>
          <w:marRight w:val="0"/>
          <w:marTop w:val="0"/>
          <w:marBottom w:val="0"/>
          <w:divBdr>
            <w:top w:val="none" w:sz="0" w:space="0" w:color="auto"/>
            <w:left w:val="none" w:sz="0" w:space="0" w:color="auto"/>
            <w:bottom w:val="none" w:sz="0" w:space="0" w:color="auto"/>
            <w:right w:val="none" w:sz="0" w:space="0" w:color="auto"/>
          </w:divBdr>
        </w:div>
        <w:div w:id="1865244104">
          <w:marLeft w:val="480"/>
          <w:marRight w:val="0"/>
          <w:marTop w:val="0"/>
          <w:marBottom w:val="0"/>
          <w:divBdr>
            <w:top w:val="none" w:sz="0" w:space="0" w:color="auto"/>
            <w:left w:val="none" w:sz="0" w:space="0" w:color="auto"/>
            <w:bottom w:val="none" w:sz="0" w:space="0" w:color="auto"/>
            <w:right w:val="none" w:sz="0" w:space="0" w:color="auto"/>
          </w:divBdr>
        </w:div>
        <w:div w:id="1590700648">
          <w:marLeft w:val="480"/>
          <w:marRight w:val="0"/>
          <w:marTop w:val="0"/>
          <w:marBottom w:val="0"/>
          <w:divBdr>
            <w:top w:val="none" w:sz="0" w:space="0" w:color="auto"/>
            <w:left w:val="none" w:sz="0" w:space="0" w:color="auto"/>
            <w:bottom w:val="none" w:sz="0" w:space="0" w:color="auto"/>
            <w:right w:val="none" w:sz="0" w:space="0" w:color="auto"/>
          </w:divBdr>
        </w:div>
        <w:div w:id="1618414469">
          <w:marLeft w:val="480"/>
          <w:marRight w:val="0"/>
          <w:marTop w:val="0"/>
          <w:marBottom w:val="0"/>
          <w:divBdr>
            <w:top w:val="none" w:sz="0" w:space="0" w:color="auto"/>
            <w:left w:val="none" w:sz="0" w:space="0" w:color="auto"/>
            <w:bottom w:val="none" w:sz="0" w:space="0" w:color="auto"/>
            <w:right w:val="none" w:sz="0" w:space="0" w:color="auto"/>
          </w:divBdr>
        </w:div>
        <w:div w:id="1855147847">
          <w:marLeft w:val="480"/>
          <w:marRight w:val="0"/>
          <w:marTop w:val="0"/>
          <w:marBottom w:val="0"/>
          <w:divBdr>
            <w:top w:val="none" w:sz="0" w:space="0" w:color="auto"/>
            <w:left w:val="none" w:sz="0" w:space="0" w:color="auto"/>
            <w:bottom w:val="none" w:sz="0" w:space="0" w:color="auto"/>
            <w:right w:val="none" w:sz="0" w:space="0" w:color="auto"/>
          </w:divBdr>
        </w:div>
      </w:divsChild>
    </w:div>
    <w:div w:id="25641563">
      <w:bodyDiv w:val="1"/>
      <w:marLeft w:val="0"/>
      <w:marRight w:val="0"/>
      <w:marTop w:val="0"/>
      <w:marBottom w:val="0"/>
      <w:divBdr>
        <w:top w:val="none" w:sz="0" w:space="0" w:color="auto"/>
        <w:left w:val="none" w:sz="0" w:space="0" w:color="auto"/>
        <w:bottom w:val="none" w:sz="0" w:space="0" w:color="auto"/>
        <w:right w:val="none" w:sz="0" w:space="0" w:color="auto"/>
      </w:divBdr>
      <w:divsChild>
        <w:div w:id="2051491020">
          <w:marLeft w:val="480"/>
          <w:marRight w:val="0"/>
          <w:marTop w:val="0"/>
          <w:marBottom w:val="0"/>
          <w:divBdr>
            <w:top w:val="none" w:sz="0" w:space="0" w:color="auto"/>
            <w:left w:val="none" w:sz="0" w:space="0" w:color="auto"/>
            <w:bottom w:val="none" w:sz="0" w:space="0" w:color="auto"/>
            <w:right w:val="none" w:sz="0" w:space="0" w:color="auto"/>
          </w:divBdr>
        </w:div>
        <w:div w:id="1651130512">
          <w:marLeft w:val="480"/>
          <w:marRight w:val="0"/>
          <w:marTop w:val="0"/>
          <w:marBottom w:val="0"/>
          <w:divBdr>
            <w:top w:val="none" w:sz="0" w:space="0" w:color="auto"/>
            <w:left w:val="none" w:sz="0" w:space="0" w:color="auto"/>
            <w:bottom w:val="none" w:sz="0" w:space="0" w:color="auto"/>
            <w:right w:val="none" w:sz="0" w:space="0" w:color="auto"/>
          </w:divBdr>
        </w:div>
      </w:divsChild>
    </w:div>
    <w:div w:id="42217863">
      <w:bodyDiv w:val="1"/>
      <w:marLeft w:val="0"/>
      <w:marRight w:val="0"/>
      <w:marTop w:val="0"/>
      <w:marBottom w:val="0"/>
      <w:divBdr>
        <w:top w:val="none" w:sz="0" w:space="0" w:color="auto"/>
        <w:left w:val="none" w:sz="0" w:space="0" w:color="auto"/>
        <w:bottom w:val="none" w:sz="0" w:space="0" w:color="auto"/>
        <w:right w:val="none" w:sz="0" w:space="0" w:color="auto"/>
      </w:divBdr>
      <w:divsChild>
        <w:div w:id="31467920">
          <w:marLeft w:val="640"/>
          <w:marRight w:val="0"/>
          <w:marTop w:val="0"/>
          <w:marBottom w:val="0"/>
          <w:divBdr>
            <w:top w:val="none" w:sz="0" w:space="0" w:color="auto"/>
            <w:left w:val="none" w:sz="0" w:space="0" w:color="auto"/>
            <w:bottom w:val="none" w:sz="0" w:space="0" w:color="auto"/>
            <w:right w:val="none" w:sz="0" w:space="0" w:color="auto"/>
          </w:divBdr>
        </w:div>
        <w:div w:id="57753585">
          <w:marLeft w:val="640"/>
          <w:marRight w:val="0"/>
          <w:marTop w:val="0"/>
          <w:marBottom w:val="0"/>
          <w:divBdr>
            <w:top w:val="none" w:sz="0" w:space="0" w:color="auto"/>
            <w:left w:val="none" w:sz="0" w:space="0" w:color="auto"/>
            <w:bottom w:val="none" w:sz="0" w:space="0" w:color="auto"/>
            <w:right w:val="none" w:sz="0" w:space="0" w:color="auto"/>
          </w:divBdr>
        </w:div>
        <w:div w:id="155001373">
          <w:marLeft w:val="640"/>
          <w:marRight w:val="0"/>
          <w:marTop w:val="0"/>
          <w:marBottom w:val="0"/>
          <w:divBdr>
            <w:top w:val="none" w:sz="0" w:space="0" w:color="auto"/>
            <w:left w:val="none" w:sz="0" w:space="0" w:color="auto"/>
            <w:bottom w:val="none" w:sz="0" w:space="0" w:color="auto"/>
            <w:right w:val="none" w:sz="0" w:space="0" w:color="auto"/>
          </w:divBdr>
        </w:div>
        <w:div w:id="161118582">
          <w:marLeft w:val="640"/>
          <w:marRight w:val="0"/>
          <w:marTop w:val="0"/>
          <w:marBottom w:val="0"/>
          <w:divBdr>
            <w:top w:val="none" w:sz="0" w:space="0" w:color="auto"/>
            <w:left w:val="none" w:sz="0" w:space="0" w:color="auto"/>
            <w:bottom w:val="none" w:sz="0" w:space="0" w:color="auto"/>
            <w:right w:val="none" w:sz="0" w:space="0" w:color="auto"/>
          </w:divBdr>
        </w:div>
        <w:div w:id="173807697">
          <w:marLeft w:val="640"/>
          <w:marRight w:val="0"/>
          <w:marTop w:val="0"/>
          <w:marBottom w:val="0"/>
          <w:divBdr>
            <w:top w:val="none" w:sz="0" w:space="0" w:color="auto"/>
            <w:left w:val="none" w:sz="0" w:space="0" w:color="auto"/>
            <w:bottom w:val="none" w:sz="0" w:space="0" w:color="auto"/>
            <w:right w:val="none" w:sz="0" w:space="0" w:color="auto"/>
          </w:divBdr>
        </w:div>
        <w:div w:id="187916043">
          <w:marLeft w:val="640"/>
          <w:marRight w:val="0"/>
          <w:marTop w:val="0"/>
          <w:marBottom w:val="0"/>
          <w:divBdr>
            <w:top w:val="none" w:sz="0" w:space="0" w:color="auto"/>
            <w:left w:val="none" w:sz="0" w:space="0" w:color="auto"/>
            <w:bottom w:val="none" w:sz="0" w:space="0" w:color="auto"/>
            <w:right w:val="none" w:sz="0" w:space="0" w:color="auto"/>
          </w:divBdr>
        </w:div>
        <w:div w:id="198663001">
          <w:marLeft w:val="640"/>
          <w:marRight w:val="0"/>
          <w:marTop w:val="0"/>
          <w:marBottom w:val="0"/>
          <w:divBdr>
            <w:top w:val="none" w:sz="0" w:space="0" w:color="auto"/>
            <w:left w:val="none" w:sz="0" w:space="0" w:color="auto"/>
            <w:bottom w:val="none" w:sz="0" w:space="0" w:color="auto"/>
            <w:right w:val="none" w:sz="0" w:space="0" w:color="auto"/>
          </w:divBdr>
        </w:div>
        <w:div w:id="216087417">
          <w:marLeft w:val="640"/>
          <w:marRight w:val="0"/>
          <w:marTop w:val="0"/>
          <w:marBottom w:val="0"/>
          <w:divBdr>
            <w:top w:val="none" w:sz="0" w:space="0" w:color="auto"/>
            <w:left w:val="none" w:sz="0" w:space="0" w:color="auto"/>
            <w:bottom w:val="none" w:sz="0" w:space="0" w:color="auto"/>
            <w:right w:val="none" w:sz="0" w:space="0" w:color="auto"/>
          </w:divBdr>
        </w:div>
        <w:div w:id="216089627">
          <w:marLeft w:val="640"/>
          <w:marRight w:val="0"/>
          <w:marTop w:val="0"/>
          <w:marBottom w:val="0"/>
          <w:divBdr>
            <w:top w:val="none" w:sz="0" w:space="0" w:color="auto"/>
            <w:left w:val="none" w:sz="0" w:space="0" w:color="auto"/>
            <w:bottom w:val="none" w:sz="0" w:space="0" w:color="auto"/>
            <w:right w:val="none" w:sz="0" w:space="0" w:color="auto"/>
          </w:divBdr>
        </w:div>
        <w:div w:id="239221324">
          <w:marLeft w:val="640"/>
          <w:marRight w:val="0"/>
          <w:marTop w:val="0"/>
          <w:marBottom w:val="0"/>
          <w:divBdr>
            <w:top w:val="none" w:sz="0" w:space="0" w:color="auto"/>
            <w:left w:val="none" w:sz="0" w:space="0" w:color="auto"/>
            <w:bottom w:val="none" w:sz="0" w:space="0" w:color="auto"/>
            <w:right w:val="none" w:sz="0" w:space="0" w:color="auto"/>
          </w:divBdr>
        </w:div>
        <w:div w:id="285087318">
          <w:marLeft w:val="640"/>
          <w:marRight w:val="0"/>
          <w:marTop w:val="0"/>
          <w:marBottom w:val="0"/>
          <w:divBdr>
            <w:top w:val="none" w:sz="0" w:space="0" w:color="auto"/>
            <w:left w:val="none" w:sz="0" w:space="0" w:color="auto"/>
            <w:bottom w:val="none" w:sz="0" w:space="0" w:color="auto"/>
            <w:right w:val="none" w:sz="0" w:space="0" w:color="auto"/>
          </w:divBdr>
        </w:div>
        <w:div w:id="298649444">
          <w:marLeft w:val="640"/>
          <w:marRight w:val="0"/>
          <w:marTop w:val="0"/>
          <w:marBottom w:val="0"/>
          <w:divBdr>
            <w:top w:val="none" w:sz="0" w:space="0" w:color="auto"/>
            <w:left w:val="none" w:sz="0" w:space="0" w:color="auto"/>
            <w:bottom w:val="none" w:sz="0" w:space="0" w:color="auto"/>
            <w:right w:val="none" w:sz="0" w:space="0" w:color="auto"/>
          </w:divBdr>
        </w:div>
        <w:div w:id="328217486">
          <w:marLeft w:val="640"/>
          <w:marRight w:val="0"/>
          <w:marTop w:val="0"/>
          <w:marBottom w:val="0"/>
          <w:divBdr>
            <w:top w:val="none" w:sz="0" w:space="0" w:color="auto"/>
            <w:left w:val="none" w:sz="0" w:space="0" w:color="auto"/>
            <w:bottom w:val="none" w:sz="0" w:space="0" w:color="auto"/>
            <w:right w:val="none" w:sz="0" w:space="0" w:color="auto"/>
          </w:divBdr>
        </w:div>
        <w:div w:id="393621886">
          <w:marLeft w:val="640"/>
          <w:marRight w:val="0"/>
          <w:marTop w:val="0"/>
          <w:marBottom w:val="0"/>
          <w:divBdr>
            <w:top w:val="none" w:sz="0" w:space="0" w:color="auto"/>
            <w:left w:val="none" w:sz="0" w:space="0" w:color="auto"/>
            <w:bottom w:val="none" w:sz="0" w:space="0" w:color="auto"/>
            <w:right w:val="none" w:sz="0" w:space="0" w:color="auto"/>
          </w:divBdr>
        </w:div>
        <w:div w:id="426077600">
          <w:marLeft w:val="640"/>
          <w:marRight w:val="0"/>
          <w:marTop w:val="0"/>
          <w:marBottom w:val="0"/>
          <w:divBdr>
            <w:top w:val="none" w:sz="0" w:space="0" w:color="auto"/>
            <w:left w:val="none" w:sz="0" w:space="0" w:color="auto"/>
            <w:bottom w:val="none" w:sz="0" w:space="0" w:color="auto"/>
            <w:right w:val="none" w:sz="0" w:space="0" w:color="auto"/>
          </w:divBdr>
        </w:div>
        <w:div w:id="437676204">
          <w:marLeft w:val="640"/>
          <w:marRight w:val="0"/>
          <w:marTop w:val="0"/>
          <w:marBottom w:val="0"/>
          <w:divBdr>
            <w:top w:val="none" w:sz="0" w:space="0" w:color="auto"/>
            <w:left w:val="none" w:sz="0" w:space="0" w:color="auto"/>
            <w:bottom w:val="none" w:sz="0" w:space="0" w:color="auto"/>
            <w:right w:val="none" w:sz="0" w:space="0" w:color="auto"/>
          </w:divBdr>
        </w:div>
        <w:div w:id="447700245">
          <w:marLeft w:val="640"/>
          <w:marRight w:val="0"/>
          <w:marTop w:val="0"/>
          <w:marBottom w:val="0"/>
          <w:divBdr>
            <w:top w:val="none" w:sz="0" w:space="0" w:color="auto"/>
            <w:left w:val="none" w:sz="0" w:space="0" w:color="auto"/>
            <w:bottom w:val="none" w:sz="0" w:space="0" w:color="auto"/>
            <w:right w:val="none" w:sz="0" w:space="0" w:color="auto"/>
          </w:divBdr>
        </w:div>
        <w:div w:id="461506538">
          <w:marLeft w:val="640"/>
          <w:marRight w:val="0"/>
          <w:marTop w:val="0"/>
          <w:marBottom w:val="0"/>
          <w:divBdr>
            <w:top w:val="none" w:sz="0" w:space="0" w:color="auto"/>
            <w:left w:val="none" w:sz="0" w:space="0" w:color="auto"/>
            <w:bottom w:val="none" w:sz="0" w:space="0" w:color="auto"/>
            <w:right w:val="none" w:sz="0" w:space="0" w:color="auto"/>
          </w:divBdr>
        </w:div>
        <w:div w:id="480925358">
          <w:marLeft w:val="640"/>
          <w:marRight w:val="0"/>
          <w:marTop w:val="0"/>
          <w:marBottom w:val="0"/>
          <w:divBdr>
            <w:top w:val="none" w:sz="0" w:space="0" w:color="auto"/>
            <w:left w:val="none" w:sz="0" w:space="0" w:color="auto"/>
            <w:bottom w:val="none" w:sz="0" w:space="0" w:color="auto"/>
            <w:right w:val="none" w:sz="0" w:space="0" w:color="auto"/>
          </w:divBdr>
        </w:div>
        <w:div w:id="494885669">
          <w:marLeft w:val="640"/>
          <w:marRight w:val="0"/>
          <w:marTop w:val="0"/>
          <w:marBottom w:val="0"/>
          <w:divBdr>
            <w:top w:val="none" w:sz="0" w:space="0" w:color="auto"/>
            <w:left w:val="none" w:sz="0" w:space="0" w:color="auto"/>
            <w:bottom w:val="none" w:sz="0" w:space="0" w:color="auto"/>
            <w:right w:val="none" w:sz="0" w:space="0" w:color="auto"/>
          </w:divBdr>
        </w:div>
        <w:div w:id="570583832">
          <w:marLeft w:val="640"/>
          <w:marRight w:val="0"/>
          <w:marTop w:val="0"/>
          <w:marBottom w:val="0"/>
          <w:divBdr>
            <w:top w:val="none" w:sz="0" w:space="0" w:color="auto"/>
            <w:left w:val="none" w:sz="0" w:space="0" w:color="auto"/>
            <w:bottom w:val="none" w:sz="0" w:space="0" w:color="auto"/>
            <w:right w:val="none" w:sz="0" w:space="0" w:color="auto"/>
          </w:divBdr>
        </w:div>
        <w:div w:id="594022208">
          <w:marLeft w:val="640"/>
          <w:marRight w:val="0"/>
          <w:marTop w:val="0"/>
          <w:marBottom w:val="0"/>
          <w:divBdr>
            <w:top w:val="none" w:sz="0" w:space="0" w:color="auto"/>
            <w:left w:val="none" w:sz="0" w:space="0" w:color="auto"/>
            <w:bottom w:val="none" w:sz="0" w:space="0" w:color="auto"/>
            <w:right w:val="none" w:sz="0" w:space="0" w:color="auto"/>
          </w:divBdr>
        </w:div>
        <w:div w:id="595869313">
          <w:marLeft w:val="640"/>
          <w:marRight w:val="0"/>
          <w:marTop w:val="0"/>
          <w:marBottom w:val="0"/>
          <w:divBdr>
            <w:top w:val="none" w:sz="0" w:space="0" w:color="auto"/>
            <w:left w:val="none" w:sz="0" w:space="0" w:color="auto"/>
            <w:bottom w:val="none" w:sz="0" w:space="0" w:color="auto"/>
            <w:right w:val="none" w:sz="0" w:space="0" w:color="auto"/>
          </w:divBdr>
        </w:div>
        <w:div w:id="610165097">
          <w:marLeft w:val="640"/>
          <w:marRight w:val="0"/>
          <w:marTop w:val="0"/>
          <w:marBottom w:val="0"/>
          <w:divBdr>
            <w:top w:val="none" w:sz="0" w:space="0" w:color="auto"/>
            <w:left w:val="none" w:sz="0" w:space="0" w:color="auto"/>
            <w:bottom w:val="none" w:sz="0" w:space="0" w:color="auto"/>
            <w:right w:val="none" w:sz="0" w:space="0" w:color="auto"/>
          </w:divBdr>
        </w:div>
        <w:div w:id="659651285">
          <w:marLeft w:val="640"/>
          <w:marRight w:val="0"/>
          <w:marTop w:val="0"/>
          <w:marBottom w:val="0"/>
          <w:divBdr>
            <w:top w:val="none" w:sz="0" w:space="0" w:color="auto"/>
            <w:left w:val="none" w:sz="0" w:space="0" w:color="auto"/>
            <w:bottom w:val="none" w:sz="0" w:space="0" w:color="auto"/>
            <w:right w:val="none" w:sz="0" w:space="0" w:color="auto"/>
          </w:divBdr>
        </w:div>
        <w:div w:id="660620046">
          <w:marLeft w:val="640"/>
          <w:marRight w:val="0"/>
          <w:marTop w:val="0"/>
          <w:marBottom w:val="0"/>
          <w:divBdr>
            <w:top w:val="none" w:sz="0" w:space="0" w:color="auto"/>
            <w:left w:val="none" w:sz="0" w:space="0" w:color="auto"/>
            <w:bottom w:val="none" w:sz="0" w:space="0" w:color="auto"/>
            <w:right w:val="none" w:sz="0" w:space="0" w:color="auto"/>
          </w:divBdr>
        </w:div>
        <w:div w:id="681392464">
          <w:marLeft w:val="640"/>
          <w:marRight w:val="0"/>
          <w:marTop w:val="0"/>
          <w:marBottom w:val="0"/>
          <w:divBdr>
            <w:top w:val="none" w:sz="0" w:space="0" w:color="auto"/>
            <w:left w:val="none" w:sz="0" w:space="0" w:color="auto"/>
            <w:bottom w:val="none" w:sz="0" w:space="0" w:color="auto"/>
            <w:right w:val="none" w:sz="0" w:space="0" w:color="auto"/>
          </w:divBdr>
        </w:div>
        <w:div w:id="682706466">
          <w:marLeft w:val="640"/>
          <w:marRight w:val="0"/>
          <w:marTop w:val="0"/>
          <w:marBottom w:val="0"/>
          <w:divBdr>
            <w:top w:val="none" w:sz="0" w:space="0" w:color="auto"/>
            <w:left w:val="none" w:sz="0" w:space="0" w:color="auto"/>
            <w:bottom w:val="none" w:sz="0" w:space="0" w:color="auto"/>
            <w:right w:val="none" w:sz="0" w:space="0" w:color="auto"/>
          </w:divBdr>
        </w:div>
        <w:div w:id="717629302">
          <w:marLeft w:val="640"/>
          <w:marRight w:val="0"/>
          <w:marTop w:val="0"/>
          <w:marBottom w:val="0"/>
          <w:divBdr>
            <w:top w:val="none" w:sz="0" w:space="0" w:color="auto"/>
            <w:left w:val="none" w:sz="0" w:space="0" w:color="auto"/>
            <w:bottom w:val="none" w:sz="0" w:space="0" w:color="auto"/>
            <w:right w:val="none" w:sz="0" w:space="0" w:color="auto"/>
          </w:divBdr>
        </w:div>
        <w:div w:id="734468508">
          <w:marLeft w:val="640"/>
          <w:marRight w:val="0"/>
          <w:marTop w:val="0"/>
          <w:marBottom w:val="0"/>
          <w:divBdr>
            <w:top w:val="none" w:sz="0" w:space="0" w:color="auto"/>
            <w:left w:val="none" w:sz="0" w:space="0" w:color="auto"/>
            <w:bottom w:val="none" w:sz="0" w:space="0" w:color="auto"/>
            <w:right w:val="none" w:sz="0" w:space="0" w:color="auto"/>
          </w:divBdr>
        </w:div>
        <w:div w:id="794300480">
          <w:marLeft w:val="640"/>
          <w:marRight w:val="0"/>
          <w:marTop w:val="0"/>
          <w:marBottom w:val="0"/>
          <w:divBdr>
            <w:top w:val="none" w:sz="0" w:space="0" w:color="auto"/>
            <w:left w:val="none" w:sz="0" w:space="0" w:color="auto"/>
            <w:bottom w:val="none" w:sz="0" w:space="0" w:color="auto"/>
            <w:right w:val="none" w:sz="0" w:space="0" w:color="auto"/>
          </w:divBdr>
        </w:div>
        <w:div w:id="812022756">
          <w:marLeft w:val="640"/>
          <w:marRight w:val="0"/>
          <w:marTop w:val="0"/>
          <w:marBottom w:val="0"/>
          <w:divBdr>
            <w:top w:val="none" w:sz="0" w:space="0" w:color="auto"/>
            <w:left w:val="none" w:sz="0" w:space="0" w:color="auto"/>
            <w:bottom w:val="none" w:sz="0" w:space="0" w:color="auto"/>
            <w:right w:val="none" w:sz="0" w:space="0" w:color="auto"/>
          </w:divBdr>
        </w:div>
        <w:div w:id="878473259">
          <w:marLeft w:val="640"/>
          <w:marRight w:val="0"/>
          <w:marTop w:val="0"/>
          <w:marBottom w:val="0"/>
          <w:divBdr>
            <w:top w:val="none" w:sz="0" w:space="0" w:color="auto"/>
            <w:left w:val="none" w:sz="0" w:space="0" w:color="auto"/>
            <w:bottom w:val="none" w:sz="0" w:space="0" w:color="auto"/>
            <w:right w:val="none" w:sz="0" w:space="0" w:color="auto"/>
          </w:divBdr>
        </w:div>
        <w:div w:id="980042361">
          <w:marLeft w:val="640"/>
          <w:marRight w:val="0"/>
          <w:marTop w:val="0"/>
          <w:marBottom w:val="0"/>
          <w:divBdr>
            <w:top w:val="none" w:sz="0" w:space="0" w:color="auto"/>
            <w:left w:val="none" w:sz="0" w:space="0" w:color="auto"/>
            <w:bottom w:val="none" w:sz="0" w:space="0" w:color="auto"/>
            <w:right w:val="none" w:sz="0" w:space="0" w:color="auto"/>
          </w:divBdr>
        </w:div>
        <w:div w:id="1011101614">
          <w:marLeft w:val="640"/>
          <w:marRight w:val="0"/>
          <w:marTop w:val="0"/>
          <w:marBottom w:val="0"/>
          <w:divBdr>
            <w:top w:val="none" w:sz="0" w:space="0" w:color="auto"/>
            <w:left w:val="none" w:sz="0" w:space="0" w:color="auto"/>
            <w:bottom w:val="none" w:sz="0" w:space="0" w:color="auto"/>
            <w:right w:val="none" w:sz="0" w:space="0" w:color="auto"/>
          </w:divBdr>
        </w:div>
        <w:div w:id="1028331433">
          <w:marLeft w:val="640"/>
          <w:marRight w:val="0"/>
          <w:marTop w:val="0"/>
          <w:marBottom w:val="0"/>
          <w:divBdr>
            <w:top w:val="none" w:sz="0" w:space="0" w:color="auto"/>
            <w:left w:val="none" w:sz="0" w:space="0" w:color="auto"/>
            <w:bottom w:val="none" w:sz="0" w:space="0" w:color="auto"/>
            <w:right w:val="none" w:sz="0" w:space="0" w:color="auto"/>
          </w:divBdr>
        </w:div>
        <w:div w:id="1071270191">
          <w:marLeft w:val="640"/>
          <w:marRight w:val="0"/>
          <w:marTop w:val="0"/>
          <w:marBottom w:val="0"/>
          <w:divBdr>
            <w:top w:val="none" w:sz="0" w:space="0" w:color="auto"/>
            <w:left w:val="none" w:sz="0" w:space="0" w:color="auto"/>
            <w:bottom w:val="none" w:sz="0" w:space="0" w:color="auto"/>
            <w:right w:val="none" w:sz="0" w:space="0" w:color="auto"/>
          </w:divBdr>
        </w:div>
        <w:div w:id="1103379559">
          <w:marLeft w:val="640"/>
          <w:marRight w:val="0"/>
          <w:marTop w:val="0"/>
          <w:marBottom w:val="0"/>
          <w:divBdr>
            <w:top w:val="none" w:sz="0" w:space="0" w:color="auto"/>
            <w:left w:val="none" w:sz="0" w:space="0" w:color="auto"/>
            <w:bottom w:val="none" w:sz="0" w:space="0" w:color="auto"/>
            <w:right w:val="none" w:sz="0" w:space="0" w:color="auto"/>
          </w:divBdr>
        </w:div>
        <w:div w:id="1147821975">
          <w:marLeft w:val="640"/>
          <w:marRight w:val="0"/>
          <w:marTop w:val="0"/>
          <w:marBottom w:val="0"/>
          <w:divBdr>
            <w:top w:val="none" w:sz="0" w:space="0" w:color="auto"/>
            <w:left w:val="none" w:sz="0" w:space="0" w:color="auto"/>
            <w:bottom w:val="none" w:sz="0" w:space="0" w:color="auto"/>
            <w:right w:val="none" w:sz="0" w:space="0" w:color="auto"/>
          </w:divBdr>
        </w:div>
        <w:div w:id="1155487261">
          <w:marLeft w:val="640"/>
          <w:marRight w:val="0"/>
          <w:marTop w:val="0"/>
          <w:marBottom w:val="0"/>
          <w:divBdr>
            <w:top w:val="none" w:sz="0" w:space="0" w:color="auto"/>
            <w:left w:val="none" w:sz="0" w:space="0" w:color="auto"/>
            <w:bottom w:val="none" w:sz="0" w:space="0" w:color="auto"/>
            <w:right w:val="none" w:sz="0" w:space="0" w:color="auto"/>
          </w:divBdr>
        </w:div>
        <w:div w:id="1159689447">
          <w:marLeft w:val="640"/>
          <w:marRight w:val="0"/>
          <w:marTop w:val="0"/>
          <w:marBottom w:val="0"/>
          <w:divBdr>
            <w:top w:val="none" w:sz="0" w:space="0" w:color="auto"/>
            <w:left w:val="none" w:sz="0" w:space="0" w:color="auto"/>
            <w:bottom w:val="none" w:sz="0" w:space="0" w:color="auto"/>
            <w:right w:val="none" w:sz="0" w:space="0" w:color="auto"/>
          </w:divBdr>
        </w:div>
        <w:div w:id="1164247496">
          <w:marLeft w:val="640"/>
          <w:marRight w:val="0"/>
          <w:marTop w:val="0"/>
          <w:marBottom w:val="0"/>
          <w:divBdr>
            <w:top w:val="none" w:sz="0" w:space="0" w:color="auto"/>
            <w:left w:val="none" w:sz="0" w:space="0" w:color="auto"/>
            <w:bottom w:val="none" w:sz="0" w:space="0" w:color="auto"/>
            <w:right w:val="none" w:sz="0" w:space="0" w:color="auto"/>
          </w:divBdr>
        </w:div>
        <w:div w:id="1179849792">
          <w:marLeft w:val="640"/>
          <w:marRight w:val="0"/>
          <w:marTop w:val="0"/>
          <w:marBottom w:val="0"/>
          <w:divBdr>
            <w:top w:val="none" w:sz="0" w:space="0" w:color="auto"/>
            <w:left w:val="none" w:sz="0" w:space="0" w:color="auto"/>
            <w:bottom w:val="none" w:sz="0" w:space="0" w:color="auto"/>
            <w:right w:val="none" w:sz="0" w:space="0" w:color="auto"/>
          </w:divBdr>
        </w:div>
        <w:div w:id="1225987400">
          <w:marLeft w:val="640"/>
          <w:marRight w:val="0"/>
          <w:marTop w:val="0"/>
          <w:marBottom w:val="0"/>
          <w:divBdr>
            <w:top w:val="none" w:sz="0" w:space="0" w:color="auto"/>
            <w:left w:val="none" w:sz="0" w:space="0" w:color="auto"/>
            <w:bottom w:val="none" w:sz="0" w:space="0" w:color="auto"/>
            <w:right w:val="none" w:sz="0" w:space="0" w:color="auto"/>
          </w:divBdr>
        </w:div>
        <w:div w:id="1327628355">
          <w:marLeft w:val="640"/>
          <w:marRight w:val="0"/>
          <w:marTop w:val="0"/>
          <w:marBottom w:val="0"/>
          <w:divBdr>
            <w:top w:val="none" w:sz="0" w:space="0" w:color="auto"/>
            <w:left w:val="none" w:sz="0" w:space="0" w:color="auto"/>
            <w:bottom w:val="none" w:sz="0" w:space="0" w:color="auto"/>
            <w:right w:val="none" w:sz="0" w:space="0" w:color="auto"/>
          </w:divBdr>
        </w:div>
        <w:div w:id="1361273968">
          <w:marLeft w:val="640"/>
          <w:marRight w:val="0"/>
          <w:marTop w:val="0"/>
          <w:marBottom w:val="0"/>
          <w:divBdr>
            <w:top w:val="none" w:sz="0" w:space="0" w:color="auto"/>
            <w:left w:val="none" w:sz="0" w:space="0" w:color="auto"/>
            <w:bottom w:val="none" w:sz="0" w:space="0" w:color="auto"/>
            <w:right w:val="none" w:sz="0" w:space="0" w:color="auto"/>
          </w:divBdr>
        </w:div>
        <w:div w:id="1406994142">
          <w:marLeft w:val="640"/>
          <w:marRight w:val="0"/>
          <w:marTop w:val="0"/>
          <w:marBottom w:val="0"/>
          <w:divBdr>
            <w:top w:val="none" w:sz="0" w:space="0" w:color="auto"/>
            <w:left w:val="none" w:sz="0" w:space="0" w:color="auto"/>
            <w:bottom w:val="none" w:sz="0" w:space="0" w:color="auto"/>
            <w:right w:val="none" w:sz="0" w:space="0" w:color="auto"/>
          </w:divBdr>
        </w:div>
        <w:div w:id="1456943511">
          <w:marLeft w:val="640"/>
          <w:marRight w:val="0"/>
          <w:marTop w:val="0"/>
          <w:marBottom w:val="0"/>
          <w:divBdr>
            <w:top w:val="none" w:sz="0" w:space="0" w:color="auto"/>
            <w:left w:val="none" w:sz="0" w:space="0" w:color="auto"/>
            <w:bottom w:val="none" w:sz="0" w:space="0" w:color="auto"/>
            <w:right w:val="none" w:sz="0" w:space="0" w:color="auto"/>
          </w:divBdr>
        </w:div>
        <w:div w:id="1465270329">
          <w:marLeft w:val="640"/>
          <w:marRight w:val="0"/>
          <w:marTop w:val="0"/>
          <w:marBottom w:val="0"/>
          <w:divBdr>
            <w:top w:val="none" w:sz="0" w:space="0" w:color="auto"/>
            <w:left w:val="none" w:sz="0" w:space="0" w:color="auto"/>
            <w:bottom w:val="none" w:sz="0" w:space="0" w:color="auto"/>
            <w:right w:val="none" w:sz="0" w:space="0" w:color="auto"/>
          </w:divBdr>
        </w:div>
        <w:div w:id="1534612387">
          <w:marLeft w:val="640"/>
          <w:marRight w:val="0"/>
          <w:marTop w:val="0"/>
          <w:marBottom w:val="0"/>
          <w:divBdr>
            <w:top w:val="none" w:sz="0" w:space="0" w:color="auto"/>
            <w:left w:val="none" w:sz="0" w:space="0" w:color="auto"/>
            <w:bottom w:val="none" w:sz="0" w:space="0" w:color="auto"/>
            <w:right w:val="none" w:sz="0" w:space="0" w:color="auto"/>
          </w:divBdr>
        </w:div>
        <w:div w:id="1590456749">
          <w:marLeft w:val="640"/>
          <w:marRight w:val="0"/>
          <w:marTop w:val="0"/>
          <w:marBottom w:val="0"/>
          <w:divBdr>
            <w:top w:val="none" w:sz="0" w:space="0" w:color="auto"/>
            <w:left w:val="none" w:sz="0" w:space="0" w:color="auto"/>
            <w:bottom w:val="none" w:sz="0" w:space="0" w:color="auto"/>
            <w:right w:val="none" w:sz="0" w:space="0" w:color="auto"/>
          </w:divBdr>
        </w:div>
        <w:div w:id="1759322877">
          <w:marLeft w:val="640"/>
          <w:marRight w:val="0"/>
          <w:marTop w:val="0"/>
          <w:marBottom w:val="0"/>
          <w:divBdr>
            <w:top w:val="none" w:sz="0" w:space="0" w:color="auto"/>
            <w:left w:val="none" w:sz="0" w:space="0" w:color="auto"/>
            <w:bottom w:val="none" w:sz="0" w:space="0" w:color="auto"/>
            <w:right w:val="none" w:sz="0" w:space="0" w:color="auto"/>
          </w:divBdr>
        </w:div>
        <w:div w:id="1804153846">
          <w:marLeft w:val="640"/>
          <w:marRight w:val="0"/>
          <w:marTop w:val="0"/>
          <w:marBottom w:val="0"/>
          <w:divBdr>
            <w:top w:val="none" w:sz="0" w:space="0" w:color="auto"/>
            <w:left w:val="none" w:sz="0" w:space="0" w:color="auto"/>
            <w:bottom w:val="none" w:sz="0" w:space="0" w:color="auto"/>
            <w:right w:val="none" w:sz="0" w:space="0" w:color="auto"/>
          </w:divBdr>
        </w:div>
        <w:div w:id="1819570274">
          <w:marLeft w:val="640"/>
          <w:marRight w:val="0"/>
          <w:marTop w:val="0"/>
          <w:marBottom w:val="0"/>
          <w:divBdr>
            <w:top w:val="none" w:sz="0" w:space="0" w:color="auto"/>
            <w:left w:val="none" w:sz="0" w:space="0" w:color="auto"/>
            <w:bottom w:val="none" w:sz="0" w:space="0" w:color="auto"/>
            <w:right w:val="none" w:sz="0" w:space="0" w:color="auto"/>
          </w:divBdr>
        </w:div>
        <w:div w:id="1823158033">
          <w:marLeft w:val="640"/>
          <w:marRight w:val="0"/>
          <w:marTop w:val="0"/>
          <w:marBottom w:val="0"/>
          <w:divBdr>
            <w:top w:val="none" w:sz="0" w:space="0" w:color="auto"/>
            <w:left w:val="none" w:sz="0" w:space="0" w:color="auto"/>
            <w:bottom w:val="none" w:sz="0" w:space="0" w:color="auto"/>
            <w:right w:val="none" w:sz="0" w:space="0" w:color="auto"/>
          </w:divBdr>
        </w:div>
        <w:div w:id="1832133722">
          <w:marLeft w:val="640"/>
          <w:marRight w:val="0"/>
          <w:marTop w:val="0"/>
          <w:marBottom w:val="0"/>
          <w:divBdr>
            <w:top w:val="none" w:sz="0" w:space="0" w:color="auto"/>
            <w:left w:val="none" w:sz="0" w:space="0" w:color="auto"/>
            <w:bottom w:val="none" w:sz="0" w:space="0" w:color="auto"/>
            <w:right w:val="none" w:sz="0" w:space="0" w:color="auto"/>
          </w:divBdr>
        </w:div>
        <w:div w:id="1860972507">
          <w:marLeft w:val="640"/>
          <w:marRight w:val="0"/>
          <w:marTop w:val="0"/>
          <w:marBottom w:val="0"/>
          <w:divBdr>
            <w:top w:val="none" w:sz="0" w:space="0" w:color="auto"/>
            <w:left w:val="none" w:sz="0" w:space="0" w:color="auto"/>
            <w:bottom w:val="none" w:sz="0" w:space="0" w:color="auto"/>
            <w:right w:val="none" w:sz="0" w:space="0" w:color="auto"/>
          </w:divBdr>
        </w:div>
        <w:div w:id="1867402309">
          <w:marLeft w:val="640"/>
          <w:marRight w:val="0"/>
          <w:marTop w:val="0"/>
          <w:marBottom w:val="0"/>
          <w:divBdr>
            <w:top w:val="none" w:sz="0" w:space="0" w:color="auto"/>
            <w:left w:val="none" w:sz="0" w:space="0" w:color="auto"/>
            <w:bottom w:val="none" w:sz="0" w:space="0" w:color="auto"/>
            <w:right w:val="none" w:sz="0" w:space="0" w:color="auto"/>
          </w:divBdr>
        </w:div>
        <w:div w:id="1901942579">
          <w:marLeft w:val="640"/>
          <w:marRight w:val="0"/>
          <w:marTop w:val="0"/>
          <w:marBottom w:val="0"/>
          <w:divBdr>
            <w:top w:val="none" w:sz="0" w:space="0" w:color="auto"/>
            <w:left w:val="none" w:sz="0" w:space="0" w:color="auto"/>
            <w:bottom w:val="none" w:sz="0" w:space="0" w:color="auto"/>
            <w:right w:val="none" w:sz="0" w:space="0" w:color="auto"/>
          </w:divBdr>
        </w:div>
        <w:div w:id="1908491622">
          <w:marLeft w:val="640"/>
          <w:marRight w:val="0"/>
          <w:marTop w:val="0"/>
          <w:marBottom w:val="0"/>
          <w:divBdr>
            <w:top w:val="none" w:sz="0" w:space="0" w:color="auto"/>
            <w:left w:val="none" w:sz="0" w:space="0" w:color="auto"/>
            <w:bottom w:val="none" w:sz="0" w:space="0" w:color="auto"/>
            <w:right w:val="none" w:sz="0" w:space="0" w:color="auto"/>
          </w:divBdr>
        </w:div>
        <w:div w:id="1922179144">
          <w:marLeft w:val="640"/>
          <w:marRight w:val="0"/>
          <w:marTop w:val="0"/>
          <w:marBottom w:val="0"/>
          <w:divBdr>
            <w:top w:val="none" w:sz="0" w:space="0" w:color="auto"/>
            <w:left w:val="none" w:sz="0" w:space="0" w:color="auto"/>
            <w:bottom w:val="none" w:sz="0" w:space="0" w:color="auto"/>
            <w:right w:val="none" w:sz="0" w:space="0" w:color="auto"/>
          </w:divBdr>
        </w:div>
        <w:div w:id="1928535142">
          <w:marLeft w:val="640"/>
          <w:marRight w:val="0"/>
          <w:marTop w:val="0"/>
          <w:marBottom w:val="0"/>
          <w:divBdr>
            <w:top w:val="none" w:sz="0" w:space="0" w:color="auto"/>
            <w:left w:val="none" w:sz="0" w:space="0" w:color="auto"/>
            <w:bottom w:val="none" w:sz="0" w:space="0" w:color="auto"/>
            <w:right w:val="none" w:sz="0" w:space="0" w:color="auto"/>
          </w:divBdr>
        </w:div>
        <w:div w:id="1938715270">
          <w:marLeft w:val="640"/>
          <w:marRight w:val="0"/>
          <w:marTop w:val="0"/>
          <w:marBottom w:val="0"/>
          <w:divBdr>
            <w:top w:val="none" w:sz="0" w:space="0" w:color="auto"/>
            <w:left w:val="none" w:sz="0" w:space="0" w:color="auto"/>
            <w:bottom w:val="none" w:sz="0" w:space="0" w:color="auto"/>
            <w:right w:val="none" w:sz="0" w:space="0" w:color="auto"/>
          </w:divBdr>
        </w:div>
        <w:div w:id="1961524633">
          <w:marLeft w:val="640"/>
          <w:marRight w:val="0"/>
          <w:marTop w:val="0"/>
          <w:marBottom w:val="0"/>
          <w:divBdr>
            <w:top w:val="none" w:sz="0" w:space="0" w:color="auto"/>
            <w:left w:val="none" w:sz="0" w:space="0" w:color="auto"/>
            <w:bottom w:val="none" w:sz="0" w:space="0" w:color="auto"/>
            <w:right w:val="none" w:sz="0" w:space="0" w:color="auto"/>
          </w:divBdr>
        </w:div>
        <w:div w:id="1965846249">
          <w:marLeft w:val="640"/>
          <w:marRight w:val="0"/>
          <w:marTop w:val="0"/>
          <w:marBottom w:val="0"/>
          <w:divBdr>
            <w:top w:val="none" w:sz="0" w:space="0" w:color="auto"/>
            <w:left w:val="none" w:sz="0" w:space="0" w:color="auto"/>
            <w:bottom w:val="none" w:sz="0" w:space="0" w:color="auto"/>
            <w:right w:val="none" w:sz="0" w:space="0" w:color="auto"/>
          </w:divBdr>
        </w:div>
        <w:div w:id="1967001280">
          <w:marLeft w:val="640"/>
          <w:marRight w:val="0"/>
          <w:marTop w:val="0"/>
          <w:marBottom w:val="0"/>
          <w:divBdr>
            <w:top w:val="none" w:sz="0" w:space="0" w:color="auto"/>
            <w:left w:val="none" w:sz="0" w:space="0" w:color="auto"/>
            <w:bottom w:val="none" w:sz="0" w:space="0" w:color="auto"/>
            <w:right w:val="none" w:sz="0" w:space="0" w:color="auto"/>
          </w:divBdr>
        </w:div>
        <w:div w:id="2010595738">
          <w:marLeft w:val="640"/>
          <w:marRight w:val="0"/>
          <w:marTop w:val="0"/>
          <w:marBottom w:val="0"/>
          <w:divBdr>
            <w:top w:val="none" w:sz="0" w:space="0" w:color="auto"/>
            <w:left w:val="none" w:sz="0" w:space="0" w:color="auto"/>
            <w:bottom w:val="none" w:sz="0" w:space="0" w:color="auto"/>
            <w:right w:val="none" w:sz="0" w:space="0" w:color="auto"/>
          </w:divBdr>
        </w:div>
        <w:div w:id="2029746318">
          <w:marLeft w:val="640"/>
          <w:marRight w:val="0"/>
          <w:marTop w:val="0"/>
          <w:marBottom w:val="0"/>
          <w:divBdr>
            <w:top w:val="none" w:sz="0" w:space="0" w:color="auto"/>
            <w:left w:val="none" w:sz="0" w:space="0" w:color="auto"/>
            <w:bottom w:val="none" w:sz="0" w:space="0" w:color="auto"/>
            <w:right w:val="none" w:sz="0" w:space="0" w:color="auto"/>
          </w:divBdr>
        </w:div>
        <w:div w:id="2064021306">
          <w:marLeft w:val="640"/>
          <w:marRight w:val="0"/>
          <w:marTop w:val="0"/>
          <w:marBottom w:val="0"/>
          <w:divBdr>
            <w:top w:val="none" w:sz="0" w:space="0" w:color="auto"/>
            <w:left w:val="none" w:sz="0" w:space="0" w:color="auto"/>
            <w:bottom w:val="none" w:sz="0" w:space="0" w:color="auto"/>
            <w:right w:val="none" w:sz="0" w:space="0" w:color="auto"/>
          </w:divBdr>
        </w:div>
        <w:div w:id="2077511727">
          <w:marLeft w:val="640"/>
          <w:marRight w:val="0"/>
          <w:marTop w:val="0"/>
          <w:marBottom w:val="0"/>
          <w:divBdr>
            <w:top w:val="none" w:sz="0" w:space="0" w:color="auto"/>
            <w:left w:val="none" w:sz="0" w:space="0" w:color="auto"/>
            <w:bottom w:val="none" w:sz="0" w:space="0" w:color="auto"/>
            <w:right w:val="none" w:sz="0" w:space="0" w:color="auto"/>
          </w:divBdr>
        </w:div>
        <w:div w:id="2117673174">
          <w:marLeft w:val="640"/>
          <w:marRight w:val="0"/>
          <w:marTop w:val="0"/>
          <w:marBottom w:val="0"/>
          <w:divBdr>
            <w:top w:val="none" w:sz="0" w:space="0" w:color="auto"/>
            <w:left w:val="none" w:sz="0" w:space="0" w:color="auto"/>
            <w:bottom w:val="none" w:sz="0" w:space="0" w:color="auto"/>
            <w:right w:val="none" w:sz="0" w:space="0" w:color="auto"/>
          </w:divBdr>
        </w:div>
      </w:divsChild>
    </w:div>
    <w:div w:id="63453714">
      <w:bodyDiv w:val="1"/>
      <w:marLeft w:val="0"/>
      <w:marRight w:val="0"/>
      <w:marTop w:val="0"/>
      <w:marBottom w:val="0"/>
      <w:divBdr>
        <w:top w:val="none" w:sz="0" w:space="0" w:color="auto"/>
        <w:left w:val="none" w:sz="0" w:space="0" w:color="auto"/>
        <w:bottom w:val="none" w:sz="0" w:space="0" w:color="auto"/>
        <w:right w:val="none" w:sz="0" w:space="0" w:color="auto"/>
      </w:divBdr>
    </w:div>
    <w:div w:id="85418038">
      <w:bodyDiv w:val="1"/>
      <w:marLeft w:val="0"/>
      <w:marRight w:val="0"/>
      <w:marTop w:val="0"/>
      <w:marBottom w:val="0"/>
      <w:divBdr>
        <w:top w:val="none" w:sz="0" w:space="0" w:color="auto"/>
        <w:left w:val="none" w:sz="0" w:space="0" w:color="auto"/>
        <w:bottom w:val="none" w:sz="0" w:space="0" w:color="auto"/>
        <w:right w:val="none" w:sz="0" w:space="0" w:color="auto"/>
      </w:divBdr>
    </w:div>
    <w:div w:id="108744914">
      <w:bodyDiv w:val="1"/>
      <w:marLeft w:val="0"/>
      <w:marRight w:val="0"/>
      <w:marTop w:val="0"/>
      <w:marBottom w:val="0"/>
      <w:divBdr>
        <w:top w:val="none" w:sz="0" w:space="0" w:color="auto"/>
        <w:left w:val="none" w:sz="0" w:space="0" w:color="auto"/>
        <w:bottom w:val="none" w:sz="0" w:space="0" w:color="auto"/>
        <w:right w:val="none" w:sz="0" w:space="0" w:color="auto"/>
      </w:divBdr>
    </w:div>
    <w:div w:id="109057418">
      <w:bodyDiv w:val="1"/>
      <w:marLeft w:val="0"/>
      <w:marRight w:val="0"/>
      <w:marTop w:val="0"/>
      <w:marBottom w:val="0"/>
      <w:divBdr>
        <w:top w:val="none" w:sz="0" w:space="0" w:color="auto"/>
        <w:left w:val="none" w:sz="0" w:space="0" w:color="auto"/>
        <w:bottom w:val="none" w:sz="0" w:space="0" w:color="auto"/>
        <w:right w:val="none" w:sz="0" w:space="0" w:color="auto"/>
      </w:divBdr>
      <w:divsChild>
        <w:div w:id="388653877">
          <w:marLeft w:val="0"/>
          <w:marRight w:val="0"/>
          <w:marTop w:val="0"/>
          <w:marBottom w:val="0"/>
          <w:divBdr>
            <w:top w:val="none" w:sz="0" w:space="0" w:color="auto"/>
            <w:left w:val="none" w:sz="0" w:space="0" w:color="auto"/>
            <w:bottom w:val="none" w:sz="0" w:space="0" w:color="auto"/>
            <w:right w:val="none" w:sz="0" w:space="0" w:color="auto"/>
          </w:divBdr>
          <w:divsChild>
            <w:div w:id="1422948594">
              <w:marLeft w:val="0"/>
              <w:marRight w:val="0"/>
              <w:marTop w:val="0"/>
              <w:marBottom w:val="0"/>
              <w:divBdr>
                <w:top w:val="none" w:sz="0" w:space="0" w:color="auto"/>
                <w:left w:val="none" w:sz="0" w:space="0" w:color="auto"/>
                <w:bottom w:val="none" w:sz="0" w:space="0" w:color="auto"/>
                <w:right w:val="none" w:sz="0" w:space="0" w:color="auto"/>
              </w:divBdr>
              <w:divsChild>
                <w:div w:id="1013384691">
                  <w:marLeft w:val="0"/>
                  <w:marRight w:val="0"/>
                  <w:marTop w:val="0"/>
                  <w:marBottom w:val="0"/>
                  <w:divBdr>
                    <w:top w:val="none" w:sz="0" w:space="0" w:color="auto"/>
                    <w:left w:val="none" w:sz="0" w:space="0" w:color="auto"/>
                    <w:bottom w:val="none" w:sz="0" w:space="0" w:color="auto"/>
                    <w:right w:val="none" w:sz="0" w:space="0" w:color="auto"/>
                  </w:divBdr>
                  <w:divsChild>
                    <w:div w:id="11210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0625">
      <w:bodyDiv w:val="1"/>
      <w:marLeft w:val="0"/>
      <w:marRight w:val="0"/>
      <w:marTop w:val="0"/>
      <w:marBottom w:val="0"/>
      <w:divBdr>
        <w:top w:val="none" w:sz="0" w:space="0" w:color="auto"/>
        <w:left w:val="none" w:sz="0" w:space="0" w:color="auto"/>
        <w:bottom w:val="none" w:sz="0" w:space="0" w:color="auto"/>
        <w:right w:val="none" w:sz="0" w:space="0" w:color="auto"/>
      </w:divBdr>
      <w:divsChild>
        <w:div w:id="1191727944">
          <w:marLeft w:val="480"/>
          <w:marRight w:val="0"/>
          <w:marTop w:val="0"/>
          <w:marBottom w:val="0"/>
          <w:divBdr>
            <w:top w:val="none" w:sz="0" w:space="0" w:color="auto"/>
            <w:left w:val="none" w:sz="0" w:space="0" w:color="auto"/>
            <w:bottom w:val="none" w:sz="0" w:space="0" w:color="auto"/>
            <w:right w:val="none" w:sz="0" w:space="0" w:color="auto"/>
          </w:divBdr>
        </w:div>
        <w:div w:id="282158591">
          <w:marLeft w:val="480"/>
          <w:marRight w:val="0"/>
          <w:marTop w:val="0"/>
          <w:marBottom w:val="0"/>
          <w:divBdr>
            <w:top w:val="none" w:sz="0" w:space="0" w:color="auto"/>
            <w:left w:val="none" w:sz="0" w:space="0" w:color="auto"/>
            <w:bottom w:val="none" w:sz="0" w:space="0" w:color="auto"/>
            <w:right w:val="none" w:sz="0" w:space="0" w:color="auto"/>
          </w:divBdr>
        </w:div>
        <w:div w:id="185294623">
          <w:marLeft w:val="480"/>
          <w:marRight w:val="0"/>
          <w:marTop w:val="0"/>
          <w:marBottom w:val="0"/>
          <w:divBdr>
            <w:top w:val="none" w:sz="0" w:space="0" w:color="auto"/>
            <w:left w:val="none" w:sz="0" w:space="0" w:color="auto"/>
            <w:bottom w:val="none" w:sz="0" w:space="0" w:color="auto"/>
            <w:right w:val="none" w:sz="0" w:space="0" w:color="auto"/>
          </w:divBdr>
        </w:div>
        <w:div w:id="1248881684">
          <w:marLeft w:val="480"/>
          <w:marRight w:val="0"/>
          <w:marTop w:val="0"/>
          <w:marBottom w:val="0"/>
          <w:divBdr>
            <w:top w:val="none" w:sz="0" w:space="0" w:color="auto"/>
            <w:left w:val="none" w:sz="0" w:space="0" w:color="auto"/>
            <w:bottom w:val="none" w:sz="0" w:space="0" w:color="auto"/>
            <w:right w:val="none" w:sz="0" w:space="0" w:color="auto"/>
          </w:divBdr>
        </w:div>
        <w:div w:id="1639530369">
          <w:marLeft w:val="480"/>
          <w:marRight w:val="0"/>
          <w:marTop w:val="0"/>
          <w:marBottom w:val="0"/>
          <w:divBdr>
            <w:top w:val="none" w:sz="0" w:space="0" w:color="auto"/>
            <w:left w:val="none" w:sz="0" w:space="0" w:color="auto"/>
            <w:bottom w:val="none" w:sz="0" w:space="0" w:color="auto"/>
            <w:right w:val="none" w:sz="0" w:space="0" w:color="auto"/>
          </w:divBdr>
        </w:div>
        <w:div w:id="1391612250">
          <w:marLeft w:val="480"/>
          <w:marRight w:val="0"/>
          <w:marTop w:val="0"/>
          <w:marBottom w:val="0"/>
          <w:divBdr>
            <w:top w:val="none" w:sz="0" w:space="0" w:color="auto"/>
            <w:left w:val="none" w:sz="0" w:space="0" w:color="auto"/>
            <w:bottom w:val="none" w:sz="0" w:space="0" w:color="auto"/>
            <w:right w:val="none" w:sz="0" w:space="0" w:color="auto"/>
          </w:divBdr>
        </w:div>
      </w:divsChild>
    </w:div>
    <w:div w:id="157119454">
      <w:bodyDiv w:val="1"/>
      <w:marLeft w:val="0"/>
      <w:marRight w:val="0"/>
      <w:marTop w:val="0"/>
      <w:marBottom w:val="0"/>
      <w:divBdr>
        <w:top w:val="none" w:sz="0" w:space="0" w:color="auto"/>
        <w:left w:val="none" w:sz="0" w:space="0" w:color="auto"/>
        <w:bottom w:val="none" w:sz="0" w:space="0" w:color="auto"/>
        <w:right w:val="none" w:sz="0" w:space="0" w:color="auto"/>
      </w:divBdr>
      <w:divsChild>
        <w:div w:id="26763555">
          <w:marLeft w:val="640"/>
          <w:marRight w:val="0"/>
          <w:marTop w:val="0"/>
          <w:marBottom w:val="0"/>
          <w:divBdr>
            <w:top w:val="none" w:sz="0" w:space="0" w:color="auto"/>
            <w:left w:val="none" w:sz="0" w:space="0" w:color="auto"/>
            <w:bottom w:val="none" w:sz="0" w:space="0" w:color="auto"/>
            <w:right w:val="none" w:sz="0" w:space="0" w:color="auto"/>
          </w:divBdr>
        </w:div>
        <w:div w:id="58285184">
          <w:marLeft w:val="640"/>
          <w:marRight w:val="0"/>
          <w:marTop w:val="0"/>
          <w:marBottom w:val="0"/>
          <w:divBdr>
            <w:top w:val="none" w:sz="0" w:space="0" w:color="auto"/>
            <w:left w:val="none" w:sz="0" w:space="0" w:color="auto"/>
            <w:bottom w:val="none" w:sz="0" w:space="0" w:color="auto"/>
            <w:right w:val="none" w:sz="0" w:space="0" w:color="auto"/>
          </w:divBdr>
        </w:div>
        <w:div w:id="63139958">
          <w:marLeft w:val="640"/>
          <w:marRight w:val="0"/>
          <w:marTop w:val="0"/>
          <w:marBottom w:val="0"/>
          <w:divBdr>
            <w:top w:val="none" w:sz="0" w:space="0" w:color="auto"/>
            <w:left w:val="none" w:sz="0" w:space="0" w:color="auto"/>
            <w:bottom w:val="none" w:sz="0" w:space="0" w:color="auto"/>
            <w:right w:val="none" w:sz="0" w:space="0" w:color="auto"/>
          </w:divBdr>
        </w:div>
        <w:div w:id="71318635">
          <w:marLeft w:val="640"/>
          <w:marRight w:val="0"/>
          <w:marTop w:val="0"/>
          <w:marBottom w:val="0"/>
          <w:divBdr>
            <w:top w:val="none" w:sz="0" w:space="0" w:color="auto"/>
            <w:left w:val="none" w:sz="0" w:space="0" w:color="auto"/>
            <w:bottom w:val="none" w:sz="0" w:space="0" w:color="auto"/>
            <w:right w:val="none" w:sz="0" w:space="0" w:color="auto"/>
          </w:divBdr>
        </w:div>
        <w:div w:id="77874342">
          <w:marLeft w:val="640"/>
          <w:marRight w:val="0"/>
          <w:marTop w:val="0"/>
          <w:marBottom w:val="0"/>
          <w:divBdr>
            <w:top w:val="none" w:sz="0" w:space="0" w:color="auto"/>
            <w:left w:val="none" w:sz="0" w:space="0" w:color="auto"/>
            <w:bottom w:val="none" w:sz="0" w:space="0" w:color="auto"/>
            <w:right w:val="none" w:sz="0" w:space="0" w:color="auto"/>
          </w:divBdr>
        </w:div>
        <w:div w:id="85884102">
          <w:marLeft w:val="640"/>
          <w:marRight w:val="0"/>
          <w:marTop w:val="0"/>
          <w:marBottom w:val="0"/>
          <w:divBdr>
            <w:top w:val="none" w:sz="0" w:space="0" w:color="auto"/>
            <w:left w:val="none" w:sz="0" w:space="0" w:color="auto"/>
            <w:bottom w:val="none" w:sz="0" w:space="0" w:color="auto"/>
            <w:right w:val="none" w:sz="0" w:space="0" w:color="auto"/>
          </w:divBdr>
        </w:div>
        <w:div w:id="118646054">
          <w:marLeft w:val="640"/>
          <w:marRight w:val="0"/>
          <w:marTop w:val="0"/>
          <w:marBottom w:val="0"/>
          <w:divBdr>
            <w:top w:val="none" w:sz="0" w:space="0" w:color="auto"/>
            <w:left w:val="none" w:sz="0" w:space="0" w:color="auto"/>
            <w:bottom w:val="none" w:sz="0" w:space="0" w:color="auto"/>
            <w:right w:val="none" w:sz="0" w:space="0" w:color="auto"/>
          </w:divBdr>
        </w:div>
        <w:div w:id="119149816">
          <w:marLeft w:val="640"/>
          <w:marRight w:val="0"/>
          <w:marTop w:val="0"/>
          <w:marBottom w:val="0"/>
          <w:divBdr>
            <w:top w:val="none" w:sz="0" w:space="0" w:color="auto"/>
            <w:left w:val="none" w:sz="0" w:space="0" w:color="auto"/>
            <w:bottom w:val="none" w:sz="0" w:space="0" w:color="auto"/>
            <w:right w:val="none" w:sz="0" w:space="0" w:color="auto"/>
          </w:divBdr>
        </w:div>
        <w:div w:id="201552829">
          <w:marLeft w:val="640"/>
          <w:marRight w:val="0"/>
          <w:marTop w:val="0"/>
          <w:marBottom w:val="0"/>
          <w:divBdr>
            <w:top w:val="none" w:sz="0" w:space="0" w:color="auto"/>
            <w:left w:val="none" w:sz="0" w:space="0" w:color="auto"/>
            <w:bottom w:val="none" w:sz="0" w:space="0" w:color="auto"/>
            <w:right w:val="none" w:sz="0" w:space="0" w:color="auto"/>
          </w:divBdr>
        </w:div>
        <w:div w:id="213854451">
          <w:marLeft w:val="640"/>
          <w:marRight w:val="0"/>
          <w:marTop w:val="0"/>
          <w:marBottom w:val="0"/>
          <w:divBdr>
            <w:top w:val="none" w:sz="0" w:space="0" w:color="auto"/>
            <w:left w:val="none" w:sz="0" w:space="0" w:color="auto"/>
            <w:bottom w:val="none" w:sz="0" w:space="0" w:color="auto"/>
            <w:right w:val="none" w:sz="0" w:space="0" w:color="auto"/>
          </w:divBdr>
        </w:div>
        <w:div w:id="245264304">
          <w:marLeft w:val="640"/>
          <w:marRight w:val="0"/>
          <w:marTop w:val="0"/>
          <w:marBottom w:val="0"/>
          <w:divBdr>
            <w:top w:val="none" w:sz="0" w:space="0" w:color="auto"/>
            <w:left w:val="none" w:sz="0" w:space="0" w:color="auto"/>
            <w:bottom w:val="none" w:sz="0" w:space="0" w:color="auto"/>
            <w:right w:val="none" w:sz="0" w:space="0" w:color="auto"/>
          </w:divBdr>
        </w:div>
        <w:div w:id="282348366">
          <w:marLeft w:val="640"/>
          <w:marRight w:val="0"/>
          <w:marTop w:val="0"/>
          <w:marBottom w:val="0"/>
          <w:divBdr>
            <w:top w:val="none" w:sz="0" w:space="0" w:color="auto"/>
            <w:left w:val="none" w:sz="0" w:space="0" w:color="auto"/>
            <w:bottom w:val="none" w:sz="0" w:space="0" w:color="auto"/>
            <w:right w:val="none" w:sz="0" w:space="0" w:color="auto"/>
          </w:divBdr>
        </w:div>
        <w:div w:id="342321498">
          <w:marLeft w:val="640"/>
          <w:marRight w:val="0"/>
          <w:marTop w:val="0"/>
          <w:marBottom w:val="0"/>
          <w:divBdr>
            <w:top w:val="none" w:sz="0" w:space="0" w:color="auto"/>
            <w:left w:val="none" w:sz="0" w:space="0" w:color="auto"/>
            <w:bottom w:val="none" w:sz="0" w:space="0" w:color="auto"/>
            <w:right w:val="none" w:sz="0" w:space="0" w:color="auto"/>
          </w:divBdr>
        </w:div>
        <w:div w:id="512763350">
          <w:marLeft w:val="640"/>
          <w:marRight w:val="0"/>
          <w:marTop w:val="0"/>
          <w:marBottom w:val="0"/>
          <w:divBdr>
            <w:top w:val="none" w:sz="0" w:space="0" w:color="auto"/>
            <w:left w:val="none" w:sz="0" w:space="0" w:color="auto"/>
            <w:bottom w:val="none" w:sz="0" w:space="0" w:color="auto"/>
            <w:right w:val="none" w:sz="0" w:space="0" w:color="auto"/>
          </w:divBdr>
        </w:div>
        <w:div w:id="527303250">
          <w:marLeft w:val="640"/>
          <w:marRight w:val="0"/>
          <w:marTop w:val="0"/>
          <w:marBottom w:val="0"/>
          <w:divBdr>
            <w:top w:val="none" w:sz="0" w:space="0" w:color="auto"/>
            <w:left w:val="none" w:sz="0" w:space="0" w:color="auto"/>
            <w:bottom w:val="none" w:sz="0" w:space="0" w:color="auto"/>
            <w:right w:val="none" w:sz="0" w:space="0" w:color="auto"/>
          </w:divBdr>
        </w:div>
        <w:div w:id="604846969">
          <w:marLeft w:val="640"/>
          <w:marRight w:val="0"/>
          <w:marTop w:val="0"/>
          <w:marBottom w:val="0"/>
          <w:divBdr>
            <w:top w:val="none" w:sz="0" w:space="0" w:color="auto"/>
            <w:left w:val="none" w:sz="0" w:space="0" w:color="auto"/>
            <w:bottom w:val="none" w:sz="0" w:space="0" w:color="auto"/>
            <w:right w:val="none" w:sz="0" w:space="0" w:color="auto"/>
          </w:divBdr>
        </w:div>
        <w:div w:id="605310533">
          <w:marLeft w:val="640"/>
          <w:marRight w:val="0"/>
          <w:marTop w:val="0"/>
          <w:marBottom w:val="0"/>
          <w:divBdr>
            <w:top w:val="none" w:sz="0" w:space="0" w:color="auto"/>
            <w:left w:val="none" w:sz="0" w:space="0" w:color="auto"/>
            <w:bottom w:val="none" w:sz="0" w:space="0" w:color="auto"/>
            <w:right w:val="none" w:sz="0" w:space="0" w:color="auto"/>
          </w:divBdr>
        </w:div>
        <w:div w:id="655455738">
          <w:marLeft w:val="640"/>
          <w:marRight w:val="0"/>
          <w:marTop w:val="0"/>
          <w:marBottom w:val="0"/>
          <w:divBdr>
            <w:top w:val="none" w:sz="0" w:space="0" w:color="auto"/>
            <w:left w:val="none" w:sz="0" w:space="0" w:color="auto"/>
            <w:bottom w:val="none" w:sz="0" w:space="0" w:color="auto"/>
            <w:right w:val="none" w:sz="0" w:space="0" w:color="auto"/>
          </w:divBdr>
        </w:div>
        <w:div w:id="691301155">
          <w:marLeft w:val="640"/>
          <w:marRight w:val="0"/>
          <w:marTop w:val="0"/>
          <w:marBottom w:val="0"/>
          <w:divBdr>
            <w:top w:val="none" w:sz="0" w:space="0" w:color="auto"/>
            <w:left w:val="none" w:sz="0" w:space="0" w:color="auto"/>
            <w:bottom w:val="none" w:sz="0" w:space="0" w:color="auto"/>
            <w:right w:val="none" w:sz="0" w:space="0" w:color="auto"/>
          </w:divBdr>
        </w:div>
        <w:div w:id="691880652">
          <w:marLeft w:val="640"/>
          <w:marRight w:val="0"/>
          <w:marTop w:val="0"/>
          <w:marBottom w:val="0"/>
          <w:divBdr>
            <w:top w:val="none" w:sz="0" w:space="0" w:color="auto"/>
            <w:left w:val="none" w:sz="0" w:space="0" w:color="auto"/>
            <w:bottom w:val="none" w:sz="0" w:space="0" w:color="auto"/>
            <w:right w:val="none" w:sz="0" w:space="0" w:color="auto"/>
          </w:divBdr>
        </w:div>
        <w:div w:id="692266750">
          <w:marLeft w:val="640"/>
          <w:marRight w:val="0"/>
          <w:marTop w:val="0"/>
          <w:marBottom w:val="0"/>
          <w:divBdr>
            <w:top w:val="none" w:sz="0" w:space="0" w:color="auto"/>
            <w:left w:val="none" w:sz="0" w:space="0" w:color="auto"/>
            <w:bottom w:val="none" w:sz="0" w:space="0" w:color="auto"/>
            <w:right w:val="none" w:sz="0" w:space="0" w:color="auto"/>
          </w:divBdr>
        </w:div>
        <w:div w:id="696008998">
          <w:marLeft w:val="640"/>
          <w:marRight w:val="0"/>
          <w:marTop w:val="0"/>
          <w:marBottom w:val="0"/>
          <w:divBdr>
            <w:top w:val="none" w:sz="0" w:space="0" w:color="auto"/>
            <w:left w:val="none" w:sz="0" w:space="0" w:color="auto"/>
            <w:bottom w:val="none" w:sz="0" w:space="0" w:color="auto"/>
            <w:right w:val="none" w:sz="0" w:space="0" w:color="auto"/>
          </w:divBdr>
        </w:div>
        <w:div w:id="699168701">
          <w:marLeft w:val="640"/>
          <w:marRight w:val="0"/>
          <w:marTop w:val="0"/>
          <w:marBottom w:val="0"/>
          <w:divBdr>
            <w:top w:val="none" w:sz="0" w:space="0" w:color="auto"/>
            <w:left w:val="none" w:sz="0" w:space="0" w:color="auto"/>
            <w:bottom w:val="none" w:sz="0" w:space="0" w:color="auto"/>
            <w:right w:val="none" w:sz="0" w:space="0" w:color="auto"/>
          </w:divBdr>
        </w:div>
        <w:div w:id="703791860">
          <w:marLeft w:val="640"/>
          <w:marRight w:val="0"/>
          <w:marTop w:val="0"/>
          <w:marBottom w:val="0"/>
          <w:divBdr>
            <w:top w:val="none" w:sz="0" w:space="0" w:color="auto"/>
            <w:left w:val="none" w:sz="0" w:space="0" w:color="auto"/>
            <w:bottom w:val="none" w:sz="0" w:space="0" w:color="auto"/>
            <w:right w:val="none" w:sz="0" w:space="0" w:color="auto"/>
          </w:divBdr>
        </w:div>
        <w:div w:id="753169222">
          <w:marLeft w:val="640"/>
          <w:marRight w:val="0"/>
          <w:marTop w:val="0"/>
          <w:marBottom w:val="0"/>
          <w:divBdr>
            <w:top w:val="none" w:sz="0" w:space="0" w:color="auto"/>
            <w:left w:val="none" w:sz="0" w:space="0" w:color="auto"/>
            <w:bottom w:val="none" w:sz="0" w:space="0" w:color="auto"/>
            <w:right w:val="none" w:sz="0" w:space="0" w:color="auto"/>
          </w:divBdr>
        </w:div>
        <w:div w:id="787893648">
          <w:marLeft w:val="640"/>
          <w:marRight w:val="0"/>
          <w:marTop w:val="0"/>
          <w:marBottom w:val="0"/>
          <w:divBdr>
            <w:top w:val="none" w:sz="0" w:space="0" w:color="auto"/>
            <w:left w:val="none" w:sz="0" w:space="0" w:color="auto"/>
            <w:bottom w:val="none" w:sz="0" w:space="0" w:color="auto"/>
            <w:right w:val="none" w:sz="0" w:space="0" w:color="auto"/>
          </w:divBdr>
        </w:div>
        <w:div w:id="858541653">
          <w:marLeft w:val="640"/>
          <w:marRight w:val="0"/>
          <w:marTop w:val="0"/>
          <w:marBottom w:val="0"/>
          <w:divBdr>
            <w:top w:val="none" w:sz="0" w:space="0" w:color="auto"/>
            <w:left w:val="none" w:sz="0" w:space="0" w:color="auto"/>
            <w:bottom w:val="none" w:sz="0" w:space="0" w:color="auto"/>
            <w:right w:val="none" w:sz="0" w:space="0" w:color="auto"/>
          </w:divBdr>
        </w:div>
        <w:div w:id="858785062">
          <w:marLeft w:val="640"/>
          <w:marRight w:val="0"/>
          <w:marTop w:val="0"/>
          <w:marBottom w:val="0"/>
          <w:divBdr>
            <w:top w:val="none" w:sz="0" w:space="0" w:color="auto"/>
            <w:left w:val="none" w:sz="0" w:space="0" w:color="auto"/>
            <w:bottom w:val="none" w:sz="0" w:space="0" w:color="auto"/>
            <w:right w:val="none" w:sz="0" w:space="0" w:color="auto"/>
          </w:divBdr>
        </w:div>
        <w:div w:id="864372098">
          <w:marLeft w:val="640"/>
          <w:marRight w:val="0"/>
          <w:marTop w:val="0"/>
          <w:marBottom w:val="0"/>
          <w:divBdr>
            <w:top w:val="none" w:sz="0" w:space="0" w:color="auto"/>
            <w:left w:val="none" w:sz="0" w:space="0" w:color="auto"/>
            <w:bottom w:val="none" w:sz="0" w:space="0" w:color="auto"/>
            <w:right w:val="none" w:sz="0" w:space="0" w:color="auto"/>
          </w:divBdr>
        </w:div>
        <w:div w:id="915168714">
          <w:marLeft w:val="640"/>
          <w:marRight w:val="0"/>
          <w:marTop w:val="0"/>
          <w:marBottom w:val="0"/>
          <w:divBdr>
            <w:top w:val="none" w:sz="0" w:space="0" w:color="auto"/>
            <w:left w:val="none" w:sz="0" w:space="0" w:color="auto"/>
            <w:bottom w:val="none" w:sz="0" w:space="0" w:color="auto"/>
            <w:right w:val="none" w:sz="0" w:space="0" w:color="auto"/>
          </w:divBdr>
        </w:div>
        <w:div w:id="920525007">
          <w:marLeft w:val="640"/>
          <w:marRight w:val="0"/>
          <w:marTop w:val="0"/>
          <w:marBottom w:val="0"/>
          <w:divBdr>
            <w:top w:val="none" w:sz="0" w:space="0" w:color="auto"/>
            <w:left w:val="none" w:sz="0" w:space="0" w:color="auto"/>
            <w:bottom w:val="none" w:sz="0" w:space="0" w:color="auto"/>
            <w:right w:val="none" w:sz="0" w:space="0" w:color="auto"/>
          </w:divBdr>
        </w:div>
        <w:div w:id="932860437">
          <w:marLeft w:val="640"/>
          <w:marRight w:val="0"/>
          <w:marTop w:val="0"/>
          <w:marBottom w:val="0"/>
          <w:divBdr>
            <w:top w:val="none" w:sz="0" w:space="0" w:color="auto"/>
            <w:left w:val="none" w:sz="0" w:space="0" w:color="auto"/>
            <w:bottom w:val="none" w:sz="0" w:space="0" w:color="auto"/>
            <w:right w:val="none" w:sz="0" w:space="0" w:color="auto"/>
          </w:divBdr>
        </w:div>
        <w:div w:id="971668548">
          <w:marLeft w:val="640"/>
          <w:marRight w:val="0"/>
          <w:marTop w:val="0"/>
          <w:marBottom w:val="0"/>
          <w:divBdr>
            <w:top w:val="none" w:sz="0" w:space="0" w:color="auto"/>
            <w:left w:val="none" w:sz="0" w:space="0" w:color="auto"/>
            <w:bottom w:val="none" w:sz="0" w:space="0" w:color="auto"/>
            <w:right w:val="none" w:sz="0" w:space="0" w:color="auto"/>
          </w:divBdr>
        </w:div>
        <w:div w:id="1008216232">
          <w:marLeft w:val="640"/>
          <w:marRight w:val="0"/>
          <w:marTop w:val="0"/>
          <w:marBottom w:val="0"/>
          <w:divBdr>
            <w:top w:val="none" w:sz="0" w:space="0" w:color="auto"/>
            <w:left w:val="none" w:sz="0" w:space="0" w:color="auto"/>
            <w:bottom w:val="none" w:sz="0" w:space="0" w:color="auto"/>
            <w:right w:val="none" w:sz="0" w:space="0" w:color="auto"/>
          </w:divBdr>
        </w:div>
        <w:div w:id="1045251114">
          <w:marLeft w:val="640"/>
          <w:marRight w:val="0"/>
          <w:marTop w:val="0"/>
          <w:marBottom w:val="0"/>
          <w:divBdr>
            <w:top w:val="none" w:sz="0" w:space="0" w:color="auto"/>
            <w:left w:val="none" w:sz="0" w:space="0" w:color="auto"/>
            <w:bottom w:val="none" w:sz="0" w:space="0" w:color="auto"/>
            <w:right w:val="none" w:sz="0" w:space="0" w:color="auto"/>
          </w:divBdr>
        </w:div>
        <w:div w:id="1089886777">
          <w:marLeft w:val="640"/>
          <w:marRight w:val="0"/>
          <w:marTop w:val="0"/>
          <w:marBottom w:val="0"/>
          <w:divBdr>
            <w:top w:val="none" w:sz="0" w:space="0" w:color="auto"/>
            <w:left w:val="none" w:sz="0" w:space="0" w:color="auto"/>
            <w:bottom w:val="none" w:sz="0" w:space="0" w:color="auto"/>
            <w:right w:val="none" w:sz="0" w:space="0" w:color="auto"/>
          </w:divBdr>
        </w:div>
        <w:div w:id="1142111767">
          <w:marLeft w:val="640"/>
          <w:marRight w:val="0"/>
          <w:marTop w:val="0"/>
          <w:marBottom w:val="0"/>
          <w:divBdr>
            <w:top w:val="none" w:sz="0" w:space="0" w:color="auto"/>
            <w:left w:val="none" w:sz="0" w:space="0" w:color="auto"/>
            <w:bottom w:val="none" w:sz="0" w:space="0" w:color="auto"/>
            <w:right w:val="none" w:sz="0" w:space="0" w:color="auto"/>
          </w:divBdr>
        </w:div>
        <w:div w:id="1143085835">
          <w:marLeft w:val="640"/>
          <w:marRight w:val="0"/>
          <w:marTop w:val="0"/>
          <w:marBottom w:val="0"/>
          <w:divBdr>
            <w:top w:val="none" w:sz="0" w:space="0" w:color="auto"/>
            <w:left w:val="none" w:sz="0" w:space="0" w:color="auto"/>
            <w:bottom w:val="none" w:sz="0" w:space="0" w:color="auto"/>
            <w:right w:val="none" w:sz="0" w:space="0" w:color="auto"/>
          </w:divBdr>
        </w:div>
        <w:div w:id="1150711480">
          <w:marLeft w:val="640"/>
          <w:marRight w:val="0"/>
          <w:marTop w:val="0"/>
          <w:marBottom w:val="0"/>
          <w:divBdr>
            <w:top w:val="none" w:sz="0" w:space="0" w:color="auto"/>
            <w:left w:val="none" w:sz="0" w:space="0" w:color="auto"/>
            <w:bottom w:val="none" w:sz="0" w:space="0" w:color="auto"/>
            <w:right w:val="none" w:sz="0" w:space="0" w:color="auto"/>
          </w:divBdr>
        </w:div>
        <w:div w:id="1173185202">
          <w:marLeft w:val="640"/>
          <w:marRight w:val="0"/>
          <w:marTop w:val="0"/>
          <w:marBottom w:val="0"/>
          <w:divBdr>
            <w:top w:val="none" w:sz="0" w:space="0" w:color="auto"/>
            <w:left w:val="none" w:sz="0" w:space="0" w:color="auto"/>
            <w:bottom w:val="none" w:sz="0" w:space="0" w:color="auto"/>
            <w:right w:val="none" w:sz="0" w:space="0" w:color="auto"/>
          </w:divBdr>
        </w:div>
        <w:div w:id="1193687156">
          <w:marLeft w:val="640"/>
          <w:marRight w:val="0"/>
          <w:marTop w:val="0"/>
          <w:marBottom w:val="0"/>
          <w:divBdr>
            <w:top w:val="none" w:sz="0" w:space="0" w:color="auto"/>
            <w:left w:val="none" w:sz="0" w:space="0" w:color="auto"/>
            <w:bottom w:val="none" w:sz="0" w:space="0" w:color="auto"/>
            <w:right w:val="none" w:sz="0" w:space="0" w:color="auto"/>
          </w:divBdr>
        </w:div>
        <w:div w:id="1219438002">
          <w:marLeft w:val="640"/>
          <w:marRight w:val="0"/>
          <w:marTop w:val="0"/>
          <w:marBottom w:val="0"/>
          <w:divBdr>
            <w:top w:val="none" w:sz="0" w:space="0" w:color="auto"/>
            <w:left w:val="none" w:sz="0" w:space="0" w:color="auto"/>
            <w:bottom w:val="none" w:sz="0" w:space="0" w:color="auto"/>
            <w:right w:val="none" w:sz="0" w:space="0" w:color="auto"/>
          </w:divBdr>
        </w:div>
        <w:div w:id="1222130621">
          <w:marLeft w:val="640"/>
          <w:marRight w:val="0"/>
          <w:marTop w:val="0"/>
          <w:marBottom w:val="0"/>
          <w:divBdr>
            <w:top w:val="none" w:sz="0" w:space="0" w:color="auto"/>
            <w:left w:val="none" w:sz="0" w:space="0" w:color="auto"/>
            <w:bottom w:val="none" w:sz="0" w:space="0" w:color="auto"/>
            <w:right w:val="none" w:sz="0" w:space="0" w:color="auto"/>
          </w:divBdr>
        </w:div>
        <w:div w:id="1235120971">
          <w:marLeft w:val="640"/>
          <w:marRight w:val="0"/>
          <w:marTop w:val="0"/>
          <w:marBottom w:val="0"/>
          <w:divBdr>
            <w:top w:val="none" w:sz="0" w:space="0" w:color="auto"/>
            <w:left w:val="none" w:sz="0" w:space="0" w:color="auto"/>
            <w:bottom w:val="none" w:sz="0" w:space="0" w:color="auto"/>
            <w:right w:val="none" w:sz="0" w:space="0" w:color="auto"/>
          </w:divBdr>
        </w:div>
        <w:div w:id="1249341892">
          <w:marLeft w:val="640"/>
          <w:marRight w:val="0"/>
          <w:marTop w:val="0"/>
          <w:marBottom w:val="0"/>
          <w:divBdr>
            <w:top w:val="none" w:sz="0" w:space="0" w:color="auto"/>
            <w:left w:val="none" w:sz="0" w:space="0" w:color="auto"/>
            <w:bottom w:val="none" w:sz="0" w:space="0" w:color="auto"/>
            <w:right w:val="none" w:sz="0" w:space="0" w:color="auto"/>
          </w:divBdr>
        </w:div>
        <w:div w:id="1337004360">
          <w:marLeft w:val="640"/>
          <w:marRight w:val="0"/>
          <w:marTop w:val="0"/>
          <w:marBottom w:val="0"/>
          <w:divBdr>
            <w:top w:val="none" w:sz="0" w:space="0" w:color="auto"/>
            <w:left w:val="none" w:sz="0" w:space="0" w:color="auto"/>
            <w:bottom w:val="none" w:sz="0" w:space="0" w:color="auto"/>
            <w:right w:val="none" w:sz="0" w:space="0" w:color="auto"/>
          </w:divBdr>
        </w:div>
        <w:div w:id="1418207747">
          <w:marLeft w:val="640"/>
          <w:marRight w:val="0"/>
          <w:marTop w:val="0"/>
          <w:marBottom w:val="0"/>
          <w:divBdr>
            <w:top w:val="none" w:sz="0" w:space="0" w:color="auto"/>
            <w:left w:val="none" w:sz="0" w:space="0" w:color="auto"/>
            <w:bottom w:val="none" w:sz="0" w:space="0" w:color="auto"/>
            <w:right w:val="none" w:sz="0" w:space="0" w:color="auto"/>
          </w:divBdr>
        </w:div>
        <w:div w:id="1477526123">
          <w:marLeft w:val="640"/>
          <w:marRight w:val="0"/>
          <w:marTop w:val="0"/>
          <w:marBottom w:val="0"/>
          <w:divBdr>
            <w:top w:val="none" w:sz="0" w:space="0" w:color="auto"/>
            <w:left w:val="none" w:sz="0" w:space="0" w:color="auto"/>
            <w:bottom w:val="none" w:sz="0" w:space="0" w:color="auto"/>
            <w:right w:val="none" w:sz="0" w:space="0" w:color="auto"/>
          </w:divBdr>
        </w:div>
        <w:div w:id="1477841786">
          <w:marLeft w:val="640"/>
          <w:marRight w:val="0"/>
          <w:marTop w:val="0"/>
          <w:marBottom w:val="0"/>
          <w:divBdr>
            <w:top w:val="none" w:sz="0" w:space="0" w:color="auto"/>
            <w:left w:val="none" w:sz="0" w:space="0" w:color="auto"/>
            <w:bottom w:val="none" w:sz="0" w:space="0" w:color="auto"/>
            <w:right w:val="none" w:sz="0" w:space="0" w:color="auto"/>
          </w:divBdr>
        </w:div>
        <w:div w:id="1483498803">
          <w:marLeft w:val="640"/>
          <w:marRight w:val="0"/>
          <w:marTop w:val="0"/>
          <w:marBottom w:val="0"/>
          <w:divBdr>
            <w:top w:val="none" w:sz="0" w:space="0" w:color="auto"/>
            <w:left w:val="none" w:sz="0" w:space="0" w:color="auto"/>
            <w:bottom w:val="none" w:sz="0" w:space="0" w:color="auto"/>
            <w:right w:val="none" w:sz="0" w:space="0" w:color="auto"/>
          </w:divBdr>
        </w:div>
        <w:div w:id="1504128493">
          <w:marLeft w:val="640"/>
          <w:marRight w:val="0"/>
          <w:marTop w:val="0"/>
          <w:marBottom w:val="0"/>
          <w:divBdr>
            <w:top w:val="none" w:sz="0" w:space="0" w:color="auto"/>
            <w:left w:val="none" w:sz="0" w:space="0" w:color="auto"/>
            <w:bottom w:val="none" w:sz="0" w:space="0" w:color="auto"/>
            <w:right w:val="none" w:sz="0" w:space="0" w:color="auto"/>
          </w:divBdr>
        </w:div>
        <w:div w:id="1509825616">
          <w:marLeft w:val="640"/>
          <w:marRight w:val="0"/>
          <w:marTop w:val="0"/>
          <w:marBottom w:val="0"/>
          <w:divBdr>
            <w:top w:val="none" w:sz="0" w:space="0" w:color="auto"/>
            <w:left w:val="none" w:sz="0" w:space="0" w:color="auto"/>
            <w:bottom w:val="none" w:sz="0" w:space="0" w:color="auto"/>
            <w:right w:val="none" w:sz="0" w:space="0" w:color="auto"/>
          </w:divBdr>
        </w:div>
        <w:div w:id="1549950371">
          <w:marLeft w:val="640"/>
          <w:marRight w:val="0"/>
          <w:marTop w:val="0"/>
          <w:marBottom w:val="0"/>
          <w:divBdr>
            <w:top w:val="none" w:sz="0" w:space="0" w:color="auto"/>
            <w:left w:val="none" w:sz="0" w:space="0" w:color="auto"/>
            <w:bottom w:val="none" w:sz="0" w:space="0" w:color="auto"/>
            <w:right w:val="none" w:sz="0" w:space="0" w:color="auto"/>
          </w:divBdr>
        </w:div>
        <w:div w:id="1567035628">
          <w:marLeft w:val="640"/>
          <w:marRight w:val="0"/>
          <w:marTop w:val="0"/>
          <w:marBottom w:val="0"/>
          <w:divBdr>
            <w:top w:val="none" w:sz="0" w:space="0" w:color="auto"/>
            <w:left w:val="none" w:sz="0" w:space="0" w:color="auto"/>
            <w:bottom w:val="none" w:sz="0" w:space="0" w:color="auto"/>
            <w:right w:val="none" w:sz="0" w:space="0" w:color="auto"/>
          </w:divBdr>
        </w:div>
        <w:div w:id="1618371339">
          <w:marLeft w:val="640"/>
          <w:marRight w:val="0"/>
          <w:marTop w:val="0"/>
          <w:marBottom w:val="0"/>
          <w:divBdr>
            <w:top w:val="none" w:sz="0" w:space="0" w:color="auto"/>
            <w:left w:val="none" w:sz="0" w:space="0" w:color="auto"/>
            <w:bottom w:val="none" w:sz="0" w:space="0" w:color="auto"/>
            <w:right w:val="none" w:sz="0" w:space="0" w:color="auto"/>
          </w:divBdr>
        </w:div>
        <w:div w:id="1748457590">
          <w:marLeft w:val="640"/>
          <w:marRight w:val="0"/>
          <w:marTop w:val="0"/>
          <w:marBottom w:val="0"/>
          <w:divBdr>
            <w:top w:val="none" w:sz="0" w:space="0" w:color="auto"/>
            <w:left w:val="none" w:sz="0" w:space="0" w:color="auto"/>
            <w:bottom w:val="none" w:sz="0" w:space="0" w:color="auto"/>
            <w:right w:val="none" w:sz="0" w:space="0" w:color="auto"/>
          </w:divBdr>
        </w:div>
        <w:div w:id="1794711497">
          <w:marLeft w:val="640"/>
          <w:marRight w:val="0"/>
          <w:marTop w:val="0"/>
          <w:marBottom w:val="0"/>
          <w:divBdr>
            <w:top w:val="none" w:sz="0" w:space="0" w:color="auto"/>
            <w:left w:val="none" w:sz="0" w:space="0" w:color="auto"/>
            <w:bottom w:val="none" w:sz="0" w:space="0" w:color="auto"/>
            <w:right w:val="none" w:sz="0" w:space="0" w:color="auto"/>
          </w:divBdr>
        </w:div>
        <w:div w:id="1937787760">
          <w:marLeft w:val="640"/>
          <w:marRight w:val="0"/>
          <w:marTop w:val="0"/>
          <w:marBottom w:val="0"/>
          <w:divBdr>
            <w:top w:val="none" w:sz="0" w:space="0" w:color="auto"/>
            <w:left w:val="none" w:sz="0" w:space="0" w:color="auto"/>
            <w:bottom w:val="none" w:sz="0" w:space="0" w:color="auto"/>
            <w:right w:val="none" w:sz="0" w:space="0" w:color="auto"/>
          </w:divBdr>
        </w:div>
        <w:div w:id="1948003884">
          <w:marLeft w:val="640"/>
          <w:marRight w:val="0"/>
          <w:marTop w:val="0"/>
          <w:marBottom w:val="0"/>
          <w:divBdr>
            <w:top w:val="none" w:sz="0" w:space="0" w:color="auto"/>
            <w:left w:val="none" w:sz="0" w:space="0" w:color="auto"/>
            <w:bottom w:val="none" w:sz="0" w:space="0" w:color="auto"/>
            <w:right w:val="none" w:sz="0" w:space="0" w:color="auto"/>
          </w:divBdr>
        </w:div>
        <w:div w:id="1987129324">
          <w:marLeft w:val="640"/>
          <w:marRight w:val="0"/>
          <w:marTop w:val="0"/>
          <w:marBottom w:val="0"/>
          <w:divBdr>
            <w:top w:val="none" w:sz="0" w:space="0" w:color="auto"/>
            <w:left w:val="none" w:sz="0" w:space="0" w:color="auto"/>
            <w:bottom w:val="none" w:sz="0" w:space="0" w:color="auto"/>
            <w:right w:val="none" w:sz="0" w:space="0" w:color="auto"/>
          </w:divBdr>
        </w:div>
        <w:div w:id="2053068619">
          <w:marLeft w:val="640"/>
          <w:marRight w:val="0"/>
          <w:marTop w:val="0"/>
          <w:marBottom w:val="0"/>
          <w:divBdr>
            <w:top w:val="none" w:sz="0" w:space="0" w:color="auto"/>
            <w:left w:val="none" w:sz="0" w:space="0" w:color="auto"/>
            <w:bottom w:val="none" w:sz="0" w:space="0" w:color="auto"/>
            <w:right w:val="none" w:sz="0" w:space="0" w:color="auto"/>
          </w:divBdr>
        </w:div>
        <w:div w:id="2057702178">
          <w:marLeft w:val="640"/>
          <w:marRight w:val="0"/>
          <w:marTop w:val="0"/>
          <w:marBottom w:val="0"/>
          <w:divBdr>
            <w:top w:val="none" w:sz="0" w:space="0" w:color="auto"/>
            <w:left w:val="none" w:sz="0" w:space="0" w:color="auto"/>
            <w:bottom w:val="none" w:sz="0" w:space="0" w:color="auto"/>
            <w:right w:val="none" w:sz="0" w:space="0" w:color="auto"/>
          </w:divBdr>
        </w:div>
        <w:div w:id="2063476123">
          <w:marLeft w:val="640"/>
          <w:marRight w:val="0"/>
          <w:marTop w:val="0"/>
          <w:marBottom w:val="0"/>
          <w:divBdr>
            <w:top w:val="none" w:sz="0" w:space="0" w:color="auto"/>
            <w:left w:val="none" w:sz="0" w:space="0" w:color="auto"/>
            <w:bottom w:val="none" w:sz="0" w:space="0" w:color="auto"/>
            <w:right w:val="none" w:sz="0" w:space="0" w:color="auto"/>
          </w:divBdr>
        </w:div>
        <w:div w:id="2067532696">
          <w:marLeft w:val="640"/>
          <w:marRight w:val="0"/>
          <w:marTop w:val="0"/>
          <w:marBottom w:val="0"/>
          <w:divBdr>
            <w:top w:val="none" w:sz="0" w:space="0" w:color="auto"/>
            <w:left w:val="none" w:sz="0" w:space="0" w:color="auto"/>
            <w:bottom w:val="none" w:sz="0" w:space="0" w:color="auto"/>
            <w:right w:val="none" w:sz="0" w:space="0" w:color="auto"/>
          </w:divBdr>
        </w:div>
        <w:div w:id="2123458038">
          <w:marLeft w:val="640"/>
          <w:marRight w:val="0"/>
          <w:marTop w:val="0"/>
          <w:marBottom w:val="0"/>
          <w:divBdr>
            <w:top w:val="none" w:sz="0" w:space="0" w:color="auto"/>
            <w:left w:val="none" w:sz="0" w:space="0" w:color="auto"/>
            <w:bottom w:val="none" w:sz="0" w:space="0" w:color="auto"/>
            <w:right w:val="none" w:sz="0" w:space="0" w:color="auto"/>
          </w:divBdr>
        </w:div>
      </w:divsChild>
    </w:div>
    <w:div w:id="164976840">
      <w:bodyDiv w:val="1"/>
      <w:marLeft w:val="0"/>
      <w:marRight w:val="0"/>
      <w:marTop w:val="0"/>
      <w:marBottom w:val="0"/>
      <w:divBdr>
        <w:top w:val="none" w:sz="0" w:space="0" w:color="auto"/>
        <w:left w:val="none" w:sz="0" w:space="0" w:color="auto"/>
        <w:bottom w:val="none" w:sz="0" w:space="0" w:color="auto"/>
        <w:right w:val="none" w:sz="0" w:space="0" w:color="auto"/>
      </w:divBdr>
      <w:divsChild>
        <w:div w:id="69432127">
          <w:marLeft w:val="640"/>
          <w:marRight w:val="0"/>
          <w:marTop w:val="0"/>
          <w:marBottom w:val="0"/>
          <w:divBdr>
            <w:top w:val="none" w:sz="0" w:space="0" w:color="auto"/>
            <w:left w:val="none" w:sz="0" w:space="0" w:color="auto"/>
            <w:bottom w:val="none" w:sz="0" w:space="0" w:color="auto"/>
            <w:right w:val="none" w:sz="0" w:space="0" w:color="auto"/>
          </w:divBdr>
        </w:div>
        <w:div w:id="83386175">
          <w:marLeft w:val="640"/>
          <w:marRight w:val="0"/>
          <w:marTop w:val="0"/>
          <w:marBottom w:val="0"/>
          <w:divBdr>
            <w:top w:val="none" w:sz="0" w:space="0" w:color="auto"/>
            <w:left w:val="none" w:sz="0" w:space="0" w:color="auto"/>
            <w:bottom w:val="none" w:sz="0" w:space="0" w:color="auto"/>
            <w:right w:val="none" w:sz="0" w:space="0" w:color="auto"/>
          </w:divBdr>
        </w:div>
        <w:div w:id="103232438">
          <w:marLeft w:val="640"/>
          <w:marRight w:val="0"/>
          <w:marTop w:val="0"/>
          <w:marBottom w:val="0"/>
          <w:divBdr>
            <w:top w:val="none" w:sz="0" w:space="0" w:color="auto"/>
            <w:left w:val="none" w:sz="0" w:space="0" w:color="auto"/>
            <w:bottom w:val="none" w:sz="0" w:space="0" w:color="auto"/>
            <w:right w:val="none" w:sz="0" w:space="0" w:color="auto"/>
          </w:divBdr>
        </w:div>
        <w:div w:id="127553644">
          <w:marLeft w:val="640"/>
          <w:marRight w:val="0"/>
          <w:marTop w:val="0"/>
          <w:marBottom w:val="0"/>
          <w:divBdr>
            <w:top w:val="none" w:sz="0" w:space="0" w:color="auto"/>
            <w:left w:val="none" w:sz="0" w:space="0" w:color="auto"/>
            <w:bottom w:val="none" w:sz="0" w:space="0" w:color="auto"/>
            <w:right w:val="none" w:sz="0" w:space="0" w:color="auto"/>
          </w:divBdr>
        </w:div>
        <w:div w:id="131753980">
          <w:marLeft w:val="640"/>
          <w:marRight w:val="0"/>
          <w:marTop w:val="0"/>
          <w:marBottom w:val="0"/>
          <w:divBdr>
            <w:top w:val="none" w:sz="0" w:space="0" w:color="auto"/>
            <w:left w:val="none" w:sz="0" w:space="0" w:color="auto"/>
            <w:bottom w:val="none" w:sz="0" w:space="0" w:color="auto"/>
            <w:right w:val="none" w:sz="0" w:space="0" w:color="auto"/>
          </w:divBdr>
        </w:div>
        <w:div w:id="133909764">
          <w:marLeft w:val="640"/>
          <w:marRight w:val="0"/>
          <w:marTop w:val="0"/>
          <w:marBottom w:val="0"/>
          <w:divBdr>
            <w:top w:val="none" w:sz="0" w:space="0" w:color="auto"/>
            <w:left w:val="none" w:sz="0" w:space="0" w:color="auto"/>
            <w:bottom w:val="none" w:sz="0" w:space="0" w:color="auto"/>
            <w:right w:val="none" w:sz="0" w:space="0" w:color="auto"/>
          </w:divBdr>
        </w:div>
        <w:div w:id="229077972">
          <w:marLeft w:val="640"/>
          <w:marRight w:val="0"/>
          <w:marTop w:val="0"/>
          <w:marBottom w:val="0"/>
          <w:divBdr>
            <w:top w:val="none" w:sz="0" w:space="0" w:color="auto"/>
            <w:left w:val="none" w:sz="0" w:space="0" w:color="auto"/>
            <w:bottom w:val="none" w:sz="0" w:space="0" w:color="auto"/>
            <w:right w:val="none" w:sz="0" w:space="0" w:color="auto"/>
          </w:divBdr>
        </w:div>
        <w:div w:id="236289457">
          <w:marLeft w:val="640"/>
          <w:marRight w:val="0"/>
          <w:marTop w:val="0"/>
          <w:marBottom w:val="0"/>
          <w:divBdr>
            <w:top w:val="none" w:sz="0" w:space="0" w:color="auto"/>
            <w:left w:val="none" w:sz="0" w:space="0" w:color="auto"/>
            <w:bottom w:val="none" w:sz="0" w:space="0" w:color="auto"/>
            <w:right w:val="none" w:sz="0" w:space="0" w:color="auto"/>
          </w:divBdr>
        </w:div>
        <w:div w:id="280843060">
          <w:marLeft w:val="640"/>
          <w:marRight w:val="0"/>
          <w:marTop w:val="0"/>
          <w:marBottom w:val="0"/>
          <w:divBdr>
            <w:top w:val="none" w:sz="0" w:space="0" w:color="auto"/>
            <w:left w:val="none" w:sz="0" w:space="0" w:color="auto"/>
            <w:bottom w:val="none" w:sz="0" w:space="0" w:color="auto"/>
            <w:right w:val="none" w:sz="0" w:space="0" w:color="auto"/>
          </w:divBdr>
        </w:div>
        <w:div w:id="313753506">
          <w:marLeft w:val="640"/>
          <w:marRight w:val="0"/>
          <w:marTop w:val="0"/>
          <w:marBottom w:val="0"/>
          <w:divBdr>
            <w:top w:val="none" w:sz="0" w:space="0" w:color="auto"/>
            <w:left w:val="none" w:sz="0" w:space="0" w:color="auto"/>
            <w:bottom w:val="none" w:sz="0" w:space="0" w:color="auto"/>
            <w:right w:val="none" w:sz="0" w:space="0" w:color="auto"/>
          </w:divBdr>
        </w:div>
        <w:div w:id="336079168">
          <w:marLeft w:val="640"/>
          <w:marRight w:val="0"/>
          <w:marTop w:val="0"/>
          <w:marBottom w:val="0"/>
          <w:divBdr>
            <w:top w:val="none" w:sz="0" w:space="0" w:color="auto"/>
            <w:left w:val="none" w:sz="0" w:space="0" w:color="auto"/>
            <w:bottom w:val="none" w:sz="0" w:space="0" w:color="auto"/>
            <w:right w:val="none" w:sz="0" w:space="0" w:color="auto"/>
          </w:divBdr>
        </w:div>
        <w:div w:id="340205344">
          <w:marLeft w:val="640"/>
          <w:marRight w:val="0"/>
          <w:marTop w:val="0"/>
          <w:marBottom w:val="0"/>
          <w:divBdr>
            <w:top w:val="none" w:sz="0" w:space="0" w:color="auto"/>
            <w:left w:val="none" w:sz="0" w:space="0" w:color="auto"/>
            <w:bottom w:val="none" w:sz="0" w:space="0" w:color="auto"/>
            <w:right w:val="none" w:sz="0" w:space="0" w:color="auto"/>
          </w:divBdr>
        </w:div>
        <w:div w:id="342781099">
          <w:marLeft w:val="640"/>
          <w:marRight w:val="0"/>
          <w:marTop w:val="0"/>
          <w:marBottom w:val="0"/>
          <w:divBdr>
            <w:top w:val="none" w:sz="0" w:space="0" w:color="auto"/>
            <w:left w:val="none" w:sz="0" w:space="0" w:color="auto"/>
            <w:bottom w:val="none" w:sz="0" w:space="0" w:color="auto"/>
            <w:right w:val="none" w:sz="0" w:space="0" w:color="auto"/>
          </w:divBdr>
        </w:div>
        <w:div w:id="371728830">
          <w:marLeft w:val="640"/>
          <w:marRight w:val="0"/>
          <w:marTop w:val="0"/>
          <w:marBottom w:val="0"/>
          <w:divBdr>
            <w:top w:val="none" w:sz="0" w:space="0" w:color="auto"/>
            <w:left w:val="none" w:sz="0" w:space="0" w:color="auto"/>
            <w:bottom w:val="none" w:sz="0" w:space="0" w:color="auto"/>
            <w:right w:val="none" w:sz="0" w:space="0" w:color="auto"/>
          </w:divBdr>
        </w:div>
        <w:div w:id="487595527">
          <w:marLeft w:val="640"/>
          <w:marRight w:val="0"/>
          <w:marTop w:val="0"/>
          <w:marBottom w:val="0"/>
          <w:divBdr>
            <w:top w:val="none" w:sz="0" w:space="0" w:color="auto"/>
            <w:left w:val="none" w:sz="0" w:space="0" w:color="auto"/>
            <w:bottom w:val="none" w:sz="0" w:space="0" w:color="auto"/>
            <w:right w:val="none" w:sz="0" w:space="0" w:color="auto"/>
          </w:divBdr>
        </w:div>
        <w:div w:id="493881501">
          <w:marLeft w:val="640"/>
          <w:marRight w:val="0"/>
          <w:marTop w:val="0"/>
          <w:marBottom w:val="0"/>
          <w:divBdr>
            <w:top w:val="none" w:sz="0" w:space="0" w:color="auto"/>
            <w:left w:val="none" w:sz="0" w:space="0" w:color="auto"/>
            <w:bottom w:val="none" w:sz="0" w:space="0" w:color="auto"/>
            <w:right w:val="none" w:sz="0" w:space="0" w:color="auto"/>
          </w:divBdr>
        </w:div>
        <w:div w:id="552540370">
          <w:marLeft w:val="640"/>
          <w:marRight w:val="0"/>
          <w:marTop w:val="0"/>
          <w:marBottom w:val="0"/>
          <w:divBdr>
            <w:top w:val="none" w:sz="0" w:space="0" w:color="auto"/>
            <w:left w:val="none" w:sz="0" w:space="0" w:color="auto"/>
            <w:bottom w:val="none" w:sz="0" w:space="0" w:color="auto"/>
            <w:right w:val="none" w:sz="0" w:space="0" w:color="auto"/>
          </w:divBdr>
        </w:div>
        <w:div w:id="615408286">
          <w:marLeft w:val="640"/>
          <w:marRight w:val="0"/>
          <w:marTop w:val="0"/>
          <w:marBottom w:val="0"/>
          <w:divBdr>
            <w:top w:val="none" w:sz="0" w:space="0" w:color="auto"/>
            <w:left w:val="none" w:sz="0" w:space="0" w:color="auto"/>
            <w:bottom w:val="none" w:sz="0" w:space="0" w:color="auto"/>
            <w:right w:val="none" w:sz="0" w:space="0" w:color="auto"/>
          </w:divBdr>
        </w:div>
        <w:div w:id="657851381">
          <w:marLeft w:val="640"/>
          <w:marRight w:val="0"/>
          <w:marTop w:val="0"/>
          <w:marBottom w:val="0"/>
          <w:divBdr>
            <w:top w:val="none" w:sz="0" w:space="0" w:color="auto"/>
            <w:left w:val="none" w:sz="0" w:space="0" w:color="auto"/>
            <w:bottom w:val="none" w:sz="0" w:space="0" w:color="auto"/>
            <w:right w:val="none" w:sz="0" w:space="0" w:color="auto"/>
          </w:divBdr>
        </w:div>
        <w:div w:id="670136490">
          <w:marLeft w:val="640"/>
          <w:marRight w:val="0"/>
          <w:marTop w:val="0"/>
          <w:marBottom w:val="0"/>
          <w:divBdr>
            <w:top w:val="none" w:sz="0" w:space="0" w:color="auto"/>
            <w:left w:val="none" w:sz="0" w:space="0" w:color="auto"/>
            <w:bottom w:val="none" w:sz="0" w:space="0" w:color="auto"/>
            <w:right w:val="none" w:sz="0" w:space="0" w:color="auto"/>
          </w:divBdr>
        </w:div>
        <w:div w:id="675301707">
          <w:marLeft w:val="640"/>
          <w:marRight w:val="0"/>
          <w:marTop w:val="0"/>
          <w:marBottom w:val="0"/>
          <w:divBdr>
            <w:top w:val="none" w:sz="0" w:space="0" w:color="auto"/>
            <w:left w:val="none" w:sz="0" w:space="0" w:color="auto"/>
            <w:bottom w:val="none" w:sz="0" w:space="0" w:color="auto"/>
            <w:right w:val="none" w:sz="0" w:space="0" w:color="auto"/>
          </w:divBdr>
        </w:div>
        <w:div w:id="676424874">
          <w:marLeft w:val="640"/>
          <w:marRight w:val="0"/>
          <w:marTop w:val="0"/>
          <w:marBottom w:val="0"/>
          <w:divBdr>
            <w:top w:val="none" w:sz="0" w:space="0" w:color="auto"/>
            <w:left w:val="none" w:sz="0" w:space="0" w:color="auto"/>
            <w:bottom w:val="none" w:sz="0" w:space="0" w:color="auto"/>
            <w:right w:val="none" w:sz="0" w:space="0" w:color="auto"/>
          </w:divBdr>
        </w:div>
        <w:div w:id="703868380">
          <w:marLeft w:val="640"/>
          <w:marRight w:val="0"/>
          <w:marTop w:val="0"/>
          <w:marBottom w:val="0"/>
          <w:divBdr>
            <w:top w:val="none" w:sz="0" w:space="0" w:color="auto"/>
            <w:left w:val="none" w:sz="0" w:space="0" w:color="auto"/>
            <w:bottom w:val="none" w:sz="0" w:space="0" w:color="auto"/>
            <w:right w:val="none" w:sz="0" w:space="0" w:color="auto"/>
          </w:divBdr>
        </w:div>
        <w:div w:id="724989701">
          <w:marLeft w:val="640"/>
          <w:marRight w:val="0"/>
          <w:marTop w:val="0"/>
          <w:marBottom w:val="0"/>
          <w:divBdr>
            <w:top w:val="none" w:sz="0" w:space="0" w:color="auto"/>
            <w:left w:val="none" w:sz="0" w:space="0" w:color="auto"/>
            <w:bottom w:val="none" w:sz="0" w:space="0" w:color="auto"/>
            <w:right w:val="none" w:sz="0" w:space="0" w:color="auto"/>
          </w:divBdr>
        </w:div>
        <w:div w:id="784731789">
          <w:marLeft w:val="640"/>
          <w:marRight w:val="0"/>
          <w:marTop w:val="0"/>
          <w:marBottom w:val="0"/>
          <w:divBdr>
            <w:top w:val="none" w:sz="0" w:space="0" w:color="auto"/>
            <w:left w:val="none" w:sz="0" w:space="0" w:color="auto"/>
            <w:bottom w:val="none" w:sz="0" w:space="0" w:color="auto"/>
            <w:right w:val="none" w:sz="0" w:space="0" w:color="auto"/>
          </w:divBdr>
        </w:div>
        <w:div w:id="962350322">
          <w:marLeft w:val="640"/>
          <w:marRight w:val="0"/>
          <w:marTop w:val="0"/>
          <w:marBottom w:val="0"/>
          <w:divBdr>
            <w:top w:val="none" w:sz="0" w:space="0" w:color="auto"/>
            <w:left w:val="none" w:sz="0" w:space="0" w:color="auto"/>
            <w:bottom w:val="none" w:sz="0" w:space="0" w:color="auto"/>
            <w:right w:val="none" w:sz="0" w:space="0" w:color="auto"/>
          </w:divBdr>
        </w:div>
        <w:div w:id="978069817">
          <w:marLeft w:val="640"/>
          <w:marRight w:val="0"/>
          <w:marTop w:val="0"/>
          <w:marBottom w:val="0"/>
          <w:divBdr>
            <w:top w:val="none" w:sz="0" w:space="0" w:color="auto"/>
            <w:left w:val="none" w:sz="0" w:space="0" w:color="auto"/>
            <w:bottom w:val="none" w:sz="0" w:space="0" w:color="auto"/>
            <w:right w:val="none" w:sz="0" w:space="0" w:color="auto"/>
          </w:divBdr>
        </w:div>
        <w:div w:id="994606701">
          <w:marLeft w:val="640"/>
          <w:marRight w:val="0"/>
          <w:marTop w:val="0"/>
          <w:marBottom w:val="0"/>
          <w:divBdr>
            <w:top w:val="none" w:sz="0" w:space="0" w:color="auto"/>
            <w:left w:val="none" w:sz="0" w:space="0" w:color="auto"/>
            <w:bottom w:val="none" w:sz="0" w:space="0" w:color="auto"/>
            <w:right w:val="none" w:sz="0" w:space="0" w:color="auto"/>
          </w:divBdr>
        </w:div>
        <w:div w:id="1042900553">
          <w:marLeft w:val="640"/>
          <w:marRight w:val="0"/>
          <w:marTop w:val="0"/>
          <w:marBottom w:val="0"/>
          <w:divBdr>
            <w:top w:val="none" w:sz="0" w:space="0" w:color="auto"/>
            <w:left w:val="none" w:sz="0" w:space="0" w:color="auto"/>
            <w:bottom w:val="none" w:sz="0" w:space="0" w:color="auto"/>
            <w:right w:val="none" w:sz="0" w:space="0" w:color="auto"/>
          </w:divBdr>
        </w:div>
        <w:div w:id="1060440537">
          <w:marLeft w:val="640"/>
          <w:marRight w:val="0"/>
          <w:marTop w:val="0"/>
          <w:marBottom w:val="0"/>
          <w:divBdr>
            <w:top w:val="none" w:sz="0" w:space="0" w:color="auto"/>
            <w:left w:val="none" w:sz="0" w:space="0" w:color="auto"/>
            <w:bottom w:val="none" w:sz="0" w:space="0" w:color="auto"/>
            <w:right w:val="none" w:sz="0" w:space="0" w:color="auto"/>
          </w:divBdr>
        </w:div>
        <w:div w:id="1097143076">
          <w:marLeft w:val="640"/>
          <w:marRight w:val="0"/>
          <w:marTop w:val="0"/>
          <w:marBottom w:val="0"/>
          <w:divBdr>
            <w:top w:val="none" w:sz="0" w:space="0" w:color="auto"/>
            <w:left w:val="none" w:sz="0" w:space="0" w:color="auto"/>
            <w:bottom w:val="none" w:sz="0" w:space="0" w:color="auto"/>
            <w:right w:val="none" w:sz="0" w:space="0" w:color="auto"/>
          </w:divBdr>
        </w:div>
        <w:div w:id="1102606463">
          <w:marLeft w:val="640"/>
          <w:marRight w:val="0"/>
          <w:marTop w:val="0"/>
          <w:marBottom w:val="0"/>
          <w:divBdr>
            <w:top w:val="none" w:sz="0" w:space="0" w:color="auto"/>
            <w:left w:val="none" w:sz="0" w:space="0" w:color="auto"/>
            <w:bottom w:val="none" w:sz="0" w:space="0" w:color="auto"/>
            <w:right w:val="none" w:sz="0" w:space="0" w:color="auto"/>
          </w:divBdr>
        </w:div>
        <w:div w:id="1125005220">
          <w:marLeft w:val="640"/>
          <w:marRight w:val="0"/>
          <w:marTop w:val="0"/>
          <w:marBottom w:val="0"/>
          <w:divBdr>
            <w:top w:val="none" w:sz="0" w:space="0" w:color="auto"/>
            <w:left w:val="none" w:sz="0" w:space="0" w:color="auto"/>
            <w:bottom w:val="none" w:sz="0" w:space="0" w:color="auto"/>
            <w:right w:val="none" w:sz="0" w:space="0" w:color="auto"/>
          </w:divBdr>
        </w:div>
        <w:div w:id="1143735420">
          <w:marLeft w:val="640"/>
          <w:marRight w:val="0"/>
          <w:marTop w:val="0"/>
          <w:marBottom w:val="0"/>
          <w:divBdr>
            <w:top w:val="none" w:sz="0" w:space="0" w:color="auto"/>
            <w:left w:val="none" w:sz="0" w:space="0" w:color="auto"/>
            <w:bottom w:val="none" w:sz="0" w:space="0" w:color="auto"/>
            <w:right w:val="none" w:sz="0" w:space="0" w:color="auto"/>
          </w:divBdr>
        </w:div>
        <w:div w:id="1232277645">
          <w:marLeft w:val="640"/>
          <w:marRight w:val="0"/>
          <w:marTop w:val="0"/>
          <w:marBottom w:val="0"/>
          <w:divBdr>
            <w:top w:val="none" w:sz="0" w:space="0" w:color="auto"/>
            <w:left w:val="none" w:sz="0" w:space="0" w:color="auto"/>
            <w:bottom w:val="none" w:sz="0" w:space="0" w:color="auto"/>
            <w:right w:val="none" w:sz="0" w:space="0" w:color="auto"/>
          </w:divBdr>
        </w:div>
        <w:div w:id="1288273311">
          <w:marLeft w:val="640"/>
          <w:marRight w:val="0"/>
          <w:marTop w:val="0"/>
          <w:marBottom w:val="0"/>
          <w:divBdr>
            <w:top w:val="none" w:sz="0" w:space="0" w:color="auto"/>
            <w:left w:val="none" w:sz="0" w:space="0" w:color="auto"/>
            <w:bottom w:val="none" w:sz="0" w:space="0" w:color="auto"/>
            <w:right w:val="none" w:sz="0" w:space="0" w:color="auto"/>
          </w:divBdr>
        </w:div>
        <w:div w:id="1335302176">
          <w:marLeft w:val="640"/>
          <w:marRight w:val="0"/>
          <w:marTop w:val="0"/>
          <w:marBottom w:val="0"/>
          <w:divBdr>
            <w:top w:val="none" w:sz="0" w:space="0" w:color="auto"/>
            <w:left w:val="none" w:sz="0" w:space="0" w:color="auto"/>
            <w:bottom w:val="none" w:sz="0" w:space="0" w:color="auto"/>
            <w:right w:val="none" w:sz="0" w:space="0" w:color="auto"/>
          </w:divBdr>
        </w:div>
        <w:div w:id="1393769859">
          <w:marLeft w:val="640"/>
          <w:marRight w:val="0"/>
          <w:marTop w:val="0"/>
          <w:marBottom w:val="0"/>
          <w:divBdr>
            <w:top w:val="none" w:sz="0" w:space="0" w:color="auto"/>
            <w:left w:val="none" w:sz="0" w:space="0" w:color="auto"/>
            <w:bottom w:val="none" w:sz="0" w:space="0" w:color="auto"/>
            <w:right w:val="none" w:sz="0" w:space="0" w:color="auto"/>
          </w:divBdr>
        </w:div>
        <w:div w:id="1401294979">
          <w:marLeft w:val="640"/>
          <w:marRight w:val="0"/>
          <w:marTop w:val="0"/>
          <w:marBottom w:val="0"/>
          <w:divBdr>
            <w:top w:val="none" w:sz="0" w:space="0" w:color="auto"/>
            <w:left w:val="none" w:sz="0" w:space="0" w:color="auto"/>
            <w:bottom w:val="none" w:sz="0" w:space="0" w:color="auto"/>
            <w:right w:val="none" w:sz="0" w:space="0" w:color="auto"/>
          </w:divBdr>
        </w:div>
        <w:div w:id="1422022875">
          <w:marLeft w:val="640"/>
          <w:marRight w:val="0"/>
          <w:marTop w:val="0"/>
          <w:marBottom w:val="0"/>
          <w:divBdr>
            <w:top w:val="none" w:sz="0" w:space="0" w:color="auto"/>
            <w:left w:val="none" w:sz="0" w:space="0" w:color="auto"/>
            <w:bottom w:val="none" w:sz="0" w:space="0" w:color="auto"/>
            <w:right w:val="none" w:sz="0" w:space="0" w:color="auto"/>
          </w:divBdr>
        </w:div>
        <w:div w:id="1426268338">
          <w:marLeft w:val="640"/>
          <w:marRight w:val="0"/>
          <w:marTop w:val="0"/>
          <w:marBottom w:val="0"/>
          <w:divBdr>
            <w:top w:val="none" w:sz="0" w:space="0" w:color="auto"/>
            <w:left w:val="none" w:sz="0" w:space="0" w:color="auto"/>
            <w:bottom w:val="none" w:sz="0" w:space="0" w:color="auto"/>
            <w:right w:val="none" w:sz="0" w:space="0" w:color="auto"/>
          </w:divBdr>
        </w:div>
        <w:div w:id="1459881963">
          <w:marLeft w:val="640"/>
          <w:marRight w:val="0"/>
          <w:marTop w:val="0"/>
          <w:marBottom w:val="0"/>
          <w:divBdr>
            <w:top w:val="none" w:sz="0" w:space="0" w:color="auto"/>
            <w:left w:val="none" w:sz="0" w:space="0" w:color="auto"/>
            <w:bottom w:val="none" w:sz="0" w:space="0" w:color="auto"/>
            <w:right w:val="none" w:sz="0" w:space="0" w:color="auto"/>
          </w:divBdr>
        </w:div>
        <w:div w:id="1461142946">
          <w:marLeft w:val="640"/>
          <w:marRight w:val="0"/>
          <w:marTop w:val="0"/>
          <w:marBottom w:val="0"/>
          <w:divBdr>
            <w:top w:val="none" w:sz="0" w:space="0" w:color="auto"/>
            <w:left w:val="none" w:sz="0" w:space="0" w:color="auto"/>
            <w:bottom w:val="none" w:sz="0" w:space="0" w:color="auto"/>
            <w:right w:val="none" w:sz="0" w:space="0" w:color="auto"/>
          </w:divBdr>
        </w:div>
        <w:div w:id="1493638687">
          <w:marLeft w:val="640"/>
          <w:marRight w:val="0"/>
          <w:marTop w:val="0"/>
          <w:marBottom w:val="0"/>
          <w:divBdr>
            <w:top w:val="none" w:sz="0" w:space="0" w:color="auto"/>
            <w:left w:val="none" w:sz="0" w:space="0" w:color="auto"/>
            <w:bottom w:val="none" w:sz="0" w:space="0" w:color="auto"/>
            <w:right w:val="none" w:sz="0" w:space="0" w:color="auto"/>
          </w:divBdr>
        </w:div>
        <w:div w:id="1547791374">
          <w:marLeft w:val="640"/>
          <w:marRight w:val="0"/>
          <w:marTop w:val="0"/>
          <w:marBottom w:val="0"/>
          <w:divBdr>
            <w:top w:val="none" w:sz="0" w:space="0" w:color="auto"/>
            <w:left w:val="none" w:sz="0" w:space="0" w:color="auto"/>
            <w:bottom w:val="none" w:sz="0" w:space="0" w:color="auto"/>
            <w:right w:val="none" w:sz="0" w:space="0" w:color="auto"/>
          </w:divBdr>
        </w:div>
        <w:div w:id="1588995596">
          <w:marLeft w:val="640"/>
          <w:marRight w:val="0"/>
          <w:marTop w:val="0"/>
          <w:marBottom w:val="0"/>
          <w:divBdr>
            <w:top w:val="none" w:sz="0" w:space="0" w:color="auto"/>
            <w:left w:val="none" w:sz="0" w:space="0" w:color="auto"/>
            <w:bottom w:val="none" w:sz="0" w:space="0" w:color="auto"/>
            <w:right w:val="none" w:sz="0" w:space="0" w:color="auto"/>
          </w:divBdr>
        </w:div>
        <w:div w:id="1608659161">
          <w:marLeft w:val="640"/>
          <w:marRight w:val="0"/>
          <w:marTop w:val="0"/>
          <w:marBottom w:val="0"/>
          <w:divBdr>
            <w:top w:val="none" w:sz="0" w:space="0" w:color="auto"/>
            <w:left w:val="none" w:sz="0" w:space="0" w:color="auto"/>
            <w:bottom w:val="none" w:sz="0" w:space="0" w:color="auto"/>
            <w:right w:val="none" w:sz="0" w:space="0" w:color="auto"/>
          </w:divBdr>
        </w:div>
        <w:div w:id="1632975513">
          <w:marLeft w:val="640"/>
          <w:marRight w:val="0"/>
          <w:marTop w:val="0"/>
          <w:marBottom w:val="0"/>
          <w:divBdr>
            <w:top w:val="none" w:sz="0" w:space="0" w:color="auto"/>
            <w:left w:val="none" w:sz="0" w:space="0" w:color="auto"/>
            <w:bottom w:val="none" w:sz="0" w:space="0" w:color="auto"/>
            <w:right w:val="none" w:sz="0" w:space="0" w:color="auto"/>
          </w:divBdr>
        </w:div>
        <w:div w:id="1634407354">
          <w:marLeft w:val="640"/>
          <w:marRight w:val="0"/>
          <w:marTop w:val="0"/>
          <w:marBottom w:val="0"/>
          <w:divBdr>
            <w:top w:val="none" w:sz="0" w:space="0" w:color="auto"/>
            <w:left w:val="none" w:sz="0" w:space="0" w:color="auto"/>
            <w:bottom w:val="none" w:sz="0" w:space="0" w:color="auto"/>
            <w:right w:val="none" w:sz="0" w:space="0" w:color="auto"/>
          </w:divBdr>
        </w:div>
        <w:div w:id="1645162305">
          <w:marLeft w:val="640"/>
          <w:marRight w:val="0"/>
          <w:marTop w:val="0"/>
          <w:marBottom w:val="0"/>
          <w:divBdr>
            <w:top w:val="none" w:sz="0" w:space="0" w:color="auto"/>
            <w:left w:val="none" w:sz="0" w:space="0" w:color="auto"/>
            <w:bottom w:val="none" w:sz="0" w:space="0" w:color="auto"/>
            <w:right w:val="none" w:sz="0" w:space="0" w:color="auto"/>
          </w:divBdr>
        </w:div>
        <w:div w:id="1694040399">
          <w:marLeft w:val="640"/>
          <w:marRight w:val="0"/>
          <w:marTop w:val="0"/>
          <w:marBottom w:val="0"/>
          <w:divBdr>
            <w:top w:val="none" w:sz="0" w:space="0" w:color="auto"/>
            <w:left w:val="none" w:sz="0" w:space="0" w:color="auto"/>
            <w:bottom w:val="none" w:sz="0" w:space="0" w:color="auto"/>
            <w:right w:val="none" w:sz="0" w:space="0" w:color="auto"/>
          </w:divBdr>
        </w:div>
        <w:div w:id="1719089281">
          <w:marLeft w:val="640"/>
          <w:marRight w:val="0"/>
          <w:marTop w:val="0"/>
          <w:marBottom w:val="0"/>
          <w:divBdr>
            <w:top w:val="none" w:sz="0" w:space="0" w:color="auto"/>
            <w:left w:val="none" w:sz="0" w:space="0" w:color="auto"/>
            <w:bottom w:val="none" w:sz="0" w:space="0" w:color="auto"/>
            <w:right w:val="none" w:sz="0" w:space="0" w:color="auto"/>
          </w:divBdr>
        </w:div>
        <w:div w:id="1730955383">
          <w:marLeft w:val="640"/>
          <w:marRight w:val="0"/>
          <w:marTop w:val="0"/>
          <w:marBottom w:val="0"/>
          <w:divBdr>
            <w:top w:val="none" w:sz="0" w:space="0" w:color="auto"/>
            <w:left w:val="none" w:sz="0" w:space="0" w:color="auto"/>
            <w:bottom w:val="none" w:sz="0" w:space="0" w:color="auto"/>
            <w:right w:val="none" w:sz="0" w:space="0" w:color="auto"/>
          </w:divBdr>
        </w:div>
        <w:div w:id="1789817637">
          <w:marLeft w:val="640"/>
          <w:marRight w:val="0"/>
          <w:marTop w:val="0"/>
          <w:marBottom w:val="0"/>
          <w:divBdr>
            <w:top w:val="none" w:sz="0" w:space="0" w:color="auto"/>
            <w:left w:val="none" w:sz="0" w:space="0" w:color="auto"/>
            <w:bottom w:val="none" w:sz="0" w:space="0" w:color="auto"/>
            <w:right w:val="none" w:sz="0" w:space="0" w:color="auto"/>
          </w:divBdr>
        </w:div>
        <w:div w:id="1823963991">
          <w:marLeft w:val="640"/>
          <w:marRight w:val="0"/>
          <w:marTop w:val="0"/>
          <w:marBottom w:val="0"/>
          <w:divBdr>
            <w:top w:val="none" w:sz="0" w:space="0" w:color="auto"/>
            <w:left w:val="none" w:sz="0" w:space="0" w:color="auto"/>
            <w:bottom w:val="none" w:sz="0" w:space="0" w:color="auto"/>
            <w:right w:val="none" w:sz="0" w:space="0" w:color="auto"/>
          </w:divBdr>
        </w:div>
        <w:div w:id="1825779798">
          <w:marLeft w:val="640"/>
          <w:marRight w:val="0"/>
          <w:marTop w:val="0"/>
          <w:marBottom w:val="0"/>
          <w:divBdr>
            <w:top w:val="none" w:sz="0" w:space="0" w:color="auto"/>
            <w:left w:val="none" w:sz="0" w:space="0" w:color="auto"/>
            <w:bottom w:val="none" w:sz="0" w:space="0" w:color="auto"/>
            <w:right w:val="none" w:sz="0" w:space="0" w:color="auto"/>
          </w:divBdr>
        </w:div>
        <w:div w:id="1852259013">
          <w:marLeft w:val="640"/>
          <w:marRight w:val="0"/>
          <w:marTop w:val="0"/>
          <w:marBottom w:val="0"/>
          <w:divBdr>
            <w:top w:val="none" w:sz="0" w:space="0" w:color="auto"/>
            <w:left w:val="none" w:sz="0" w:space="0" w:color="auto"/>
            <w:bottom w:val="none" w:sz="0" w:space="0" w:color="auto"/>
            <w:right w:val="none" w:sz="0" w:space="0" w:color="auto"/>
          </w:divBdr>
        </w:div>
        <w:div w:id="1866747947">
          <w:marLeft w:val="640"/>
          <w:marRight w:val="0"/>
          <w:marTop w:val="0"/>
          <w:marBottom w:val="0"/>
          <w:divBdr>
            <w:top w:val="none" w:sz="0" w:space="0" w:color="auto"/>
            <w:left w:val="none" w:sz="0" w:space="0" w:color="auto"/>
            <w:bottom w:val="none" w:sz="0" w:space="0" w:color="auto"/>
            <w:right w:val="none" w:sz="0" w:space="0" w:color="auto"/>
          </w:divBdr>
        </w:div>
        <w:div w:id="1892957926">
          <w:marLeft w:val="640"/>
          <w:marRight w:val="0"/>
          <w:marTop w:val="0"/>
          <w:marBottom w:val="0"/>
          <w:divBdr>
            <w:top w:val="none" w:sz="0" w:space="0" w:color="auto"/>
            <w:left w:val="none" w:sz="0" w:space="0" w:color="auto"/>
            <w:bottom w:val="none" w:sz="0" w:space="0" w:color="auto"/>
            <w:right w:val="none" w:sz="0" w:space="0" w:color="auto"/>
          </w:divBdr>
        </w:div>
        <w:div w:id="1896163990">
          <w:marLeft w:val="640"/>
          <w:marRight w:val="0"/>
          <w:marTop w:val="0"/>
          <w:marBottom w:val="0"/>
          <w:divBdr>
            <w:top w:val="none" w:sz="0" w:space="0" w:color="auto"/>
            <w:left w:val="none" w:sz="0" w:space="0" w:color="auto"/>
            <w:bottom w:val="none" w:sz="0" w:space="0" w:color="auto"/>
            <w:right w:val="none" w:sz="0" w:space="0" w:color="auto"/>
          </w:divBdr>
        </w:div>
        <w:div w:id="1933852342">
          <w:marLeft w:val="640"/>
          <w:marRight w:val="0"/>
          <w:marTop w:val="0"/>
          <w:marBottom w:val="0"/>
          <w:divBdr>
            <w:top w:val="none" w:sz="0" w:space="0" w:color="auto"/>
            <w:left w:val="none" w:sz="0" w:space="0" w:color="auto"/>
            <w:bottom w:val="none" w:sz="0" w:space="0" w:color="auto"/>
            <w:right w:val="none" w:sz="0" w:space="0" w:color="auto"/>
          </w:divBdr>
        </w:div>
        <w:div w:id="1949580356">
          <w:marLeft w:val="640"/>
          <w:marRight w:val="0"/>
          <w:marTop w:val="0"/>
          <w:marBottom w:val="0"/>
          <w:divBdr>
            <w:top w:val="none" w:sz="0" w:space="0" w:color="auto"/>
            <w:left w:val="none" w:sz="0" w:space="0" w:color="auto"/>
            <w:bottom w:val="none" w:sz="0" w:space="0" w:color="auto"/>
            <w:right w:val="none" w:sz="0" w:space="0" w:color="auto"/>
          </w:divBdr>
        </w:div>
        <w:div w:id="1995717365">
          <w:marLeft w:val="640"/>
          <w:marRight w:val="0"/>
          <w:marTop w:val="0"/>
          <w:marBottom w:val="0"/>
          <w:divBdr>
            <w:top w:val="none" w:sz="0" w:space="0" w:color="auto"/>
            <w:left w:val="none" w:sz="0" w:space="0" w:color="auto"/>
            <w:bottom w:val="none" w:sz="0" w:space="0" w:color="auto"/>
            <w:right w:val="none" w:sz="0" w:space="0" w:color="auto"/>
          </w:divBdr>
        </w:div>
        <w:div w:id="2011640308">
          <w:marLeft w:val="640"/>
          <w:marRight w:val="0"/>
          <w:marTop w:val="0"/>
          <w:marBottom w:val="0"/>
          <w:divBdr>
            <w:top w:val="none" w:sz="0" w:space="0" w:color="auto"/>
            <w:left w:val="none" w:sz="0" w:space="0" w:color="auto"/>
            <w:bottom w:val="none" w:sz="0" w:space="0" w:color="auto"/>
            <w:right w:val="none" w:sz="0" w:space="0" w:color="auto"/>
          </w:divBdr>
        </w:div>
        <w:div w:id="2127578620">
          <w:marLeft w:val="640"/>
          <w:marRight w:val="0"/>
          <w:marTop w:val="0"/>
          <w:marBottom w:val="0"/>
          <w:divBdr>
            <w:top w:val="none" w:sz="0" w:space="0" w:color="auto"/>
            <w:left w:val="none" w:sz="0" w:space="0" w:color="auto"/>
            <w:bottom w:val="none" w:sz="0" w:space="0" w:color="auto"/>
            <w:right w:val="none" w:sz="0" w:space="0" w:color="auto"/>
          </w:divBdr>
        </w:div>
      </w:divsChild>
    </w:div>
    <w:div w:id="165636453">
      <w:bodyDiv w:val="1"/>
      <w:marLeft w:val="0"/>
      <w:marRight w:val="0"/>
      <w:marTop w:val="0"/>
      <w:marBottom w:val="0"/>
      <w:divBdr>
        <w:top w:val="none" w:sz="0" w:space="0" w:color="auto"/>
        <w:left w:val="none" w:sz="0" w:space="0" w:color="auto"/>
        <w:bottom w:val="none" w:sz="0" w:space="0" w:color="auto"/>
        <w:right w:val="none" w:sz="0" w:space="0" w:color="auto"/>
      </w:divBdr>
      <w:divsChild>
        <w:div w:id="1376925554">
          <w:marLeft w:val="480"/>
          <w:marRight w:val="0"/>
          <w:marTop w:val="0"/>
          <w:marBottom w:val="0"/>
          <w:divBdr>
            <w:top w:val="none" w:sz="0" w:space="0" w:color="auto"/>
            <w:left w:val="none" w:sz="0" w:space="0" w:color="auto"/>
            <w:bottom w:val="none" w:sz="0" w:space="0" w:color="auto"/>
            <w:right w:val="none" w:sz="0" w:space="0" w:color="auto"/>
          </w:divBdr>
        </w:div>
        <w:div w:id="687875512">
          <w:marLeft w:val="480"/>
          <w:marRight w:val="0"/>
          <w:marTop w:val="0"/>
          <w:marBottom w:val="0"/>
          <w:divBdr>
            <w:top w:val="none" w:sz="0" w:space="0" w:color="auto"/>
            <w:left w:val="none" w:sz="0" w:space="0" w:color="auto"/>
            <w:bottom w:val="none" w:sz="0" w:space="0" w:color="auto"/>
            <w:right w:val="none" w:sz="0" w:space="0" w:color="auto"/>
          </w:divBdr>
        </w:div>
        <w:div w:id="129786112">
          <w:marLeft w:val="480"/>
          <w:marRight w:val="0"/>
          <w:marTop w:val="0"/>
          <w:marBottom w:val="0"/>
          <w:divBdr>
            <w:top w:val="none" w:sz="0" w:space="0" w:color="auto"/>
            <w:left w:val="none" w:sz="0" w:space="0" w:color="auto"/>
            <w:bottom w:val="none" w:sz="0" w:space="0" w:color="auto"/>
            <w:right w:val="none" w:sz="0" w:space="0" w:color="auto"/>
          </w:divBdr>
        </w:div>
        <w:div w:id="1802074778">
          <w:marLeft w:val="480"/>
          <w:marRight w:val="0"/>
          <w:marTop w:val="0"/>
          <w:marBottom w:val="0"/>
          <w:divBdr>
            <w:top w:val="none" w:sz="0" w:space="0" w:color="auto"/>
            <w:left w:val="none" w:sz="0" w:space="0" w:color="auto"/>
            <w:bottom w:val="none" w:sz="0" w:space="0" w:color="auto"/>
            <w:right w:val="none" w:sz="0" w:space="0" w:color="auto"/>
          </w:divBdr>
        </w:div>
        <w:div w:id="259603645">
          <w:marLeft w:val="480"/>
          <w:marRight w:val="0"/>
          <w:marTop w:val="0"/>
          <w:marBottom w:val="0"/>
          <w:divBdr>
            <w:top w:val="none" w:sz="0" w:space="0" w:color="auto"/>
            <w:left w:val="none" w:sz="0" w:space="0" w:color="auto"/>
            <w:bottom w:val="none" w:sz="0" w:space="0" w:color="auto"/>
            <w:right w:val="none" w:sz="0" w:space="0" w:color="auto"/>
          </w:divBdr>
        </w:div>
        <w:div w:id="969357573">
          <w:marLeft w:val="480"/>
          <w:marRight w:val="0"/>
          <w:marTop w:val="0"/>
          <w:marBottom w:val="0"/>
          <w:divBdr>
            <w:top w:val="none" w:sz="0" w:space="0" w:color="auto"/>
            <w:left w:val="none" w:sz="0" w:space="0" w:color="auto"/>
            <w:bottom w:val="none" w:sz="0" w:space="0" w:color="auto"/>
            <w:right w:val="none" w:sz="0" w:space="0" w:color="auto"/>
          </w:divBdr>
        </w:div>
        <w:div w:id="186254897">
          <w:marLeft w:val="480"/>
          <w:marRight w:val="0"/>
          <w:marTop w:val="0"/>
          <w:marBottom w:val="0"/>
          <w:divBdr>
            <w:top w:val="none" w:sz="0" w:space="0" w:color="auto"/>
            <w:left w:val="none" w:sz="0" w:space="0" w:color="auto"/>
            <w:bottom w:val="none" w:sz="0" w:space="0" w:color="auto"/>
            <w:right w:val="none" w:sz="0" w:space="0" w:color="auto"/>
          </w:divBdr>
        </w:div>
      </w:divsChild>
    </w:div>
    <w:div w:id="202597020">
      <w:bodyDiv w:val="1"/>
      <w:marLeft w:val="0"/>
      <w:marRight w:val="0"/>
      <w:marTop w:val="0"/>
      <w:marBottom w:val="0"/>
      <w:divBdr>
        <w:top w:val="none" w:sz="0" w:space="0" w:color="auto"/>
        <w:left w:val="none" w:sz="0" w:space="0" w:color="auto"/>
        <w:bottom w:val="none" w:sz="0" w:space="0" w:color="auto"/>
        <w:right w:val="none" w:sz="0" w:space="0" w:color="auto"/>
      </w:divBdr>
      <w:divsChild>
        <w:div w:id="1778216668">
          <w:marLeft w:val="480"/>
          <w:marRight w:val="0"/>
          <w:marTop w:val="0"/>
          <w:marBottom w:val="0"/>
          <w:divBdr>
            <w:top w:val="none" w:sz="0" w:space="0" w:color="auto"/>
            <w:left w:val="none" w:sz="0" w:space="0" w:color="auto"/>
            <w:bottom w:val="none" w:sz="0" w:space="0" w:color="auto"/>
            <w:right w:val="none" w:sz="0" w:space="0" w:color="auto"/>
          </w:divBdr>
        </w:div>
        <w:div w:id="202447602">
          <w:marLeft w:val="480"/>
          <w:marRight w:val="0"/>
          <w:marTop w:val="0"/>
          <w:marBottom w:val="0"/>
          <w:divBdr>
            <w:top w:val="none" w:sz="0" w:space="0" w:color="auto"/>
            <w:left w:val="none" w:sz="0" w:space="0" w:color="auto"/>
            <w:bottom w:val="none" w:sz="0" w:space="0" w:color="auto"/>
            <w:right w:val="none" w:sz="0" w:space="0" w:color="auto"/>
          </w:divBdr>
        </w:div>
        <w:div w:id="993072536">
          <w:marLeft w:val="480"/>
          <w:marRight w:val="0"/>
          <w:marTop w:val="0"/>
          <w:marBottom w:val="0"/>
          <w:divBdr>
            <w:top w:val="none" w:sz="0" w:space="0" w:color="auto"/>
            <w:left w:val="none" w:sz="0" w:space="0" w:color="auto"/>
            <w:bottom w:val="none" w:sz="0" w:space="0" w:color="auto"/>
            <w:right w:val="none" w:sz="0" w:space="0" w:color="auto"/>
          </w:divBdr>
        </w:div>
        <w:div w:id="1949893509">
          <w:marLeft w:val="480"/>
          <w:marRight w:val="0"/>
          <w:marTop w:val="0"/>
          <w:marBottom w:val="0"/>
          <w:divBdr>
            <w:top w:val="none" w:sz="0" w:space="0" w:color="auto"/>
            <w:left w:val="none" w:sz="0" w:space="0" w:color="auto"/>
            <w:bottom w:val="none" w:sz="0" w:space="0" w:color="auto"/>
            <w:right w:val="none" w:sz="0" w:space="0" w:color="auto"/>
          </w:divBdr>
        </w:div>
        <w:div w:id="493497120">
          <w:marLeft w:val="480"/>
          <w:marRight w:val="0"/>
          <w:marTop w:val="0"/>
          <w:marBottom w:val="0"/>
          <w:divBdr>
            <w:top w:val="none" w:sz="0" w:space="0" w:color="auto"/>
            <w:left w:val="none" w:sz="0" w:space="0" w:color="auto"/>
            <w:bottom w:val="none" w:sz="0" w:space="0" w:color="auto"/>
            <w:right w:val="none" w:sz="0" w:space="0" w:color="auto"/>
          </w:divBdr>
        </w:div>
        <w:div w:id="2126923458">
          <w:marLeft w:val="480"/>
          <w:marRight w:val="0"/>
          <w:marTop w:val="0"/>
          <w:marBottom w:val="0"/>
          <w:divBdr>
            <w:top w:val="none" w:sz="0" w:space="0" w:color="auto"/>
            <w:left w:val="none" w:sz="0" w:space="0" w:color="auto"/>
            <w:bottom w:val="none" w:sz="0" w:space="0" w:color="auto"/>
            <w:right w:val="none" w:sz="0" w:space="0" w:color="auto"/>
          </w:divBdr>
        </w:div>
      </w:divsChild>
    </w:div>
    <w:div w:id="203954123">
      <w:bodyDiv w:val="1"/>
      <w:marLeft w:val="0"/>
      <w:marRight w:val="0"/>
      <w:marTop w:val="0"/>
      <w:marBottom w:val="0"/>
      <w:divBdr>
        <w:top w:val="none" w:sz="0" w:space="0" w:color="auto"/>
        <w:left w:val="none" w:sz="0" w:space="0" w:color="auto"/>
        <w:bottom w:val="none" w:sz="0" w:space="0" w:color="auto"/>
        <w:right w:val="none" w:sz="0" w:space="0" w:color="auto"/>
      </w:divBdr>
      <w:divsChild>
        <w:div w:id="1088964207">
          <w:marLeft w:val="480"/>
          <w:marRight w:val="0"/>
          <w:marTop w:val="0"/>
          <w:marBottom w:val="0"/>
          <w:divBdr>
            <w:top w:val="none" w:sz="0" w:space="0" w:color="auto"/>
            <w:left w:val="none" w:sz="0" w:space="0" w:color="auto"/>
            <w:bottom w:val="none" w:sz="0" w:space="0" w:color="auto"/>
            <w:right w:val="none" w:sz="0" w:space="0" w:color="auto"/>
          </w:divBdr>
        </w:div>
        <w:div w:id="680399364">
          <w:marLeft w:val="480"/>
          <w:marRight w:val="0"/>
          <w:marTop w:val="0"/>
          <w:marBottom w:val="0"/>
          <w:divBdr>
            <w:top w:val="none" w:sz="0" w:space="0" w:color="auto"/>
            <w:left w:val="none" w:sz="0" w:space="0" w:color="auto"/>
            <w:bottom w:val="none" w:sz="0" w:space="0" w:color="auto"/>
            <w:right w:val="none" w:sz="0" w:space="0" w:color="auto"/>
          </w:divBdr>
        </w:div>
        <w:div w:id="1135368695">
          <w:marLeft w:val="480"/>
          <w:marRight w:val="0"/>
          <w:marTop w:val="0"/>
          <w:marBottom w:val="0"/>
          <w:divBdr>
            <w:top w:val="none" w:sz="0" w:space="0" w:color="auto"/>
            <w:left w:val="none" w:sz="0" w:space="0" w:color="auto"/>
            <w:bottom w:val="none" w:sz="0" w:space="0" w:color="auto"/>
            <w:right w:val="none" w:sz="0" w:space="0" w:color="auto"/>
          </w:divBdr>
        </w:div>
        <w:div w:id="111635049">
          <w:marLeft w:val="480"/>
          <w:marRight w:val="0"/>
          <w:marTop w:val="0"/>
          <w:marBottom w:val="0"/>
          <w:divBdr>
            <w:top w:val="none" w:sz="0" w:space="0" w:color="auto"/>
            <w:left w:val="none" w:sz="0" w:space="0" w:color="auto"/>
            <w:bottom w:val="none" w:sz="0" w:space="0" w:color="auto"/>
            <w:right w:val="none" w:sz="0" w:space="0" w:color="auto"/>
          </w:divBdr>
        </w:div>
        <w:div w:id="1981377382">
          <w:marLeft w:val="480"/>
          <w:marRight w:val="0"/>
          <w:marTop w:val="0"/>
          <w:marBottom w:val="0"/>
          <w:divBdr>
            <w:top w:val="none" w:sz="0" w:space="0" w:color="auto"/>
            <w:left w:val="none" w:sz="0" w:space="0" w:color="auto"/>
            <w:bottom w:val="none" w:sz="0" w:space="0" w:color="auto"/>
            <w:right w:val="none" w:sz="0" w:space="0" w:color="auto"/>
          </w:divBdr>
        </w:div>
        <w:div w:id="1152869603">
          <w:marLeft w:val="480"/>
          <w:marRight w:val="0"/>
          <w:marTop w:val="0"/>
          <w:marBottom w:val="0"/>
          <w:divBdr>
            <w:top w:val="none" w:sz="0" w:space="0" w:color="auto"/>
            <w:left w:val="none" w:sz="0" w:space="0" w:color="auto"/>
            <w:bottom w:val="none" w:sz="0" w:space="0" w:color="auto"/>
            <w:right w:val="none" w:sz="0" w:space="0" w:color="auto"/>
          </w:divBdr>
        </w:div>
      </w:divsChild>
    </w:div>
    <w:div w:id="204683309">
      <w:bodyDiv w:val="1"/>
      <w:marLeft w:val="0"/>
      <w:marRight w:val="0"/>
      <w:marTop w:val="0"/>
      <w:marBottom w:val="0"/>
      <w:divBdr>
        <w:top w:val="none" w:sz="0" w:space="0" w:color="auto"/>
        <w:left w:val="none" w:sz="0" w:space="0" w:color="auto"/>
        <w:bottom w:val="none" w:sz="0" w:space="0" w:color="auto"/>
        <w:right w:val="none" w:sz="0" w:space="0" w:color="auto"/>
      </w:divBdr>
    </w:div>
    <w:div w:id="233050344">
      <w:bodyDiv w:val="1"/>
      <w:marLeft w:val="0"/>
      <w:marRight w:val="0"/>
      <w:marTop w:val="0"/>
      <w:marBottom w:val="0"/>
      <w:divBdr>
        <w:top w:val="none" w:sz="0" w:space="0" w:color="auto"/>
        <w:left w:val="none" w:sz="0" w:space="0" w:color="auto"/>
        <w:bottom w:val="none" w:sz="0" w:space="0" w:color="auto"/>
        <w:right w:val="none" w:sz="0" w:space="0" w:color="auto"/>
      </w:divBdr>
    </w:div>
    <w:div w:id="242304744">
      <w:bodyDiv w:val="1"/>
      <w:marLeft w:val="0"/>
      <w:marRight w:val="0"/>
      <w:marTop w:val="0"/>
      <w:marBottom w:val="0"/>
      <w:divBdr>
        <w:top w:val="none" w:sz="0" w:space="0" w:color="auto"/>
        <w:left w:val="none" w:sz="0" w:space="0" w:color="auto"/>
        <w:bottom w:val="none" w:sz="0" w:space="0" w:color="auto"/>
        <w:right w:val="none" w:sz="0" w:space="0" w:color="auto"/>
      </w:divBdr>
    </w:div>
    <w:div w:id="244151934">
      <w:bodyDiv w:val="1"/>
      <w:marLeft w:val="0"/>
      <w:marRight w:val="0"/>
      <w:marTop w:val="0"/>
      <w:marBottom w:val="0"/>
      <w:divBdr>
        <w:top w:val="none" w:sz="0" w:space="0" w:color="auto"/>
        <w:left w:val="none" w:sz="0" w:space="0" w:color="auto"/>
        <w:bottom w:val="none" w:sz="0" w:space="0" w:color="auto"/>
        <w:right w:val="none" w:sz="0" w:space="0" w:color="auto"/>
      </w:divBdr>
    </w:div>
    <w:div w:id="262961325">
      <w:bodyDiv w:val="1"/>
      <w:marLeft w:val="0"/>
      <w:marRight w:val="0"/>
      <w:marTop w:val="0"/>
      <w:marBottom w:val="0"/>
      <w:divBdr>
        <w:top w:val="none" w:sz="0" w:space="0" w:color="auto"/>
        <w:left w:val="none" w:sz="0" w:space="0" w:color="auto"/>
        <w:bottom w:val="none" w:sz="0" w:space="0" w:color="auto"/>
        <w:right w:val="none" w:sz="0" w:space="0" w:color="auto"/>
      </w:divBdr>
    </w:div>
    <w:div w:id="295842008">
      <w:bodyDiv w:val="1"/>
      <w:marLeft w:val="0"/>
      <w:marRight w:val="0"/>
      <w:marTop w:val="0"/>
      <w:marBottom w:val="0"/>
      <w:divBdr>
        <w:top w:val="none" w:sz="0" w:space="0" w:color="auto"/>
        <w:left w:val="none" w:sz="0" w:space="0" w:color="auto"/>
        <w:bottom w:val="none" w:sz="0" w:space="0" w:color="auto"/>
        <w:right w:val="none" w:sz="0" w:space="0" w:color="auto"/>
      </w:divBdr>
      <w:divsChild>
        <w:div w:id="755790062">
          <w:marLeft w:val="480"/>
          <w:marRight w:val="0"/>
          <w:marTop w:val="0"/>
          <w:marBottom w:val="0"/>
          <w:divBdr>
            <w:top w:val="none" w:sz="0" w:space="0" w:color="auto"/>
            <w:left w:val="none" w:sz="0" w:space="0" w:color="auto"/>
            <w:bottom w:val="none" w:sz="0" w:space="0" w:color="auto"/>
            <w:right w:val="none" w:sz="0" w:space="0" w:color="auto"/>
          </w:divBdr>
        </w:div>
      </w:divsChild>
    </w:div>
    <w:div w:id="313949979">
      <w:bodyDiv w:val="1"/>
      <w:marLeft w:val="0"/>
      <w:marRight w:val="0"/>
      <w:marTop w:val="0"/>
      <w:marBottom w:val="0"/>
      <w:divBdr>
        <w:top w:val="none" w:sz="0" w:space="0" w:color="auto"/>
        <w:left w:val="none" w:sz="0" w:space="0" w:color="auto"/>
        <w:bottom w:val="none" w:sz="0" w:space="0" w:color="auto"/>
        <w:right w:val="none" w:sz="0" w:space="0" w:color="auto"/>
      </w:divBdr>
      <w:divsChild>
        <w:div w:id="353846686">
          <w:marLeft w:val="480"/>
          <w:marRight w:val="0"/>
          <w:marTop w:val="0"/>
          <w:marBottom w:val="0"/>
          <w:divBdr>
            <w:top w:val="none" w:sz="0" w:space="0" w:color="auto"/>
            <w:left w:val="none" w:sz="0" w:space="0" w:color="auto"/>
            <w:bottom w:val="none" w:sz="0" w:space="0" w:color="auto"/>
            <w:right w:val="none" w:sz="0" w:space="0" w:color="auto"/>
          </w:divBdr>
        </w:div>
        <w:div w:id="1657294208">
          <w:marLeft w:val="480"/>
          <w:marRight w:val="0"/>
          <w:marTop w:val="0"/>
          <w:marBottom w:val="0"/>
          <w:divBdr>
            <w:top w:val="none" w:sz="0" w:space="0" w:color="auto"/>
            <w:left w:val="none" w:sz="0" w:space="0" w:color="auto"/>
            <w:bottom w:val="none" w:sz="0" w:space="0" w:color="auto"/>
            <w:right w:val="none" w:sz="0" w:space="0" w:color="auto"/>
          </w:divBdr>
        </w:div>
        <w:div w:id="1055160333">
          <w:marLeft w:val="480"/>
          <w:marRight w:val="0"/>
          <w:marTop w:val="0"/>
          <w:marBottom w:val="0"/>
          <w:divBdr>
            <w:top w:val="none" w:sz="0" w:space="0" w:color="auto"/>
            <w:left w:val="none" w:sz="0" w:space="0" w:color="auto"/>
            <w:bottom w:val="none" w:sz="0" w:space="0" w:color="auto"/>
            <w:right w:val="none" w:sz="0" w:space="0" w:color="auto"/>
          </w:divBdr>
        </w:div>
        <w:div w:id="1121606911">
          <w:marLeft w:val="480"/>
          <w:marRight w:val="0"/>
          <w:marTop w:val="0"/>
          <w:marBottom w:val="0"/>
          <w:divBdr>
            <w:top w:val="none" w:sz="0" w:space="0" w:color="auto"/>
            <w:left w:val="none" w:sz="0" w:space="0" w:color="auto"/>
            <w:bottom w:val="none" w:sz="0" w:space="0" w:color="auto"/>
            <w:right w:val="none" w:sz="0" w:space="0" w:color="auto"/>
          </w:divBdr>
        </w:div>
        <w:div w:id="1444105325">
          <w:marLeft w:val="480"/>
          <w:marRight w:val="0"/>
          <w:marTop w:val="0"/>
          <w:marBottom w:val="0"/>
          <w:divBdr>
            <w:top w:val="none" w:sz="0" w:space="0" w:color="auto"/>
            <w:left w:val="none" w:sz="0" w:space="0" w:color="auto"/>
            <w:bottom w:val="none" w:sz="0" w:space="0" w:color="auto"/>
            <w:right w:val="none" w:sz="0" w:space="0" w:color="auto"/>
          </w:divBdr>
        </w:div>
      </w:divsChild>
    </w:div>
    <w:div w:id="326397430">
      <w:bodyDiv w:val="1"/>
      <w:marLeft w:val="0"/>
      <w:marRight w:val="0"/>
      <w:marTop w:val="0"/>
      <w:marBottom w:val="0"/>
      <w:divBdr>
        <w:top w:val="none" w:sz="0" w:space="0" w:color="auto"/>
        <w:left w:val="none" w:sz="0" w:space="0" w:color="auto"/>
        <w:bottom w:val="none" w:sz="0" w:space="0" w:color="auto"/>
        <w:right w:val="none" w:sz="0" w:space="0" w:color="auto"/>
      </w:divBdr>
    </w:div>
    <w:div w:id="336617103">
      <w:bodyDiv w:val="1"/>
      <w:marLeft w:val="0"/>
      <w:marRight w:val="0"/>
      <w:marTop w:val="0"/>
      <w:marBottom w:val="0"/>
      <w:divBdr>
        <w:top w:val="none" w:sz="0" w:space="0" w:color="auto"/>
        <w:left w:val="none" w:sz="0" w:space="0" w:color="auto"/>
        <w:bottom w:val="none" w:sz="0" w:space="0" w:color="auto"/>
        <w:right w:val="none" w:sz="0" w:space="0" w:color="auto"/>
      </w:divBdr>
    </w:div>
    <w:div w:id="344401057">
      <w:bodyDiv w:val="1"/>
      <w:marLeft w:val="0"/>
      <w:marRight w:val="0"/>
      <w:marTop w:val="0"/>
      <w:marBottom w:val="0"/>
      <w:divBdr>
        <w:top w:val="none" w:sz="0" w:space="0" w:color="auto"/>
        <w:left w:val="none" w:sz="0" w:space="0" w:color="auto"/>
        <w:bottom w:val="none" w:sz="0" w:space="0" w:color="auto"/>
        <w:right w:val="none" w:sz="0" w:space="0" w:color="auto"/>
      </w:divBdr>
      <w:divsChild>
        <w:div w:id="436367803">
          <w:marLeft w:val="480"/>
          <w:marRight w:val="0"/>
          <w:marTop w:val="0"/>
          <w:marBottom w:val="0"/>
          <w:divBdr>
            <w:top w:val="none" w:sz="0" w:space="0" w:color="auto"/>
            <w:left w:val="none" w:sz="0" w:space="0" w:color="auto"/>
            <w:bottom w:val="none" w:sz="0" w:space="0" w:color="auto"/>
            <w:right w:val="none" w:sz="0" w:space="0" w:color="auto"/>
          </w:divBdr>
        </w:div>
        <w:div w:id="728381046">
          <w:marLeft w:val="480"/>
          <w:marRight w:val="0"/>
          <w:marTop w:val="0"/>
          <w:marBottom w:val="0"/>
          <w:divBdr>
            <w:top w:val="none" w:sz="0" w:space="0" w:color="auto"/>
            <w:left w:val="none" w:sz="0" w:space="0" w:color="auto"/>
            <w:bottom w:val="none" w:sz="0" w:space="0" w:color="auto"/>
            <w:right w:val="none" w:sz="0" w:space="0" w:color="auto"/>
          </w:divBdr>
        </w:div>
        <w:div w:id="1439326764">
          <w:marLeft w:val="480"/>
          <w:marRight w:val="0"/>
          <w:marTop w:val="0"/>
          <w:marBottom w:val="0"/>
          <w:divBdr>
            <w:top w:val="none" w:sz="0" w:space="0" w:color="auto"/>
            <w:left w:val="none" w:sz="0" w:space="0" w:color="auto"/>
            <w:bottom w:val="none" w:sz="0" w:space="0" w:color="auto"/>
            <w:right w:val="none" w:sz="0" w:space="0" w:color="auto"/>
          </w:divBdr>
        </w:div>
        <w:div w:id="1684432860">
          <w:marLeft w:val="480"/>
          <w:marRight w:val="0"/>
          <w:marTop w:val="0"/>
          <w:marBottom w:val="0"/>
          <w:divBdr>
            <w:top w:val="none" w:sz="0" w:space="0" w:color="auto"/>
            <w:left w:val="none" w:sz="0" w:space="0" w:color="auto"/>
            <w:bottom w:val="none" w:sz="0" w:space="0" w:color="auto"/>
            <w:right w:val="none" w:sz="0" w:space="0" w:color="auto"/>
          </w:divBdr>
        </w:div>
        <w:div w:id="69884903">
          <w:marLeft w:val="480"/>
          <w:marRight w:val="0"/>
          <w:marTop w:val="0"/>
          <w:marBottom w:val="0"/>
          <w:divBdr>
            <w:top w:val="none" w:sz="0" w:space="0" w:color="auto"/>
            <w:left w:val="none" w:sz="0" w:space="0" w:color="auto"/>
            <w:bottom w:val="none" w:sz="0" w:space="0" w:color="auto"/>
            <w:right w:val="none" w:sz="0" w:space="0" w:color="auto"/>
          </w:divBdr>
        </w:div>
        <w:div w:id="1505706877">
          <w:marLeft w:val="480"/>
          <w:marRight w:val="0"/>
          <w:marTop w:val="0"/>
          <w:marBottom w:val="0"/>
          <w:divBdr>
            <w:top w:val="none" w:sz="0" w:space="0" w:color="auto"/>
            <w:left w:val="none" w:sz="0" w:space="0" w:color="auto"/>
            <w:bottom w:val="none" w:sz="0" w:space="0" w:color="auto"/>
            <w:right w:val="none" w:sz="0" w:space="0" w:color="auto"/>
          </w:divBdr>
        </w:div>
        <w:div w:id="531920851">
          <w:marLeft w:val="480"/>
          <w:marRight w:val="0"/>
          <w:marTop w:val="0"/>
          <w:marBottom w:val="0"/>
          <w:divBdr>
            <w:top w:val="none" w:sz="0" w:space="0" w:color="auto"/>
            <w:left w:val="none" w:sz="0" w:space="0" w:color="auto"/>
            <w:bottom w:val="none" w:sz="0" w:space="0" w:color="auto"/>
            <w:right w:val="none" w:sz="0" w:space="0" w:color="auto"/>
          </w:divBdr>
        </w:div>
        <w:div w:id="2110008884">
          <w:marLeft w:val="480"/>
          <w:marRight w:val="0"/>
          <w:marTop w:val="0"/>
          <w:marBottom w:val="0"/>
          <w:divBdr>
            <w:top w:val="none" w:sz="0" w:space="0" w:color="auto"/>
            <w:left w:val="none" w:sz="0" w:space="0" w:color="auto"/>
            <w:bottom w:val="none" w:sz="0" w:space="0" w:color="auto"/>
            <w:right w:val="none" w:sz="0" w:space="0" w:color="auto"/>
          </w:divBdr>
        </w:div>
      </w:divsChild>
    </w:div>
    <w:div w:id="350647401">
      <w:bodyDiv w:val="1"/>
      <w:marLeft w:val="0"/>
      <w:marRight w:val="0"/>
      <w:marTop w:val="0"/>
      <w:marBottom w:val="0"/>
      <w:divBdr>
        <w:top w:val="none" w:sz="0" w:space="0" w:color="auto"/>
        <w:left w:val="none" w:sz="0" w:space="0" w:color="auto"/>
        <w:bottom w:val="none" w:sz="0" w:space="0" w:color="auto"/>
        <w:right w:val="none" w:sz="0" w:space="0" w:color="auto"/>
      </w:divBdr>
      <w:divsChild>
        <w:div w:id="7103098">
          <w:marLeft w:val="640"/>
          <w:marRight w:val="0"/>
          <w:marTop w:val="0"/>
          <w:marBottom w:val="0"/>
          <w:divBdr>
            <w:top w:val="none" w:sz="0" w:space="0" w:color="auto"/>
            <w:left w:val="none" w:sz="0" w:space="0" w:color="auto"/>
            <w:bottom w:val="none" w:sz="0" w:space="0" w:color="auto"/>
            <w:right w:val="none" w:sz="0" w:space="0" w:color="auto"/>
          </w:divBdr>
        </w:div>
        <w:div w:id="21903623">
          <w:marLeft w:val="640"/>
          <w:marRight w:val="0"/>
          <w:marTop w:val="0"/>
          <w:marBottom w:val="0"/>
          <w:divBdr>
            <w:top w:val="none" w:sz="0" w:space="0" w:color="auto"/>
            <w:left w:val="none" w:sz="0" w:space="0" w:color="auto"/>
            <w:bottom w:val="none" w:sz="0" w:space="0" w:color="auto"/>
            <w:right w:val="none" w:sz="0" w:space="0" w:color="auto"/>
          </w:divBdr>
        </w:div>
        <w:div w:id="40983465">
          <w:marLeft w:val="640"/>
          <w:marRight w:val="0"/>
          <w:marTop w:val="0"/>
          <w:marBottom w:val="0"/>
          <w:divBdr>
            <w:top w:val="none" w:sz="0" w:space="0" w:color="auto"/>
            <w:left w:val="none" w:sz="0" w:space="0" w:color="auto"/>
            <w:bottom w:val="none" w:sz="0" w:space="0" w:color="auto"/>
            <w:right w:val="none" w:sz="0" w:space="0" w:color="auto"/>
          </w:divBdr>
        </w:div>
        <w:div w:id="80369435">
          <w:marLeft w:val="640"/>
          <w:marRight w:val="0"/>
          <w:marTop w:val="0"/>
          <w:marBottom w:val="0"/>
          <w:divBdr>
            <w:top w:val="none" w:sz="0" w:space="0" w:color="auto"/>
            <w:left w:val="none" w:sz="0" w:space="0" w:color="auto"/>
            <w:bottom w:val="none" w:sz="0" w:space="0" w:color="auto"/>
            <w:right w:val="none" w:sz="0" w:space="0" w:color="auto"/>
          </w:divBdr>
        </w:div>
        <w:div w:id="107285857">
          <w:marLeft w:val="640"/>
          <w:marRight w:val="0"/>
          <w:marTop w:val="0"/>
          <w:marBottom w:val="0"/>
          <w:divBdr>
            <w:top w:val="none" w:sz="0" w:space="0" w:color="auto"/>
            <w:left w:val="none" w:sz="0" w:space="0" w:color="auto"/>
            <w:bottom w:val="none" w:sz="0" w:space="0" w:color="auto"/>
            <w:right w:val="none" w:sz="0" w:space="0" w:color="auto"/>
          </w:divBdr>
        </w:div>
        <w:div w:id="131945551">
          <w:marLeft w:val="640"/>
          <w:marRight w:val="0"/>
          <w:marTop w:val="0"/>
          <w:marBottom w:val="0"/>
          <w:divBdr>
            <w:top w:val="none" w:sz="0" w:space="0" w:color="auto"/>
            <w:left w:val="none" w:sz="0" w:space="0" w:color="auto"/>
            <w:bottom w:val="none" w:sz="0" w:space="0" w:color="auto"/>
            <w:right w:val="none" w:sz="0" w:space="0" w:color="auto"/>
          </w:divBdr>
        </w:div>
        <w:div w:id="217592870">
          <w:marLeft w:val="640"/>
          <w:marRight w:val="0"/>
          <w:marTop w:val="0"/>
          <w:marBottom w:val="0"/>
          <w:divBdr>
            <w:top w:val="none" w:sz="0" w:space="0" w:color="auto"/>
            <w:left w:val="none" w:sz="0" w:space="0" w:color="auto"/>
            <w:bottom w:val="none" w:sz="0" w:space="0" w:color="auto"/>
            <w:right w:val="none" w:sz="0" w:space="0" w:color="auto"/>
          </w:divBdr>
        </w:div>
        <w:div w:id="269438042">
          <w:marLeft w:val="640"/>
          <w:marRight w:val="0"/>
          <w:marTop w:val="0"/>
          <w:marBottom w:val="0"/>
          <w:divBdr>
            <w:top w:val="none" w:sz="0" w:space="0" w:color="auto"/>
            <w:left w:val="none" w:sz="0" w:space="0" w:color="auto"/>
            <w:bottom w:val="none" w:sz="0" w:space="0" w:color="auto"/>
            <w:right w:val="none" w:sz="0" w:space="0" w:color="auto"/>
          </w:divBdr>
        </w:div>
        <w:div w:id="282737576">
          <w:marLeft w:val="640"/>
          <w:marRight w:val="0"/>
          <w:marTop w:val="0"/>
          <w:marBottom w:val="0"/>
          <w:divBdr>
            <w:top w:val="none" w:sz="0" w:space="0" w:color="auto"/>
            <w:left w:val="none" w:sz="0" w:space="0" w:color="auto"/>
            <w:bottom w:val="none" w:sz="0" w:space="0" w:color="auto"/>
            <w:right w:val="none" w:sz="0" w:space="0" w:color="auto"/>
          </w:divBdr>
        </w:div>
        <w:div w:id="320155891">
          <w:marLeft w:val="640"/>
          <w:marRight w:val="0"/>
          <w:marTop w:val="0"/>
          <w:marBottom w:val="0"/>
          <w:divBdr>
            <w:top w:val="none" w:sz="0" w:space="0" w:color="auto"/>
            <w:left w:val="none" w:sz="0" w:space="0" w:color="auto"/>
            <w:bottom w:val="none" w:sz="0" w:space="0" w:color="auto"/>
            <w:right w:val="none" w:sz="0" w:space="0" w:color="auto"/>
          </w:divBdr>
        </w:div>
        <w:div w:id="324667880">
          <w:marLeft w:val="640"/>
          <w:marRight w:val="0"/>
          <w:marTop w:val="0"/>
          <w:marBottom w:val="0"/>
          <w:divBdr>
            <w:top w:val="none" w:sz="0" w:space="0" w:color="auto"/>
            <w:left w:val="none" w:sz="0" w:space="0" w:color="auto"/>
            <w:bottom w:val="none" w:sz="0" w:space="0" w:color="auto"/>
            <w:right w:val="none" w:sz="0" w:space="0" w:color="auto"/>
          </w:divBdr>
        </w:div>
        <w:div w:id="326252222">
          <w:marLeft w:val="640"/>
          <w:marRight w:val="0"/>
          <w:marTop w:val="0"/>
          <w:marBottom w:val="0"/>
          <w:divBdr>
            <w:top w:val="none" w:sz="0" w:space="0" w:color="auto"/>
            <w:left w:val="none" w:sz="0" w:space="0" w:color="auto"/>
            <w:bottom w:val="none" w:sz="0" w:space="0" w:color="auto"/>
            <w:right w:val="none" w:sz="0" w:space="0" w:color="auto"/>
          </w:divBdr>
        </w:div>
        <w:div w:id="332728071">
          <w:marLeft w:val="640"/>
          <w:marRight w:val="0"/>
          <w:marTop w:val="0"/>
          <w:marBottom w:val="0"/>
          <w:divBdr>
            <w:top w:val="none" w:sz="0" w:space="0" w:color="auto"/>
            <w:left w:val="none" w:sz="0" w:space="0" w:color="auto"/>
            <w:bottom w:val="none" w:sz="0" w:space="0" w:color="auto"/>
            <w:right w:val="none" w:sz="0" w:space="0" w:color="auto"/>
          </w:divBdr>
        </w:div>
        <w:div w:id="339309952">
          <w:marLeft w:val="640"/>
          <w:marRight w:val="0"/>
          <w:marTop w:val="0"/>
          <w:marBottom w:val="0"/>
          <w:divBdr>
            <w:top w:val="none" w:sz="0" w:space="0" w:color="auto"/>
            <w:left w:val="none" w:sz="0" w:space="0" w:color="auto"/>
            <w:bottom w:val="none" w:sz="0" w:space="0" w:color="auto"/>
            <w:right w:val="none" w:sz="0" w:space="0" w:color="auto"/>
          </w:divBdr>
        </w:div>
        <w:div w:id="341014508">
          <w:marLeft w:val="640"/>
          <w:marRight w:val="0"/>
          <w:marTop w:val="0"/>
          <w:marBottom w:val="0"/>
          <w:divBdr>
            <w:top w:val="none" w:sz="0" w:space="0" w:color="auto"/>
            <w:left w:val="none" w:sz="0" w:space="0" w:color="auto"/>
            <w:bottom w:val="none" w:sz="0" w:space="0" w:color="auto"/>
            <w:right w:val="none" w:sz="0" w:space="0" w:color="auto"/>
          </w:divBdr>
        </w:div>
        <w:div w:id="369457077">
          <w:marLeft w:val="640"/>
          <w:marRight w:val="0"/>
          <w:marTop w:val="0"/>
          <w:marBottom w:val="0"/>
          <w:divBdr>
            <w:top w:val="none" w:sz="0" w:space="0" w:color="auto"/>
            <w:left w:val="none" w:sz="0" w:space="0" w:color="auto"/>
            <w:bottom w:val="none" w:sz="0" w:space="0" w:color="auto"/>
            <w:right w:val="none" w:sz="0" w:space="0" w:color="auto"/>
          </w:divBdr>
        </w:div>
        <w:div w:id="429087182">
          <w:marLeft w:val="640"/>
          <w:marRight w:val="0"/>
          <w:marTop w:val="0"/>
          <w:marBottom w:val="0"/>
          <w:divBdr>
            <w:top w:val="none" w:sz="0" w:space="0" w:color="auto"/>
            <w:left w:val="none" w:sz="0" w:space="0" w:color="auto"/>
            <w:bottom w:val="none" w:sz="0" w:space="0" w:color="auto"/>
            <w:right w:val="none" w:sz="0" w:space="0" w:color="auto"/>
          </w:divBdr>
        </w:div>
        <w:div w:id="456340831">
          <w:marLeft w:val="640"/>
          <w:marRight w:val="0"/>
          <w:marTop w:val="0"/>
          <w:marBottom w:val="0"/>
          <w:divBdr>
            <w:top w:val="none" w:sz="0" w:space="0" w:color="auto"/>
            <w:left w:val="none" w:sz="0" w:space="0" w:color="auto"/>
            <w:bottom w:val="none" w:sz="0" w:space="0" w:color="auto"/>
            <w:right w:val="none" w:sz="0" w:space="0" w:color="auto"/>
          </w:divBdr>
        </w:div>
        <w:div w:id="474376069">
          <w:marLeft w:val="640"/>
          <w:marRight w:val="0"/>
          <w:marTop w:val="0"/>
          <w:marBottom w:val="0"/>
          <w:divBdr>
            <w:top w:val="none" w:sz="0" w:space="0" w:color="auto"/>
            <w:left w:val="none" w:sz="0" w:space="0" w:color="auto"/>
            <w:bottom w:val="none" w:sz="0" w:space="0" w:color="auto"/>
            <w:right w:val="none" w:sz="0" w:space="0" w:color="auto"/>
          </w:divBdr>
        </w:div>
        <w:div w:id="488598838">
          <w:marLeft w:val="640"/>
          <w:marRight w:val="0"/>
          <w:marTop w:val="0"/>
          <w:marBottom w:val="0"/>
          <w:divBdr>
            <w:top w:val="none" w:sz="0" w:space="0" w:color="auto"/>
            <w:left w:val="none" w:sz="0" w:space="0" w:color="auto"/>
            <w:bottom w:val="none" w:sz="0" w:space="0" w:color="auto"/>
            <w:right w:val="none" w:sz="0" w:space="0" w:color="auto"/>
          </w:divBdr>
        </w:div>
        <w:div w:id="502664860">
          <w:marLeft w:val="640"/>
          <w:marRight w:val="0"/>
          <w:marTop w:val="0"/>
          <w:marBottom w:val="0"/>
          <w:divBdr>
            <w:top w:val="none" w:sz="0" w:space="0" w:color="auto"/>
            <w:left w:val="none" w:sz="0" w:space="0" w:color="auto"/>
            <w:bottom w:val="none" w:sz="0" w:space="0" w:color="auto"/>
            <w:right w:val="none" w:sz="0" w:space="0" w:color="auto"/>
          </w:divBdr>
        </w:div>
        <w:div w:id="509564854">
          <w:marLeft w:val="640"/>
          <w:marRight w:val="0"/>
          <w:marTop w:val="0"/>
          <w:marBottom w:val="0"/>
          <w:divBdr>
            <w:top w:val="none" w:sz="0" w:space="0" w:color="auto"/>
            <w:left w:val="none" w:sz="0" w:space="0" w:color="auto"/>
            <w:bottom w:val="none" w:sz="0" w:space="0" w:color="auto"/>
            <w:right w:val="none" w:sz="0" w:space="0" w:color="auto"/>
          </w:divBdr>
        </w:div>
        <w:div w:id="537015303">
          <w:marLeft w:val="640"/>
          <w:marRight w:val="0"/>
          <w:marTop w:val="0"/>
          <w:marBottom w:val="0"/>
          <w:divBdr>
            <w:top w:val="none" w:sz="0" w:space="0" w:color="auto"/>
            <w:left w:val="none" w:sz="0" w:space="0" w:color="auto"/>
            <w:bottom w:val="none" w:sz="0" w:space="0" w:color="auto"/>
            <w:right w:val="none" w:sz="0" w:space="0" w:color="auto"/>
          </w:divBdr>
        </w:div>
        <w:div w:id="575044938">
          <w:marLeft w:val="640"/>
          <w:marRight w:val="0"/>
          <w:marTop w:val="0"/>
          <w:marBottom w:val="0"/>
          <w:divBdr>
            <w:top w:val="none" w:sz="0" w:space="0" w:color="auto"/>
            <w:left w:val="none" w:sz="0" w:space="0" w:color="auto"/>
            <w:bottom w:val="none" w:sz="0" w:space="0" w:color="auto"/>
            <w:right w:val="none" w:sz="0" w:space="0" w:color="auto"/>
          </w:divBdr>
        </w:div>
        <w:div w:id="608782877">
          <w:marLeft w:val="640"/>
          <w:marRight w:val="0"/>
          <w:marTop w:val="0"/>
          <w:marBottom w:val="0"/>
          <w:divBdr>
            <w:top w:val="none" w:sz="0" w:space="0" w:color="auto"/>
            <w:left w:val="none" w:sz="0" w:space="0" w:color="auto"/>
            <w:bottom w:val="none" w:sz="0" w:space="0" w:color="auto"/>
            <w:right w:val="none" w:sz="0" w:space="0" w:color="auto"/>
          </w:divBdr>
        </w:div>
        <w:div w:id="643586412">
          <w:marLeft w:val="640"/>
          <w:marRight w:val="0"/>
          <w:marTop w:val="0"/>
          <w:marBottom w:val="0"/>
          <w:divBdr>
            <w:top w:val="none" w:sz="0" w:space="0" w:color="auto"/>
            <w:left w:val="none" w:sz="0" w:space="0" w:color="auto"/>
            <w:bottom w:val="none" w:sz="0" w:space="0" w:color="auto"/>
            <w:right w:val="none" w:sz="0" w:space="0" w:color="auto"/>
          </w:divBdr>
        </w:div>
        <w:div w:id="665136335">
          <w:marLeft w:val="640"/>
          <w:marRight w:val="0"/>
          <w:marTop w:val="0"/>
          <w:marBottom w:val="0"/>
          <w:divBdr>
            <w:top w:val="none" w:sz="0" w:space="0" w:color="auto"/>
            <w:left w:val="none" w:sz="0" w:space="0" w:color="auto"/>
            <w:bottom w:val="none" w:sz="0" w:space="0" w:color="auto"/>
            <w:right w:val="none" w:sz="0" w:space="0" w:color="auto"/>
          </w:divBdr>
        </w:div>
        <w:div w:id="763652018">
          <w:marLeft w:val="640"/>
          <w:marRight w:val="0"/>
          <w:marTop w:val="0"/>
          <w:marBottom w:val="0"/>
          <w:divBdr>
            <w:top w:val="none" w:sz="0" w:space="0" w:color="auto"/>
            <w:left w:val="none" w:sz="0" w:space="0" w:color="auto"/>
            <w:bottom w:val="none" w:sz="0" w:space="0" w:color="auto"/>
            <w:right w:val="none" w:sz="0" w:space="0" w:color="auto"/>
          </w:divBdr>
        </w:div>
        <w:div w:id="769930292">
          <w:marLeft w:val="640"/>
          <w:marRight w:val="0"/>
          <w:marTop w:val="0"/>
          <w:marBottom w:val="0"/>
          <w:divBdr>
            <w:top w:val="none" w:sz="0" w:space="0" w:color="auto"/>
            <w:left w:val="none" w:sz="0" w:space="0" w:color="auto"/>
            <w:bottom w:val="none" w:sz="0" w:space="0" w:color="auto"/>
            <w:right w:val="none" w:sz="0" w:space="0" w:color="auto"/>
          </w:divBdr>
        </w:div>
        <w:div w:id="798303223">
          <w:marLeft w:val="640"/>
          <w:marRight w:val="0"/>
          <w:marTop w:val="0"/>
          <w:marBottom w:val="0"/>
          <w:divBdr>
            <w:top w:val="none" w:sz="0" w:space="0" w:color="auto"/>
            <w:left w:val="none" w:sz="0" w:space="0" w:color="auto"/>
            <w:bottom w:val="none" w:sz="0" w:space="0" w:color="auto"/>
            <w:right w:val="none" w:sz="0" w:space="0" w:color="auto"/>
          </w:divBdr>
        </w:div>
        <w:div w:id="916062552">
          <w:marLeft w:val="640"/>
          <w:marRight w:val="0"/>
          <w:marTop w:val="0"/>
          <w:marBottom w:val="0"/>
          <w:divBdr>
            <w:top w:val="none" w:sz="0" w:space="0" w:color="auto"/>
            <w:left w:val="none" w:sz="0" w:space="0" w:color="auto"/>
            <w:bottom w:val="none" w:sz="0" w:space="0" w:color="auto"/>
            <w:right w:val="none" w:sz="0" w:space="0" w:color="auto"/>
          </w:divBdr>
        </w:div>
        <w:div w:id="917246199">
          <w:marLeft w:val="640"/>
          <w:marRight w:val="0"/>
          <w:marTop w:val="0"/>
          <w:marBottom w:val="0"/>
          <w:divBdr>
            <w:top w:val="none" w:sz="0" w:space="0" w:color="auto"/>
            <w:left w:val="none" w:sz="0" w:space="0" w:color="auto"/>
            <w:bottom w:val="none" w:sz="0" w:space="0" w:color="auto"/>
            <w:right w:val="none" w:sz="0" w:space="0" w:color="auto"/>
          </w:divBdr>
        </w:div>
        <w:div w:id="952714264">
          <w:marLeft w:val="640"/>
          <w:marRight w:val="0"/>
          <w:marTop w:val="0"/>
          <w:marBottom w:val="0"/>
          <w:divBdr>
            <w:top w:val="none" w:sz="0" w:space="0" w:color="auto"/>
            <w:left w:val="none" w:sz="0" w:space="0" w:color="auto"/>
            <w:bottom w:val="none" w:sz="0" w:space="0" w:color="auto"/>
            <w:right w:val="none" w:sz="0" w:space="0" w:color="auto"/>
          </w:divBdr>
        </w:div>
        <w:div w:id="966736690">
          <w:marLeft w:val="640"/>
          <w:marRight w:val="0"/>
          <w:marTop w:val="0"/>
          <w:marBottom w:val="0"/>
          <w:divBdr>
            <w:top w:val="none" w:sz="0" w:space="0" w:color="auto"/>
            <w:left w:val="none" w:sz="0" w:space="0" w:color="auto"/>
            <w:bottom w:val="none" w:sz="0" w:space="0" w:color="auto"/>
            <w:right w:val="none" w:sz="0" w:space="0" w:color="auto"/>
          </w:divBdr>
        </w:div>
        <w:div w:id="1002898263">
          <w:marLeft w:val="640"/>
          <w:marRight w:val="0"/>
          <w:marTop w:val="0"/>
          <w:marBottom w:val="0"/>
          <w:divBdr>
            <w:top w:val="none" w:sz="0" w:space="0" w:color="auto"/>
            <w:left w:val="none" w:sz="0" w:space="0" w:color="auto"/>
            <w:bottom w:val="none" w:sz="0" w:space="0" w:color="auto"/>
            <w:right w:val="none" w:sz="0" w:space="0" w:color="auto"/>
          </w:divBdr>
        </w:div>
        <w:div w:id="1076827960">
          <w:marLeft w:val="640"/>
          <w:marRight w:val="0"/>
          <w:marTop w:val="0"/>
          <w:marBottom w:val="0"/>
          <w:divBdr>
            <w:top w:val="none" w:sz="0" w:space="0" w:color="auto"/>
            <w:left w:val="none" w:sz="0" w:space="0" w:color="auto"/>
            <w:bottom w:val="none" w:sz="0" w:space="0" w:color="auto"/>
            <w:right w:val="none" w:sz="0" w:space="0" w:color="auto"/>
          </w:divBdr>
        </w:div>
        <w:div w:id="1087574156">
          <w:marLeft w:val="640"/>
          <w:marRight w:val="0"/>
          <w:marTop w:val="0"/>
          <w:marBottom w:val="0"/>
          <w:divBdr>
            <w:top w:val="none" w:sz="0" w:space="0" w:color="auto"/>
            <w:left w:val="none" w:sz="0" w:space="0" w:color="auto"/>
            <w:bottom w:val="none" w:sz="0" w:space="0" w:color="auto"/>
            <w:right w:val="none" w:sz="0" w:space="0" w:color="auto"/>
          </w:divBdr>
        </w:div>
        <w:div w:id="1153839288">
          <w:marLeft w:val="640"/>
          <w:marRight w:val="0"/>
          <w:marTop w:val="0"/>
          <w:marBottom w:val="0"/>
          <w:divBdr>
            <w:top w:val="none" w:sz="0" w:space="0" w:color="auto"/>
            <w:left w:val="none" w:sz="0" w:space="0" w:color="auto"/>
            <w:bottom w:val="none" w:sz="0" w:space="0" w:color="auto"/>
            <w:right w:val="none" w:sz="0" w:space="0" w:color="auto"/>
          </w:divBdr>
        </w:div>
        <w:div w:id="1202353796">
          <w:marLeft w:val="640"/>
          <w:marRight w:val="0"/>
          <w:marTop w:val="0"/>
          <w:marBottom w:val="0"/>
          <w:divBdr>
            <w:top w:val="none" w:sz="0" w:space="0" w:color="auto"/>
            <w:left w:val="none" w:sz="0" w:space="0" w:color="auto"/>
            <w:bottom w:val="none" w:sz="0" w:space="0" w:color="auto"/>
            <w:right w:val="none" w:sz="0" w:space="0" w:color="auto"/>
          </w:divBdr>
        </w:div>
        <w:div w:id="1217549404">
          <w:marLeft w:val="640"/>
          <w:marRight w:val="0"/>
          <w:marTop w:val="0"/>
          <w:marBottom w:val="0"/>
          <w:divBdr>
            <w:top w:val="none" w:sz="0" w:space="0" w:color="auto"/>
            <w:left w:val="none" w:sz="0" w:space="0" w:color="auto"/>
            <w:bottom w:val="none" w:sz="0" w:space="0" w:color="auto"/>
            <w:right w:val="none" w:sz="0" w:space="0" w:color="auto"/>
          </w:divBdr>
        </w:div>
        <w:div w:id="1226572836">
          <w:marLeft w:val="640"/>
          <w:marRight w:val="0"/>
          <w:marTop w:val="0"/>
          <w:marBottom w:val="0"/>
          <w:divBdr>
            <w:top w:val="none" w:sz="0" w:space="0" w:color="auto"/>
            <w:left w:val="none" w:sz="0" w:space="0" w:color="auto"/>
            <w:bottom w:val="none" w:sz="0" w:space="0" w:color="auto"/>
            <w:right w:val="none" w:sz="0" w:space="0" w:color="auto"/>
          </w:divBdr>
        </w:div>
        <w:div w:id="1245333455">
          <w:marLeft w:val="640"/>
          <w:marRight w:val="0"/>
          <w:marTop w:val="0"/>
          <w:marBottom w:val="0"/>
          <w:divBdr>
            <w:top w:val="none" w:sz="0" w:space="0" w:color="auto"/>
            <w:left w:val="none" w:sz="0" w:space="0" w:color="auto"/>
            <w:bottom w:val="none" w:sz="0" w:space="0" w:color="auto"/>
            <w:right w:val="none" w:sz="0" w:space="0" w:color="auto"/>
          </w:divBdr>
        </w:div>
        <w:div w:id="1252854328">
          <w:marLeft w:val="640"/>
          <w:marRight w:val="0"/>
          <w:marTop w:val="0"/>
          <w:marBottom w:val="0"/>
          <w:divBdr>
            <w:top w:val="none" w:sz="0" w:space="0" w:color="auto"/>
            <w:left w:val="none" w:sz="0" w:space="0" w:color="auto"/>
            <w:bottom w:val="none" w:sz="0" w:space="0" w:color="auto"/>
            <w:right w:val="none" w:sz="0" w:space="0" w:color="auto"/>
          </w:divBdr>
        </w:div>
        <w:div w:id="1259291321">
          <w:marLeft w:val="640"/>
          <w:marRight w:val="0"/>
          <w:marTop w:val="0"/>
          <w:marBottom w:val="0"/>
          <w:divBdr>
            <w:top w:val="none" w:sz="0" w:space="0" w:color="auto"/>
            <w:left w:val="none" w:sz="0" w:space="0" w:color="auto"/>
            <w:bottom w:val="none" w:sz="0" w:space="0" w:color="auto"/>
            <w:right w:val="none" w:sz="0" w:space="0" w:color="auto"/>
          </w:divBdr>
        </w:div>
        <w:div w:id="1281766006">
          <w:marLeft w:val="640"/>
          <w:marRight w:val="0"/>
          <w:marTop w:val="0"/>
          <w:marBottom w:val="0"/>
          <w:divBdr>
            <w:top w:val="none" w:sz="0" w:space="0" w:color="auto"/>
            <w:left w:val="none" w:sz="0" w:space="0" w:color="auto"/>
            <w:bottom w:val="none" w:sz="0" w:space="0" w:color="auto"/>
            <w:right w:val="none" w:sz="0" w:space="0" w:color="auto"/>
          </w:divBdr>
        </w:div>
        <w:div w:id="1336035978">
          <w:marLeft w:val="640"/>
          <w:marRight w:val="0"/>
          <w:marTop w:val="0"/>
          <w:marBottom w:val="0"/>
          <w:divBdr>
            <w:top w:val="none" w:sz="0" w:space="0" w:color="auto"/>
            <w:left w:val="none" w:sz="0" w:space="0" w:color="auto"/>
            <w:bottom w:val="none" w:sz="0" w:space="0" w:color="auto"/>
            <w:right w:val="none" w:sz="0" w:space="0" w:color="auto"/>
          </w:divBdr>
        </w:div>
        <w:div w:id="1336690142">
          <w:marLeft w:val="640"/>
          <w:marRight w:val="0"/>
          <w:marTop w:val="0"/>
          <w:marBottom w:val="0"/>
          <w:divBdr>
            <w:top w:val="none" w:sz="0" w:space="0" w:color="auto"/>
            <w:left w:val="none" w:sz="0" w:space="0" w:color="auto"/>
            <w:bottom w:val="none" w:sz="0" w:space="0" w:color="auto"/>
            <w:right w:val="none" w:sz="0" w:space="0" w:color="auto"/>
          </w:divBdr>
        </w:div>
        <w:div w:id="1369837418">
          <w:marLeft w:val="640"/>
          <w:marRight w:val="0"/>
          <w:marTop w:val="0"/>
          <w:marBottom w:val="0"/>
          <w:divBdr>
            <w:top w:val="none" w:sz="0" w:space="0" w:color="auto"/>
            <w:left w:val="none" w:sz="0" w:space="0" w:color="auto"/>
            <w:bottom w:val="none" w:sz="0" w:space="0" w:color="auto"/>
            <w:right w:val="none" w:sz="0" w:space="0" w:color="auto"/>
          </w:divBdr>
        </w:div>
        <w:div w:id="1394890252">
          <w:marLeft w:val="640"/>
          <w:marRight w:val="0"/>
          <w:marTop w:val="0"/>
          <w:marBottom w:val="0"/>
          <w:divBdr>
            <w:top w:val="none" w:sz="0" w:space="0" w:color="auto"/>
            <w:left w:val="none" w:sz="0" w:space="0" w:color="auto"/>
            <w:bottom w:val="none" w:sz="0" w:space="0" w:color="auto"/>
            <w:right w:val="none" w:sz="0" w:space="0" w:color="auto"/>
          </w:divBdr>
        </w:div>
        <w:div w:id="1400403396">
          <w:marLeft w:val="640"/>
          <w:marRight w:val="0"/>
          <w:marTop w:val="0"/>
          <w:marBottom w:val="0"/>
          <w:divBdr>
            <w:top w:val="none" w:sz="0" w:space="0" w:color="auto"/>
            <w:left w:val="none" w:sz="0" w:space="0" w:color="auto"/>
            <w:bottom w:val="none" w:sz="0" w:space="0" w:color="auto"/>
            <w:right w:val="none" w:sz="0" w:space="0" w:color="auto"/>
          </w:divBdr>
        </w:div>
        <w:div w:id="1409036994">
          <w:marLeft w:val="640"/>
          <w:marRight w:val="0"/>
          <w:marTop w:val="0"/>
          <w:marBottom w:val="0"/>
          <w:divBdr>
            <w:top w:val="none" w:sz="0" w:space="0" w:color="auto"/>
            <w:left w:val="none" w:sz="0" w:space="0" w:color="auto"/>
            <w:bottom w:val="none" w:sz="0" w:space="0" w:color="auto"/>
            <w:right w:val="none" w:sz="0" w:space="0" w:color="auto"/>
          </w:divBdr>
        </w:div>
        <w:div w:id="1429500001">
          <w:marLeft w:val="640"/>
          <w:marRight w:val="0"/>
          <w:marTop w:val="0"/>
          <w:marBottom w:val="0"/>
          <w:divBdr>
            <w:top w:val="none" w:sz="0" w:space="0" w:color="auto"/>
            <w:left w:val="none" w:sz="0" w:space="0" w:color="auto"/>
            <w:bottom w:val="none" w:sz="0" w:space="0" w:color="auto"/>
            <w:right w:val="none" w:sz="0" w:space="0" w:color="auto"/>
          </w:divBdr>
        </w:div>
        <w:div w:id="1432118302">
          <w:marLeft w:val="640"/>
          <w:marRight w:val="0"/>
          <w:marTop w:val="0"/>
          <w:marBottom w:val="0"/>
          <w:divBdr>
            <w:top w:val="none" w:sz="0" w:space="0" w:color="auto"/>
            <w:left w:val="none" w:sz="0" w:space="0" w:color="auto"/>
            <w:bottom w:val="none" w:sz="0" w:space="0" w:color="auto"/>
            <w:right w:val="none" w:sz="0" w:space="0" w:color="auto"/>
          </w:divBdr>
        </w:div>
        <w:div w:id="1461873115">
          <w:marLeft w:val="640"/>
          <w:marRight w:val="0"/>
          <w:marTop w:val="0"/>
          <w:marBottom w:val="0"/>
          <w:divBdr>
            <w:top w:val="none" w:sz="0" w:space="0" w:color="auto"/>
            <w:left w:val="none" w:sz="0" w:space="0" w:color="auto"/>
            <w:bottom w:val="none" w:sz="0" w:space="0" w:color="auto"/>
            <w:right w:val="none" w:sz="0" w:space="0" w:color="auto"/>
          </w:divBdr>
        </w:div>
        <w:div w:id="1469519114">
          <w:marLeft w:val="640"/>
          <w:marRight w:val="0"/>
          <w:marTop w:val="0"/>
          <w:marBottom w:val="0"/>
          <w:divBdr>
            <w:top w:val="none" w:sz="0" w:space="0" w:color="auto"/>
            <w:left w:val="none" w:sz="0" w:space="0" w:color="auto"/>
            <w:bottom w:val="none" w:sz="0" w:space="0" w:color="auto"/>
            <w:right w:val="none" w:sz="0" w:space="0" w:color="auto"/>
          </w:divBdr>
        </w:div>
        <w:div w:id="1503741724">
          <w:marLeft w:val="640"/>
          <w:marRight w:val="0"/>
          <w:marTop w:val="0"/>
          <w:marBottom w:val="0"/>
          <w:divBdr>
            <w:top w:val="none" w:sz="0" w:space="0" w:color="auto"/>
            <w:left w:val="none" w:sz="0" w:space="0" w:color="auto"/>
            <w:bottom w:val="none" w:sz="0" w:space="0" w:color="auto"/>
            <w:right w:val="none" w:sz="0" w:space="0" w:color="auto"/>
          </w:divBdr>
        </w:div>
        <w:div w:id="1558542217">
          <w:marLeft w:val="640"/>
          <w:marRight w:val="0"/>
          <w:marTop w:val="0"/>
          <w:marBottom w:val="0"/>
          <w:divBdr>
            <w:top w:val="none" w:sz="0" w:space="0" w:color="auto"/>
            <w:left w:val="none" w:sz="0" w:space="0" w:color="auto"/>
            <w:bottom w:val="none" w:sz="0" w:space="0" w:color="auto"/>
            <w:right w:val="none" w:sz="0" w:space="0" w:color="auto"/>
          </w:divBdr>
        </w:div>
        <w:div w:id="1651133676">
          <w:marLeft w:val="640"/>
          <w:marRight w:val="0"/>
          <w:marTop w:val="0"/>
          <w:marBottom w:val="0"/>
          <w:divBdr>
            <w:top w:val="none" w:sz="0" w:space="0" w:color="auto"/>
            <w:left w:val="none" w:sz="0" w:space="0" w:color="auto"/>
            <w:bottom w:val="none" w:sz="0" w:space="0" w:color="auto"/>
            <w:right w:val="none" w:sz="0" w:space="0" w:color="auto"/>
          </w:divBdr>
        </w:div>
        <w:div w:id="1656372994">
          <w:marLeft w:val="640"/>
          <w:marRight w:val="0"/>
          <w:marTop w:val="0"/>
          <w:marBottom w:val="0"/>
          <w:divBdr>
            <w:top w:val="none" w:sz="0" w:space="0" w:color="auto"/>
            <w:left w:val="none" w:sz="0" w:space="0" w:color="auto"/>
            <w:bottom w:val="none" w:sz="0" w:space="0" w:color="auto"/>
            <w:right w:val="none" w:sz="0" w:space="0" w:color="auto"/>
          </w:divBdr>
        </w:div>
        <w:div w:id="1815024612">
          <w:marLeft w:val="640"/>
          <w:marRight w:val="0"/>
          <w:marTop w:val="0"/>
          <w:marBottom w:val="0"/>
          <w:divBdr>
            <w:top w:val="none" w:sz="0" w:space="0" w:color="auto"/>
            <w:left w:val="none" w:sz="0" w:space="0" w:color="auto"/>
            <w:bottom w:val="none" w:sz="0" w:space="0" w:color="auto"/>
            <w:right w:val="none" w:sz="0" w:space="0" w:color="auto"/>
          </w:divBdr>
        </w:div>
        <w:div w:id="1907688100">
          <w:marLeft w:val="640"/>
          <w:marRight w:val="0"/>
          <w:marTop w:val="0"/>
          <w:marBottom w:val="0"/>
          <w:divBdr>
            <w:top w:val="none" w:sz="0" w:space="0" w:color="auto"/>
            <w:left w:val="none" w:sz="0" w:space="0" w:color="auto"/>
            <w:bottom w:val="none" w:sz="0" w:space="0" w:color="auto"/>
            <w:right w:val="none" w:sz="0" w:space="0" w:color="auto"/>
          </w:divBdr>
        </w:div>
        <w:div w:id="1938170956">
          <w:marLeft w:val="640"/>
          <w:marRight w:val="0"/>
          <w:marTop w:val="0"/>
          <w:marBottom w:val="0"/>
          <w:divBdr>
            <w:top w:val="none" w:sz="0" w:space="0" w:color="auto"/>
            <w:left w:val="none" w:sz="0" w:space="0" w:color="auto"/>
            <w:bottom w:val="none" w:sz="0" w:space="0" w:color="auto"/>
            <w:right w:val="none" w:sz="0" w:space="0" w:color="auto"/>
          </w:divBdr>
        </w:div>
        <w:div w:id="1963683354">
          <w:marLeft w:val="640"/>
          <w:marRight w:val="0"/>
          <w:marTop w:val="0"/>
          <w:marBottom w:val="0"/>
          <w:divBdr>
            <w:top w:val="none" w:sz="0" w:space="0" w:color="auto"/>
            <w:left w:val="none" w:sz="0" w:space="0" w:color="auto"/>
            <w:bottom w:val="none" w:sz="0" w:space="0" w:color="auto"/>
            <w:right w:val="none" w:sz="0" w:space="0" w:color="auto"/>
          </w:divBdr>
        </w:div>
        <w:div w:id="1983267643">
          <w:marLeft w:val="640"/>
          <w:marRight w:val="0"/>
          <w:marTop w:val="0"/>
          <w:marBottom w:val="0"/>
          <w:divBdr>
            <w:top w:val="none" w:sz="0" w:space="0" w:color="auto"/>
            <w:left w:val="none" w:sz="0" w:space="0" w:color="auto"/>
            <w:bottom w:val="none" w:sz="0" w:space="0" w:color="auto"/>
            <w:right w:val="none" w:sz="0" w:space="0" w:color="auto"/>
          </w:divBdr>
        </w:div>
        <w:div w:id="2047172522">
          <w:marLeft w:val="640"/>
          <w:marRight w:val="0"/>
          <w:marTop w:val="0"/>
          <w:marBottom w:val="0"/>
          <w:divBdr>
            <w:top w:val="none" w:sz="0" w:space="0" w:color="auto"/>
            <w:left w:val="none" w:sz="0" w:space="0" w:color="auto"/>
            <w:bottom w:val="none" w:sz="0" w:space="0" w:color="auto"/>
            <w:right w:val="none" w:sz="0" w:space="0" w:color="auto"/>
          </w:divBdr>
        </w:div>
        <w:div w:id="2058822442">
          <w:marLeft w:val="640"/>
          <w:marRight w:val="0"/>
          <w:marTop w:val="0"/>
          <w:marBottom w:val="0"/>
          <w:divBdr>
            <w:top w:val="none" w:sz="0" w:space="0" w:color="auto"/>
            <w:left w:val="none" w:sz="0" w:space="0" w:color="auto"/>
            <w:bottom w:val="none" w:sz="0" w:space="0" w:color="auto"/>
            <w:right w:val="none" w:sz="0" w:space="0" w:color="auto"/>
          </w:divBdr>
        </w:div>
        <w:div w:id="2074617206">
          <w:marLeft w:val="640"/>
          <w:marRight w:val="0"/>
          <w:marTop w:val="0"/>
          <w:marBottom w:val="0"/>
          <w:divBdr>
            <w:top w:val="none" w:sz="0" w:space="0" w:color="auto"/>
            <w:left w:val="none" w:sz="0" w:space="0" w:color="auto"/>
            <w:bottom w:val="none" w:sz="0" w:space="0" w:color="auto"/>
            <w:right w:val="none" w:sz="0" w:space="0" w:color="auto"/>
          </w:divBdr>
        </w:div>
        <w:div w:id="2085374949">
          <w:marLeft w:val="640"/>
          <w:marRight w:val="0"/>
          <w:marTop w:val="0"/>
          <w:marBottom w:val="0"/>
          <w:divBdr>
            <w:top w:val="none" w:sz="0" w:space="0" w:color="auto"/>
            <w:left w:val="none" w:sz="0" w:space="0" w:color="auto"/>
            <w:bottom w:val="none" w:sz="0" w:space="0" w:color="auto"/>
            <w:right w:val="none" w:sz="0" w:space="0" w:color="auto"/>
          </w:divBdr>
        </w:div>
        <w:div w:id="2129011795">
          <w:marLeft w:val="640"/>
          <w:marRight w:val="0"/>
          <w:marTop w:val="0"/>
          <w:marBottom w:val="0"/>
          <w:divBdr>
            <w:top w:val="none" w:sz="0" w:space="0" w:color="auto"/>
            <w:left w:val="none" w:sz="0" w:space="0" w:color="auto"/>
            <w:bottom w:val="none" w:sz="0" w:space="0" w:color="auto"/>
            <w:right w:val="none" w:sz="0" w:space="0" w:color="auto"/>
          </w:divBdr>
        </w:div>
        <w:div w:id="2132360008">
          <w:marLeft w:val="640"/>
          <w:marRight w:val="0"/>
          <w:marTop w:val="0"/>
          <w:marBottom w:val="0"/>
          <w:divBdr>
            <w:top w:val="none" w:sz="0" w:space="0" w:color="auto"/>
            <w:left w:val="none" w:sz="0" w:space="0" w:color="auto"/>
            <w:bottom w:val="none" w:sz="0" w:space="0" w:color="auto"/>
            <w:right w:val="none" w:sz="0" w:space="0" w:color="auto"/>
          </w:divBdr>
        </w:div>
      </w:divsChild>
    </w:div>
    <w:div w:id="359090117">
      <w:bodyDiv w:val="1"/>
      <w:marLeft w:val="0"/>
      <w:marRight w:val="0"/>
      <w:marTop w:val="0"/>
      <w:marBottom w:val="0"/>
      <w:divBdr>
        <w:top w:val="none" w:sz="0" w:space="0" w:color="auto"/>
        <w:left w:val="none" w:sz="0" w:space="0" w:color="auto"/>
        <w:bottom w:val="none" w:sz="0" w:space="0" w:color="auto"/>
        <w:right w:val="none" w:sz="0" w:space="0" w:color="auto"/>
      </w:divBdr>
      <w:divsChild>
        <w:div w:id="1994947307">
          <w:marLeft w:val="480"/>
          <w:marRight w:val="0"/>
          <w:marTop w:val="0"/>
          <w:marBottom w:val="0"/>
          <w:divBdr>
            <w:top w:val="none" w:sz="0" w:space="0" w:color="auto"/>
            <w:left w:val="none" w:sz="0" w:space="0" w:color="auto"/>
            <w:bottom w:val="none" w:sz="0" w:space="0" w:color="auto"/>
            <w:right w:val="none" w:sz="0" w:space="0" w:color="auto"/>
          </w:divBdr>
        </w:div>
        <w:div w:id="730033893">
          <w:marLeft w:val="480"/>
          <w:marRight w:val="0"/>
          <w:marTop w:val="0"/>
          <w:marBottom w:val="0"/>
          <w:divBdr>
            <w:top w:val="none" w:sz="0" w:space="0" w:color="auto"/>
            <w:left w:val="none" w:sz="0" w:space="0" w:color="auto"/>
            <w:bottom w:val="none" w:sz="0" w:space="0" w:color="auto"/>
            <w:right w:val="none" w:sz="0" w:space="0" w:color="auto"/>
          </w:divBdr>
        </w:div>
        <w:div w:id="25519953">
          <w:marLeft w:val="480"/>
          <w:marRight w:val="0"/>
          <w:marTop w:val="0"/>
          <w:marBottom w:val="0"/>
          <w:divBdr>
            <w:top w:val="none" w:sz="0" w:space="0" w:color="auto"/>
            <w:left w:val="none" w:sz="0" w:space="0" w:color="auto"/>
            <w:bottom w:val="none" w:sz="0" w:space="0" w:color="auto"/>
            <w:right w:val="none" w:sz="0" w:space="0" w:color="auto"/>
          </w:divBdr>
        </w:div>
        <w:div w:id="953705696">
          <w:marLeft w:val="480"/>
          <w:marRight w:val="0"/>
          <w:marTop w:val="0"/>
          <w:marBottom w:val="0"/>
          <w:divBdr>
            <w:top w:val="none" w:sz="0" w:space="0" w:color="auto"/>
            <w:left w:val="none" w:sz="0" w:space="0" w:color="auto"/>
            <w:bottom w:val="none" w:sz="0" w:space="0" w:color="auto"/>
            <w:right w:val="none" w:sz="0" w:space="0" w:color="auto"/>
          </w:divBdr>
        </w:div>
        <w:div w:id="229965978">
          <w:marLeft w:val="480"/>
          <w:marRight w:val="0"/>
          <w:marTop w:val="0"/>
          <w:marBottom w:val="0"/>
          <w:divBdr>
            <w:top w:val="none" w:sz="0" w:space="0" w:color="auto"/>
            <w:left w:val="none" w:sz="0" w:space="0" w:color="auto"/>
            <w:bottom w:val="none" w:sz="0" w:space="0" w:color="auto"/>
            <w:right w:val="none" w:sz="0" w:space="0" w:color="auto"/>
          </w:divBdr>
        </w:div>
        <w:div w:id="404302682">
          <w:marLeft w:val="480"/>
          <w:marRight w:val="0"/>
          <w:marTop w:val="0"/>
          <w:marBottom w:val="0"/>
          <w:divBdr>
            <w:top w:val="none" w:sz="0" w:space="0" w:color="auto"/>
            <w:left w:val="none" w:sz="0" w:space="0" w:color="auto"/>
            <w:bottom w:val="none" w:sz="0" w:space="0" w:color="auto"/>
            <w:right w:val="none" w:sz="0" w:space="0" w:color="auto"/>
          </w:divBdr>
        </w:div>
        <w:div w:id="765811389">
          <w:marLeft w:val="480"/>
          <w:marRight w:val="0"/>
          <w:marTop w:val="0"/>
          <w:marBottom w:val="0"/>
          <w:divBdr>
            <w:top w:val="none" w:sz="0" w:space="0" w:color="auto"/>
            <w:left w:val="none" w:sz="0" w:space="0" w:color="auto"/>
            <w:bottom w:val="none" w:sz="0" w:space="0" w:color="auto"/>
            <w:right w:val="none" w:sz="0" w:space="0" w:color="auto"/>
          </w:divBdr>
        </w:div>
      </w:divsChild>
    </w:div>
    <w:div w:id="376703445">
      <w:bodyDiv w:val="1"/>
      <w:marLeft w:val="0"/>
      <w:marRight w:val="0"/>
      <w:marTop w:val="0"/>
      <w:marBottom w:val="0"/>
      <w:divBdr>
        <w:top w:val="none" w:sz="0" w:space="0" w:color="auto"/>
        <w:left w:val="none" w:sz="0" w:space="0" w:color="auto"/>
        <w:bottom w:val="none" w:sz="0" w:space="0" w:color="auto"/>
        <w:right w:val="none" w:sz="0" w:space="0" w:color="auto"/>
      </w:divBdr>
    </w:div>
    <w:div w:id="378477419">
      <w:bodyDiv w:val="1"/>
      <w:marLeft w:val="0"/>
      <w:marRight w:val="0"/>
      <w:marTop w:val="0"/>
      <w:marBottom w:val="0"/>
      <w:divBdr>
        <w:top w:val="none" w:sz="0" w:space="0" w:color="auto"/>
        <w:left w:val="none" w:sz="0" w:space="0" w:color="auto"/>
        <w:bottom w:val="none" w:sz="0" w:space="0" w:color="auto"/>
        <w:right w:val="none" w:sz="0" w:space="0" w:color="auto"/>
      </w:divBdr>
    </w:div>
    <w:div w:id="383914640">
      <w:bodyDiv w:val="1"/>
      <w:marLeft w:val="0"/>
      <w:marRight w:val="0"/>
      <w:marTop w:val="0"/>
      <w:marBottom w:val="0"/>
      <w:divBdr>
        <w:top w:val="none" w:sz="0" w:space="0" w:color="auto"/>
        <w:left w:val="none" w:sz="0" w:space="0" w:color="auto"/>
        <w:bottom w:val="none" w:sz="0" w:space="0" w:color="auto"/>
        <w:right w:val="none" w:sz="0" w:space="0" w:color="auto"/>
      </w:divBdr>
      <w:divsChild>
        <w:div w:id="38288852">
          <w:marLeft w:val="640"/>
          <w:marRight w:val="0"/>
          <w:marTop w:val="0"/>
          <w:marBottom w:val="0"/>
          <w:divBdr>
            <w:top w:val="none" w:sz="0" w:space="0" w:color="auto"/>
            <w:left w:val="none" w:sz="0" w:space="0" w:color="auto"/>
            <w:bottom w:val="none" w:sz="0" w:space="0" w:color="auto"/>
            <w:right w:val="none" w:sz="0" w:space="0" w:color="auto"/>
          </w:divBdr>
        </w:div>
        <w:div w:id="168376659">
          <w:marLeft w:val="640"/>
          <w:marRight w:val="0"/>
          <w:marTop w:val="0"/>
          <w:marBottom w:val="0"/>
          <w:divBdr>
            <w:top w:val="none" w:sz="0" w:space="0" w:color="auto"/>
            <w:left w:val="none" w:sz="0" w:space="0" w:color="auto"/>
            <w:bottom w:val="none" w:sz="0" w:space="0" w:color="auto"/>
            <w:right w:val="none" w:sz="0" w:space="0" w:color="auto"/>
          </w:divBdr>
        </w:div>
        <w:div w:id="182090771">
          <w:marLeft w:val="640"/>
          <w:marRight w:val="0"/>
          <w:marTop w:val="0"/>
          <w:marBottom w:val="0"/>
          <w:divBdr>
            <w:top w:val="none" w:sz="0" w:space="0" w:color="auto"/>
            <w:left w:val="none" w:sz="0" w:space="0" w:color="auto"/>
            <w:bottom w:val="none" w:sz="0" w:space="0" w:color="auto"/>
            <w:right w:val="none" w:sz="0" w:space="0" w:color="auto"/>
          </w:divBdr>
        </w:div>
        <w:div w:id="184251631">
          <w:marLeft w:val="640"/>
          <w:marRight w:val="0"/>
          <w:marTop w:val="0"/>
          <w:marBottom w:val="0"/>
          <w:divBdr>
            <w:top w:val="none" w:sz="0" w:space="0" w:color="auto"/>
            <w:left w:val="none" w:sz="0" w:space="0" w:color="auto"/>
            <w:bottom w:val="none" w:sz="0" w:space="0" w:color="auto"/>
            <w:right w:val="none" w:sz="0" w:space="0" w:color="auto"/>
          </w:divBdr>
        </w:div>
        <w:div w:id="189683195">
          <w:marLeft w:val="640"/>
          <w:marRight w:val="0"/>
          <w:marTop w:val="0"/>
          <w:marBottom w:val="0"/>
          <w:divBdr>
            <w:top w:val="none" w:sz="0" w:space="0" w:color="auto"/>
            <w:left w:val="none" w:sz="0" w:space="0" w:color="auto"/>
            <w:bottom w:val="none" w:sz="0" w:space="0" w:color="auto"/>
            <w:right w:val="none" w:sz="0" w:space="0" w:color="auto"/>
          </w:divBdr>
        </w:div>
        <w:div w:id="199755817">
          <w:marLeft w:val="640"/>
          <w:marRight w:val="0"/>
          <w:marTop w:val="0"/>
          <w:marBottom w:val="0"/>
          <w:divBdr>
            <w:top w:val="none" w:sz="0" w:space="0" w:color="auto"/>
            <w:left w:val="none" w:sz="0" w:space="0" w:color="auto"/>
            <w:bottom w:val="none" w:sz="0" w:space="0" w:color="auto"/>
            <w:right w:val="none" w:sz="0" w:space="0" w:color="auto"/>
          </w:divBdr>
        </w:div>
        <w:div w:id="204146205">
          <w:marLeft w:val="640"/>
          <w:marRight w:val="0"/>
          <w:marTop w:val="0"/>
          <w:marBottom w:val="0"/>
          <w:divBdr>
            <w:top w:val="none" w:sz="0" w:space="0" w:color="auto"/>
            <w:left w:val="none" w:sz="0" w:space="0" w:color="auto"/>
            <w:bottom w:val="none" w:sz="0" w:space="0" w:color="auto"/>
            <w:right w:val="none" w:sz="0" w:space="0" w:color="auto"/>
          </w:divBdr>
        </w:div>
        <w:div w:id="215557197">
          <w:marLeft w:val="640"/>
          <w:marRight w:val="0"/>
          <w:marTop w:val="0"/>
          <w:marBottom w:val="0"/>
          <w:divBdr>
            <w:top w:val="none" w:sz="0" w:space="0" w:color="auto"/>
            <w:left w:val="none" w:sz="0" w:space="0" w:color="auto"/>
            <w:bottom w:val="none" w:sz="0" w:space="0" w:color="auto"/>
            <w:right w:val="none" w:sz="0" w:space="0" w:color="auto"/>
          </w:divBdr>
        </w:div>
        <w:div w:id="216209107">
          <w:marLeft w:val="640"/>
          <w:marRight w:val="0"/>
          <w:marTop w:val="0"/>
          <w:marBottom w:val="0"/>
          <w:divBdr>
            <w:top w:val="none" w:sz="0" w:space="0" w:color="auto"/>
            <w:left w:val="none" w:sz="0" w:space="0" w:color="auto"/>
            <w:bottom w:val="none" w:sz="0" w:space="0" w:color="auto"/>
            <w:right w:val="none" w:sz="0" w:space="0" w:color="auto"/>
          </w:divBdr>
        </w:div>
        <w:div w:id="216477308">
          <w:marLeft w:val="640"/>
          <w:marRight w:val="0"/>
          <w:marTop w:val="0"/>
          <w:marBottom w:val="0"/>
          <w:divBdr>
            <w:top w:val="none" w:sz="0" w:space="0" w:color="auto"/>
            <w:left w:val="none" w:sz="0" w:space="0" w:color="auto"/>
            <w:bottom w:val="none" w:sz="0" w:space="0" w:color="auto"/>
            <w:right w:val="none" w:sz="0" w:space="0" w:color="auto"/>
          </w:divBdr>
        </w:div>
        <w:div w:id="226114207">
          <w:marLeft w:val="640"/>
          <w:marRight w:val="0"/>
          <w:marTop w:val="0"/>
          <w:marBottom w:val="0"/>
          <w:divBdr>
            <w:top w:val="none" w:sz="0" w:space="0" w:color="auto"/>
            <w:left w:val="none" w:sz="0" w:space="0" w:color="auto"/>
            <w:bottom w:val="none" w:sz="0" w:space="0" w:color="auto"/>
            <w:right w:val="none" w:sz="0" w:space="0" w:color="auto"/>
          </w:divBdr>
        </w:div>
        <w:div w:id="273680010">
          <w:marLeft w:val="640"/>
          <w:marRight w:val="0"/>
          <w:marTop w:val="0"/>
          <w:marBottom w:val="0"/>
          <w:divBdr>
            <w:top w:val="none" w:sz="0" w:space="0" w:color="auto"/>
            <w:left w:val="none" w:sz="0" w:space="0" w:color="auto"/>
            <w:bottom w:val="none" w:sz="0" w:space="0" w:color="auto"/>
            <w:right w:val="none" w:sz="0" w:space="0" w:color="auto"/>
          </w:divBdr>
        </w:div>
        <w:div w:id="294799878">
          <w:marLeft w:val="640"/>
          <w:marRight w:val="0"/>
          <w:marTop w:val="0"/>
          <w:marBottom w:val="0"/>
          <w:divBdr>
            <w:top w:val="none" w:sz="0" w:space="0" w:color="auto"/>
            <w:left w:val="none" w:sz="0" w:space="0" w:color="auto"/>
            <w:bottom w:val="none" w:sz="0" w:space="0" w:color="auto"/>
            <w:right w:val="none" w:sz="0" w:space="0" w:color="auto"/>
          </w:divBdr>
        </w:div>
        <w:div w:id="325280625">
          <w:marLeft w:val="640"/>
          <w:marRight w:val="0"/>
          <w:marTop w:val="0"/>
          <w:marBottom w:val="0"/>
          <w:divBdr>
            <w:top w:val="none" w:sz="0" w:space="0" w:color="auto"/>
            <w:left w:val="none" w:sz="0" w:space="0" w:color="auto"/>
            <w:bottom w:val="none" w:sz="0" w:space="0" w:color="auto"/>
            <w:right w:val="none" w:sz="0" w:space="0" w:color="auto"/>
          </w:divBdr>
        </w:div>
        <w:div w:id="379017536">
          <w:marLeft w:val="640"/>
          <w:marRight w:val="0"/>
          <w:marTop w:val="0"/>
          <w:marBottom w:val="0"/>
          <w:divBdr>
            <w:top w:val="none" w:sz="0" w:space="0" w:color="auto"/>
            <w:left w:val="none" w:sz="0" w:space="0" w:color="auto"/>
            <w:bottom w:val="none" w:sz="0" w:space="0" w:color="auto"/>
            <w:right w:val="none" w:sz="0" w:space="0" w:color="auto"/>
          </w:divBdr>
        </w:div>
        <w:div w:id="382172943">
          <w:marLeft w:val="640"/>
          <w:marRight w:val="0"/>
          <w:marTop w:val="0"/>
          <w:marBottom w:val="0"/>
          <w:divBdr>
            <w:top w:val="none" w:sz="0" w:space="0" w:color="auto"/>
            <w:left w:val="none" w:sz="0" w:space="0" w:color="auto"/>
            <w:bottom w:val="none" w:sz="0" w:space="0" w:color="auto"/>
            <w:right w:val="none" w:sz="0" w:space="0" w:color="auto"/>
          </w:divBdr>
        </w:div>
        <w:div w:id="423263607">
          <w:marLeft w:val="640"/>
          <w:marRight w:val="0"/>
          <w:marTop w:val="0"/>
          <w:marBottom w:val="0"/>
          <w:divBdr>
            <w:top w:val="none" w:sz="0" w:space="0" w:color="auto"/>
            <w:left w:val="none" w:sz="0" w:space="0" w:color="auto"/>
            <w:bottom w:val="none" w:sz="0" w:space="0" w:color="auto"/>
            <w:right w:val="none" w:sz="0" w:space="0" w:color="auto"/>
          </w:divBdr>
        </w:div>
        <w:div w:id="438451380">
          <w:marLeft w:val="640"/>
          <w:marRight w:val="0"/>
          <w:marTop w:val="0"/>
          <w:marBottom w:val="0"/>
          <w:divBdr>
            <w:top w:val="none" w:sz="0" w:space="0" w:color="auto"/>
            <w:left w:val="none" w:sz="0" w:space="0" w:color="auto"/>
            <w:bottom w:val="none" w:sz="0" w:space="0" w:color="auto"/>
            <w:right w:val="none" w:sz="0" w:space="0" w:color="auto"/>
          </w:divBdr>
        </w:div>
        <w:div w:id="482963465">
          <w:marLeft w:val="640"/>
          <w:marRight w:val="0"/>
          <w:marTop w:val="0"/>
          <w:marBottom w:val="0"/>
          <w:divBdr>
            <w:top w:val="none" w:sz="0" w:space="0" w:color="auto"/>
            <w:left w:val="none" w:sz="0" w:space="0" w:color="auto"/>
            <w:bottom w:val="none" w:sz="0" w:space="0" w:color="auto"/>
            <w:right w:val="none" w:sz="0" w:space="0" w:color="auto"/>
          </w:divBdr>
        </w:div>
        <w:div w:id="489565424">
          <w:marLeft w:val="640"/>
          <w:marRight w:val="0"/>
          <w:marTop w:val="0"/>
          <w:marBottom w:val="0"/>
          <w:divBdr>
            <w:top w:val="none" w:sz="0" w:space="0" w:color="auto"/>
            <w:left w:val="none" w:sz="0" w:space="0" w:color="auto"/>
            <w:bottom w:val="none" w:sz="0" w:space="0" w:color="auto"/>
            <w:right w:val="none" w:sz="0" w:space="0" w:color="auto"/>
          </w:divBdr>
        </w:div>
        <w:div w:id="511183196">
          <w:marLeft w:val="640"/>
          <w:marRight w:val="0"/>
          <w:marTop w:val="0"/>
          <w:marBottom w:val="0"/>
          <w:divBdr>
            <w:top w:val="none" w:sz="0" w:space="0" w:color="auto"/>
            <w:left w:val="none" w:sz="0" w:space="0" w:color="auto"/>
            <w:bottom w:val="none" w:sz="0" w:space="0" w:color="auto"/>
            <w:right w:val="none" w:sz="0" w:space="0" w:color="auto"/>
          </w:divBdr>
        </w:div>
        <w:div w:id="518587595">
          <w:marLeft w:val="640"/>
          <w:marRight w:val="0"/>
          <w:marTop w:val="0"/>
          <w:marBottom w:val="0"/>
          <w:divBdr>
            <w:top w:val="none" w:sz="0" w:space="0" w:color="auto"/>
            <w:left w:val="none" w:sz="0" w:space="0" w:color="auto"/>
            <w:bottom w:val="none" w:sz="0" w:space="0" w:color="auto"/>
            <w:right w:val="none" w:sz="0" w:space="0" w:color="auto"/>
          </w:divBdr>
        </w:div>
        <w:div w:id="591744742">
          <w:marLeft w:val="640"/>
          <w:marRight w:val="0"/>
          <w:marTop w:val="0"/>
          <w:marBottom w:val="0"/>
          <w:divBdr>
            <w:top w:val="none" w:sz="0" w:space="0" w:color="auto"/>
            <w:left w:val="none" w:sz="0" w:space="0" w:color="auto"/>
            <w:bottom w:val="none" w:sz="0" w:space="0" w:color="auto"/>
            <w:right w:val="none" w:sz="0" w:space="0" w:color="auto"/>
          </w:divBdr>
        </w:div>
        <w:div w:id="613707578">
          <w:marLeft w:val="640"/>
          <w:marRight w:val="0"/>
          <w:marTop w:val="0"/>
          <w:marBottom w:val="0"/>
          <w:divBdr>
            <w:top w:val="none" w:sz="0" w:space="0" w:color="auto"/>
            <w:left w:val="none" w:sz="0" w:space="0" w:color="auto"/>
            <w:bottom w:val="none" w:sz="0" w:space="0" w:color="auto"/>
            <w:right w:val="none" w:sz="0" w:space="0" w:color="auto"/>
          </w:divBdr>
        </w:div>
        <w:div w:id="691957845">
          <w:marLeft w:val="640"/>
          <w:marRight w:val="0"/>
          <w:marTop w:val="0"/>
          <w:marBottom w:val="0"/>
          <w:divBdr>
            <w:top w:val="none" w:sz="0" w:space="0" w:color="auto"/>
            <w:left w:val="none" w:sz="0" w:space="0" w:color="auto"/>
            <w:bottom w:val="none" w:sz="0" w:space="0" w:color="auto"/>
            <w:right w:val="none" w:sz="0" w:space="0" w:color="auto"/>
          </w:divBdr>
        </w:div>
        <w:div w:id="738209570">
          <w:marLeft w:val="640"/>
          <w:marRight w:val="0"/>
          <w:marTop w:val="0"/>
          <w:marBottom w:val="0"/>
          <w:divBdr>
            <w:top w:val="none" w:sz="0" w:space="0" w:color="auto"/>
            <w:left w:val="none" w:sz="0" w:space="0" w:color="auto"/>
            <w:bottom w:val="none" w:sz="0" w:space="0" w:color="auto"/>
            <w:right w:val="none" w:sz="0" w:space="0" w:color="auto"/>
          </w:divBdr>
        </w:div>
        <w:div w:id="746422242">
          <w:marLeft w:val="640"/>
          <w:marRight w:val="0"/>
          <w:marTop w:val="0"/>
          <w:marBottom w:val="0"/>
          <w:divBdr>
            <w:top w:val="none" w:sz="0" w:space="0" w:color="auto"/>
            <w:left w:val="none" w:sz="0" w:space="0" w:color="auto"/>
            <w:bottom w:val="none" w:sz="0" w:space="0" w:color="auto"/>
            <w:right w:val="none" w:sz="0" w:space="0" w:color="auto"/>
          </w:divBdr>
        </w:div>
        <w:div w:id="752899874">
          <w:marLeft w:val="640"/>
          <w:marRight w:val="0"/>
          <w:marTop w:val="0"/>
          <w:marBottom w:val="0"/>
          <w:divBdr>
            <w:top w:val="none" w:sz="0" w:space="0" w:color="auto"/>
            <w:left w:val="none" w:sz="0" w:space="0" w:color="auto"/>
            <w:bottom w:val="none" w:sz="0" w:space="0" w:color="auto"/>
            <w:right w:val="none" w:sz="0" w:space="0" w:color="auto"/>
          </w:divBdr>
        </w:div>
        <w:div w:id="781536271">
          <w:marLeft w:val="640"/>
          <w:marRight w:val="0"/>
          <w:marTop w:val="0"/>
          <w:marBottom w:val="0"/>
          <w:divBdr>
            <w:top w:val="none" w:sz="0" w:space="0" w:color="auto"/>
            <w:left w:val="none" w:sz="0" w:space="0" w:color="auto"/>
            <w:bottom w:val="none" w:sz="0" w:space="0" w:color="auto"/>
            <w:right w:val="none" w:sz="0" w:space="0" w:color="auto"/>
          </w:divBdr>
        </w:div>
        <w:div w:id="827675844">
          <w:marLeft w:val="640"/>
          <w:marRight w:val="0"/>
          <w:marTop w:val="0"/>
          <w:marBottom w:val="0"/>
          <w:divBdr>
            <w:top w:val="none" w:sz="0" w:space="0" w:color="auto"/>
            <w:left w:val="none" w:sz="0" w:space="0" w:color="auto"/>
            <w:bottom w:val="none" w:sz="0" w:space="0" w:color="auto"/>
            <w:right w:val="none" w:sz="0" w:space="0" w:color="auto"/>
          </w:divBdr>
        </w:div>
        <w:div w:id="831290504">
          <w:marLeft w:val="640"/>
          <w:marRight w:val="0"/>
          <w:marTop w:val="0"/>
          <w:marBottom w:val="0"/>
          <w:divBdr>
            <w:top w:val="none" w:sz="0" w:space="0" w:color="auto"/>
            <w:left w:val="none" w:sz="0" w:space="0" w:color="auto"/>
            <w:bottom w:val="none" w:sz="0" w:space="0" w:color="auto"/>
            <w:right w:val="none" w:sz="0" w:space="0" w:color="auto"/>
          </w:divBdr>
        </w:div>
        <w:div w:id="856584355">
          <w:marLeft w:val="640"/>
          <w:marRight w:val="0"/>
          <w:marTop w:val="0"/>
          <w:marBottom w:val="0"/>
          <w:divBdr>
            <w:top w:val="none" w:sz="0" w:space="0" w:color="auto"/>
            <w:left w:val="none" w:sz="0" w:space="0" w:color="auto"/>
            <w:bottom w:val="none" w:sz="0" w:space="0" w:color="auto"/>
            <w:right w:val="none" w:sz="0" w:space="0" w:color="auto"/>
          </w:divBdr>
        </w:div>
        <w:div w:id="877938332">
          <w:marLeft w:val="640"/>
          <w:marRight w:val="0"/>
          <w:marTop w:val="0"/>
          <w:marBottom w:val="0"/>
          <w:divBdr>
            <w:top w:val="none" w:sz="0" w:space="0" w:color="auto"/>
            <w:left w:val="none" w:sz="0" w:space="0" w:color="auto"/>
            <w:bottom w:val="none" w:sz="0" w:space="0" w:color="auto"/>
            <w:right w:val="none" w:sz="0" w:space="0" w:color="auto"/>
          </w:divBdr>
        </w:div>
        <w:div w:id="920216693">
          <w:marLeft w:val="640"/>
          <w:marRight w:val="0"/>
          <w:marTop w:val="0"/>
          <w:marBottom w:val="0"/>
          <w:divBdr>
            <w:top w:val="none" w:sz="0" w:space="0" w:color="auto"/>
            <w:left w:val="none" w:sz="0" w:space="0" w:color="auto"/>
            <w:bottom w:val="none" w:sz="0" w:space="0" w:color="auto"/>
            <w:right w:val="none" w:sz="0" w:space="0" w:color="auto"/>
          </w:divBdr>
        </w:div>
        <w:div w:id="938567010">
          <w:marLeft w:val="640"/>
          <w:marRight w:val="0"/>
          <w:marTop w:val="0"/>
          <w:marBottom w:val="0"/>
          <w:divBdr>
            <w:top w:val="none" w:sz="0" w:space="0" w:color="auto"/>
            <w:left w:val="none" w:sz="0" w:space="0" w:color="auto"/>
            <w:bottom w:val="none" w:sz="0" w:space="0" w:color="auto"/>
            <w:right w:val="none" w:sz="0" w:space="0" w:color="auto"/>
          </w:divBdr>
        </w:div>
        <w:div w:id="947005596">
          <w:marLeft w:val="640"/>
          <w:marRight w:val="0"/>
          <w:marTop w:val="0"/>
          <w:marBottom w:val="0"/>
          <w:divBdr>
            <w:top w:val="none" w:sz="0" w:space="0" w:color="auto"/>
            <w:left w:val="none" w:sz="0" w:space="0" w:color="auto"/>
            <w:bottom w:val="none" w:sz="0" w:space="0" w:color="auto"/>
            <w:right w:val="none" w:sz="0" w:space="0" w:color="auto"/>
          </w:divBdr>
        </w:div>
        <w:div w:id="981883605">
          <w:marLeft w:val="640"/>
          <w:marRight w:val="0"/>
          <w:marTop w:val="0"/>
          <w:marBottom w:val="0"/>
          <w:divBdr>
            <w:top w:val="none" w:sz="0" w:space="0" w:color="auto"/>
            <w:left w:val="none" w:sz="0" w:space="0" w:color="auto"/>
            <w:bottom w:val="none" w:sz="0" w:space="0" w:color="auto"/>
            <w:right w:val="none" w:sz="0" w:space="0" w:color="auto"/>
          </w:divBdr>
        </w:div>
        <w:div w:id="1010713893">
          <w:marLeft w:val="640"/>
          <w:marRight w:val="0"/>
          <w:marTop w:val="0"/>
          <w:marBottom w:val="0"/>
          <w:divBdr>
            <w:top w:val="none" w:sz="0" w:space="0" w:color="auto"/>
            <w:left w:val="none" w:sz="0" w:space="0" w:color="auto"/>
            <w:bottom w:val="none" w:sz="0" w:space="0" w:color="auto"/>
            <w:right w:val="none" w:sz="0" w:space="0" w:color="auto"/>
          </w:divBdr>
        </w:div>
        <w:div w:id="1013071414">
          <w:marLeft w:val="640"/>
          <w:marRight w:val="0"/>
          <w:marTop w:val="0"/>
          <w:marBottom w:val="0"/>
          <w:divBdr>
            <w:top w:val="none" w:sz="0" w:space="0" w:color="auto"/>
            <w:left w:val="none" w:sz="0" w:space="0" w:color="auto"/>
            <w:bottom w:val="none" w:sz="0" w:space="0" w:color="auto"/>
            <w:right w:val="none" w:sz="0" w:space="0" w:color="auto"/>
          </w:divBdr>
        </w:div>
        <w:div w:id="1021662756">
          <w:marLeft w:val="640"/>
          <w:marRight w:val="0"/>
          <w:marTop w:val="0"/>
          <w:marBottom w:val="0"/>
          <w:divBdr>
            <w:top w:val="none" w:sz="0" w:space="0" w:color="auto"/>
            <w:left w:val="none" w:sz="0" w:space="0" w:color="auto"/>
            <w:bottom w:val="none" w:sz="0" w:space="0" w:color="auto"/>
            <w:right w:val="none" w:sz="0" w:space="0" w:color="auto"/>
          </w:divBdr>
        </w:div>
        <w:div w:id="1034424073">
          <w:marLeft w:val="640"/>
          <w:marRight w:val="0"/>
          <w:marTop w:val="0"/>
          <w:marBottom w:val="0"/>
          <w:divBdr>
            <w:top w:val="none" w:sz="0" w:space="0" w:color="auto"/>
            <w:left w:val="none" w:sz="0" w:space="0" w:color="auto"/>
            <w:bottom w:val="none" w:sz="0" w:space="0" w:color="auto"/>
            <w:right w:val="none" w:sz="0" w:space="0" w:color="auto"/>
          </w:divBdr>
        </w:div>
        <w:div w:id="1045831594">
          <w:marLeft w:val="640"/>
          <w:marRight w:val="0"/>
          <w:marTop w:val="0"/>
          <w:marBottom w:val="0"/>
          <w:divBdr>
            <w:top w:val="none" w:sz="0" w:space="0" w:color="auto"/>
            <w:left w:val="none" w:sz="0" w:space="0" w:color="auto"/>
            <w:bottom w:val="none" w:sz="0" w:space="0" w:color="auto"/>
            <w:right w:val="none" w:sz="0" w:space="0" w:color="auto"/>
          </w:divBdr>
        </w:div>
        <w:div w:id="1133983498">
          <w:marLeft w:val="640"/>
          <w:marRight w:val="0"/>
          <w:marTop w:val="0"/>
          <w:marBottom w:val="0"/>
          <w:divBdr>
            <w:top w:val="none" w:sz="0" w:space="0" w:color="auto"/>
            <w:left w:val="none" w:sz="0" w:space="0" w:color="auto"/>
            <w:bottom w:val="none" w:sz="0" w:space="0" w:color="auto"/>
            <w:right w:val="none" w:sz="0" w:space="0" w:color="auto"/>
          </w:divBdr>
        </w:div>
        <w:div w:id="1177422456">
          <w:marLeft w:val="640"/>
          <w:marRight w:val="0"/>
          <w:marTop w:val="0"/>
          <w:marBottom w:val="0"/>
          <w:divBdr>
            <w:top w:val="none" w:sz="0" w:space="0" w:color="auto"/>
            <w:left w:val="none" w:sz="0" w:space="0" w:color="auto"/>
            <w:bottom w:val="none" w:sz="0" w:space="0" w:color="auto"/>
            <w:right w:val="none" w:sz="0" w:space="0" w:color="auto"/>
          </w:divBdr>
        </w:div>
        <w:div w:id="1195461725">
          <w:marLeft w:val="640"/>
          <w:marRight w:val="0"/>
          <w:marTop w:val="0"/>
          <w:marBottom w:val="0"/>
          <w:divBdr>
            <w:top w:val="none" w:sz="0" w:space="0" w:color="auto"/>
            <w:left w:val="none" w:sz="0" w:space="0" w:color="auto"/>
            <w:bottom w:val="none" w:sz="0" w:space="0" w:color="auto"/>
            <w:right w:val="none" w:sz="0" w:space="0" w:color="auto"/>
          </w:divBdr>
        </w:div>
        <w:div w:id="1234004906">
          <w:marLeft w:val="640"/>
          <w:marRight w:val="0"/>
          <w:marTop w:val="0"/>
          <w:marBottom w:val="0"/>
          <w:divBdr>
            <w:top w:val="none" w:sz="0" w:space="0" w:color="auto"/>
            <w:left w:val="none" w:sz="0" w:space="0" w:color="auto"/>
            <w:bottom w:val="none" w:sz="0" w:space="0" w:color="auto"/>
            <w:right w:val="none" w:sz="0" w:space="0" w:color="auto"/>
          </w:divBdr>
        </w:div>
        <w:div w:id="1244871284">
          <w:marLeft w:val="640"/>
          <w:marRight w:val="0"/>
          <w:marTop w:val="0"/>
          <w:marBottom w:val="0"/>
          <w:divBdr>
            <w:top w:val="none" w:sz="0" w:space="0" w:color="auto"/>
            <w:left w:val="none" w:sz="0" w:space="0" w:color="auto"/>
            <w:bottom w:val="none" w:sz="0" w:space="0" w:color="auto"/>
            <w:right w:val="none" w:sz="0" w:space="0" w:color="auto"/>
          </w:divBdr>
        </w:div>
        <w:div w:id="1341739024">
          <w:marLeft w:val="640"/>
          <w:marRight w:val="0"/>
          <w:marTop w:val="0"/>
          <w:marBottom w:val="0"/>
          <w:divBdr>
            <w:top w:val="none" w:sz="0" w:space="0" w:color="auto"/>
            <w:left w:val="none" w:sz="0" w:space="0" w:color="auto"/>
            <w:bottom w:val="none" w:sz="0" w:space="0" w:color="auto"/>
            <w:right w:val="none" w:sz="0" w:space="0" w:color="auto"/>
          </w:divBdr>
        </w:div>
        <w:div w:id="1420906744">
          <w:marLeft w:val="640"/>
          <w:marRight w:val="0"/>
          <w:marTop w:val="0"/>
          <w:marBottom w:val="0"/>
          <w:divBdr>
            <w:top w:val="none" w:sz="0" w:space="0" w:color="auto"/>
            <w:left w:val="none" w:sz="0" w:space="0" w:color="auto"/>
            <w:bottom w:val="none" w:sz="0" w:space="0" w:color="auto"/>
            <w:right w:val="none" w:sz="0" w:space="0" w:color="auto"/>
          </w:divBdr>
        </w:div>
        <w:div w:id="1490361317">
          <w:marLeft w:val="640"/>
          <w:marRight w:val="0"/>
          <w:marTop w:val="0"/>
          <w:marBottom w:val="0"/>
          <w:divBdr>
            <w:top w:val="none" w:sz="0" w:space="0" w:color="auto"/>
            <w:left w:val="none" w:sz="0" w:space="0" w:color="auto"/>
            <w:bottom w:val="none" w:sz="0" w:space="0" w:color="auto"/>
            <w:right w:val="none" w:sz="0" w:space="0" w:color="auto"/>
          </w:divBdr>
        </w:div>
        <w:div w:id="1557861752">
          <w:marLeft w:val="640"/>
          <w:marRight w:val="0"/>
          <w:marTop w:val="0"/>
          <w:marBottom w:val="0"/>
          <w:divBdr>
            <w:top w:val="none" w:sz="0" w:space="0" w:color="auto"/>
            <w:left w:val="none" w:sz="0" w:space="0" w:color="auto"/>
            <w:bottom w:val="none" w:sz="0" w:space="0" w:color="auto"/>
            <w:right w:val="none" w:sz="0" w:space="0" w:color="auto"/>
          </w:divBdr>
        </w:div>
        <w:div w:id="1581913084">
          <w:marLeft w:val="640"/>
          <w:marRight w:val="0"/>
          <w:marTop w:val="0"/>
          <w:marBottom w:val="0"/>
          <w:divBdr>
            <w:top w:val="none" w:sz="0" w:space="0" w:color="auto"/>
            <w:left w:val="none" w:sz="0" w:space="0" w:color="auto"/>
            <w:bottom w:val="none" w:sz="0" w:space="0" w:color="auto"/>
            <w:right w:val="none" w:sz="0" w:space="0" w:color="auto"/>
          </w:divBdr>
        </w:div>
        <w:div w:id="1592618939">
          <w:marLeft w:val="640"/>
          <w:marRight w:val="0"/>
          <w:marTop w:val="0"/>
          <w:marBottom w:val="0"/>
          <w:divBdr>
            <w:top w:val="none" w:sz="0" w:space="0" w:color="auto"/>
            <w:left w:val="none" w:sz="0" w:space="0" w:color="auto"/>
            <w:bottom w:val="none" w:sz="0" w:space="0" w:color="auto"/>
            <w:right w:val="none" w:sz="0" w:space="0" w:color="auto"/>
          </w:divBdr>
        </w:div>
        <w:div w:id="1604536193">
          <w:marLeft w:val="640"/>
          <w:marRight w:val="0"/>
          <w:marTop w:val="0"/>
          <w:marBottom w:val="0"/>
          <w:divBdr>
            <w:top w:val="none" w:sz="0" w:space="0" w:color="auto"/>
            <w:left w:val="none" w:sz="0" w:space="0" w:color="auto"/>
            <w:bottom w:val="none" w:sz="0" w:space="0" w:color="auto"/>
            <w:right w:val="none" w:sz="0" w:space="0" w:color="auto"/>
          </w:divBdr>
        </w:div>
        <w:div w:id="1621112003">
          <w:marLeft w:val="640"/>
          <w:marRight w:val="0"/>
          <w:marTop w:val="0"/>
          <w:marBottom w:val="0"/>
          <w:divBdr>
            <w:top w:val="none" w:sz="0" w:space="0" w:color="auto"/>
            <w:left w:val="none" w:sz="0" w:space="0" w:color="auto"/>
            <w:bottom w:val="none" w:sz="0" w:space="0" w:color="auto"/>
            <w:right w:val="none" w:sz="0" w:space="0" w:color="auto"/>
          </w:divBdr>
        </w:div>
        <w:div w:id="1712728762">
          <w:marLeft w:val="640"/>
          <w:marRight w:val="0"/>
          <w:marTop w:val="0"/>
          <w:marBottom w:val="0"/>
          <w:divBdr>
            <w:top w:val="none" w:sz="0" w:space="0" w:color="auto"/>
            <w:left w:val="none" w:sz="0" w:space="0" w:color="auto"/>
            <w:bottom w:val="none" w:sz="0" w:space="0" w:color="auto"/>
            <w:right w:val="none" w:sz="0" w:space="0" w:color="auto"/>
          </w:divBdr>
        </w:div>
        <w:div w:id="1767074277">
          <w:marLeft w:val="640"/>
          <w:marRight w:val="0"/>
          <w:marTop w:val="0"/>
          <w:marBottom w:val="0"/>
          <w:divBdr>
            <w:top w:val="none" w:sz="0" w:space="0" w:color="auto"/>
            <w:left w:val="none" w:sz="0" w:space="0" w:color="auto"/>
            <w:bottom w:val="none" w:sz="0" w:space="0" w:color="auto"/>
            <w:right w:val="none" w:sz="0" w:space="0" w:color="auto"/>
          </w:divBdr>
        </w:div>
        <w:div w:id="1777213936">
          <w:marLeft w:val="640"/>
          <w:marRight w:val="0"/>
          <w:marTop w:val="0"/>
          <w:marBottom w:val="0"/>
          <w:divBdr>
            <w:top w:val="none" w:sz="0" w:space="0" w:color="auto"/>
            <w:left w:val="none" w:sz="0" w:space="0" w:color="auto"/>
            <w:bottom w:val="none" w:sz="0" w:space="0" w:color="auto"/>
            <w:right w:val="none" w:sz="0" w:space="0" w:color="auto"/>
          </w:divBdr>
        </w:div>
        <w:div w:id="1791438752">
          <w:marLeft w:val="640"/>
          <w:marRight w:val="0"/>
          <w:marTop w:val="0"/>
          <w:marBottom w:val="0"/>
          <w:divBdr>
            <w:top w:val="none" w:sz="0" w:space="0" w:color="auto"/>
            <w:left w:val="none" w:sz="0" w:space="0" w:color="auto"/>
            <w:bottom w:val="none" w:sz="0" w:space="0" w:color="auto"/>
            <w:right w:val="none" w:sz="0" w:space="0" w:color="auto"/>
          </w:divBdr>
        </w:div>
        <w:div w:id="1804037709">
          <w:marLeft w:val="640"/>
          <w:marRight w:val="0"/>
          <w:marTop w:val="0"/>
          <w:marBottom w:val="0"/>
          <w:divBdr>
            <w:top w:val="none" w:sz="0" w:space="0" w:color="auto"/>
            <w:left w:val="none" w:sz="0" w:space="0" w:color="auto"/>
            <w:bottom w:val="none" w:sz="0" w:space="0" w:color="auto"/>
            <w:right w:val="none" w:sz="0" w:space="0" w:color="auto"/>
          </w:divBdr>
        </w:div>
        <w:div w:id="1857956825">
          <w:marLeft w:val="640"/>
          <w:marRight w:val="0"/>
          <w:marTop w:val="0"/>
          <w:marBottom w:val="0"/>
          <w:divBdr>
            <w:top w:val="none" w:sz="0" w:space="0" w:color="auto"/>
            <w:left w:val="none" w:sz="0" w:space="0" w:color="auto"/>
            <w:bottom w:val="none" w:sz="0" w:space="0" w:color="auto"/>
            <w:right w:val="none" w:sz="0" w:space="0" w:color="auto"/>
          </w:divBdr>
        </w:div>
        <w:div w:id="1953710370">
          <w:marLeft w:val="640"/>
          <w:marRight w:val="0"/>
          <w:marTop w:val="0"/>
          <w:marBottom w:val="0"/>
          <w:divBdr>
            <w:top w:val="none" w:sz="0" w:space="0" w:color="auto"/>
            <w:left w:val="none" w:sz="0" w:space="0" w:color="auto"/>
            <w:bottom w:val="none" w:sz="0" w:space="0" w:color="auto"/>
            <w:right w:val="none" w:sz="0" w:space="0" w:color="auto"/>
          </w:divBdr>
        </w:div>
        <w:div w:id="1989360893">
          <w:marLeft w:val="640"/>
          <w:marRight w:val="0"/>
          <w:marTop w:val="0"/>
          <w:marBottom w:val="0"/>
          <w:divBdr>
            <w:top w:val="none" w:sz="0" w:space="0" w:color="auto"/>
            <w:left w:val="none" w:sz="0" w:space="0" w:color="auto"/>
            <w:bottom w:val="none" w:sz="0" w:space="0" w:color="auto"/>
            <w:right w:val="none" w:sz="0" w:space="0" w:color="auto"/>
          </w:divBdr>
        </w:div>
        <w:div w:id="2100520774">
          <w:marLeft w:val="640"/>
          <w:marRight w:val="0"/>
          <w:marTop w:val="0"/>
          <w:marBottom w:val="0"/>
          <w:divBdr>
            <w:top w:val="none" w:sz="0" w:space="0" w:color="auto"/>
            <w:left w:val="none" w:sz="0" w:space="0" w:color="auto"/>
            <w:bottom w:val="none" w:sz="0" w:space="0" w:color="auto"/>
            <w:right w:val="none" w:sz="0" w:space="0" w:color="auto"/>
          </w:divBdr>
        </w:div>
        <w:div w:id="2106882798">
          <w:marLeft w:val="640"/>
          <w:marRight w:val="0"/>
          <w:marTop w:val="0"/>
          <w:marBottom w:val="0"/>
          <w:divBdr>
            <w:top w:val="none" w:sz="0" w:space="0" w:color="auto"/>
            <w:left w:val="none" w:sz="0" w:space="0" w:color="auto"/>
            <w:bottom w:val="none" w:sz="0" w:space="0" w:color="auto"/>
            <w:right w:val="none" w:sz="0" w:space="0" w:color="auto"/>
          </w:divBdr>
        </w:div>
        <w:div w:id="2115592613">
          <w:marLeft w:val="640"/>
          <w:marRight w:val="0"/>
          <w:marTop w:val="0"/>
          <w:marBottom w:val="0"/>
          <w:divBdr>
            <w:top w:val="none" w:sz="0" w:space="0" w:color="auto"/>
            <w:left w:val="none" w:sz="0" w:space="0" w:color="auto"/>
            <w:bottom w:val="none" w:sz="0" w:space="0" w:color="auto"/>
            <w:right w:val="none" w:sz="0" w:space="0" w:color="auto"/>
          </w:divBdr>
        </w:div>
        <w:div w:id="2130081684">
          <w:marLeft w:val="640"/>
          <w:marRight w:val="0"/>
          <w:marTop w:val="0"/>
          <w:marBottom w:val="0"/>
          <w:divBdr>
            <w:top w:val="none" w:sz="0" w:space="0" w:color="auto"/>
            <w:left w:val="none" w:sz="0" w:space="0" w:color="auto"/>
            <w:bottom w:val="none" w:sz="0" w:space="0" w:color="auto"/>
            <w:right w:val="none" w:sz="0" w:space="0" w:color="auto"/>
          </w:divBdr>
        </w:div>
        <w:div w:id="2142453742">
          <w:marLeft w:val="640"/>
          <w:marRight w:val="0"/>
          <w:marTop w:val="0"/>
          <w:marBottom w:val="0"/>
          <w:divBdr>
            <w:top w:val="none" w:sz="0" w:space="0" w:color="auto"/>
            <w:left w:val="none" w:sz="0" w:space="0" w:color="auto"/>
            <w:bottom w:val="none" w:sz="0" w:space="0" w:color="auto"/>
            <w:right w:val="none" w:sz="0" w:space="0" w:color="auto"/>
          </w:divBdr>
        </w:div>
      </w:divsChild>
    </w:div>
    <w:div w:id="388189772">
      <w:bodyDiv w:val="1"/>
      <w:marLeft w:val="0"/>
      <w:marRight w:val="0"/>
      <w:marTop w:val="0"/>
      <w:marBottom w:val="0"/>
      <w:divBdr>
        <w:top w:val="none" w:sz="0" w:space="0" w:color="auto"/>
        <w:left w:val="none" w:sz="0" w:space="0" w:color="auto"/>
        <w:bottom w:val="none" w:sz="0" w:space="0" w:color="auto"/>
        <w:right w:val="none" w:sz="0" w:space="0" w:color="auto"/>
      </w:divBdr>
      <w:divsChild>
        <w:div w:id="13388826">
          <w:marLeft w:val="640"/>
          <w:marRight w:val="0"/>
          <w:marTop w:val="0"/>
          <w:marBottom w:val="0"/>
          <w:divBdr>
            <w:top w:val="none" w:sz="0" w:space="0" w:color="auto"/>
            <w:left w:val="none" w:sz="0" w:space="0" w:color="auto"/>
            <w:bottom w:val="none" w:sz="0" w:space="0" w:color="auto"/>
            <w:right w:val="none" w:sz="0" w:space="0" w:color="auto"/>
          </w:divBdr>
        </w:div>
        <w:div w:id="46537776">
          <w:marLeft w:val="640"/>
          <w:marRight w:val="0"/>
          <w:marTop w:val="0"/>
          <w:marBottom w:val="0"/>
          <w:divBdr>
            <w:top w:val="none" w:sz="0" w:space="0" w:color="auto"/>
            <w:left w:val="none" w:sz="0" w:space="0" w:color="auto"/>
            <w:bottom w:val="none" w:sz="0" w:space="0" w:color="auto"/>
            <w:right w:val="none" w:sz="0" w:space="0" w:color="auto"/>
          </w:divBdr>
        </w:div>
        <w:div w:id="98718047">
          <w:marLeft w:val="640"/>
          <w:marRight w:val="0"/>
          <w:marTop w:val="0"/>
          <w:marBottom w:val="0"/>
          <w:divBdr>
            <w:top w:val="none" w:sz="0" w:space="0" w:color="auto"/>
            <w:left w:val="none" w:sz="0" w:space="0" w:color="auto"/>
            <w:bottom w:val="none" w:sz="0" w:space="0" w:color="auto"/>
            <w:right w:val="none" w:sz="0" w:space="0" w:color="auto"/>
          </w:divBdr>
        </w:div>
        <w:div w:id="107163733">
          <w:marLeft w:val="640"/>
          <w:marRight w:val="0"/>
          <w:marTop w:val="0"/>
          <w:marBottom w:val="0"/>
          <w:divBdr>
            <w:top w:val="none" w:sz="0" w:space="0" w:color="auto"/>
            <w:left w:val="none" w:sz="0" w:space="0" w:color="auto"/>
            <w:bottom w:val="none" w:sz="0" w:space="0" w:color="auto"/>
            <w:right w:val="none" w:sz="0" w:space="0" w:color="auto"/>
          </w:divBdr>
        </w:div>
        <w:div w:id="107239298">
          <w:marLeft w:val="640"/>
          <w:marRight w:val="0"/>
          <w:marTop w:val="0"/>
          <w:marBottom w:val="0"/>
          <w:divBdr>
            <w:top w:val="none" w:sz="0" w:space="0" w:color="auto"/>
            <w:left w:val="none" w:sz="0" w:space="0" w:color="auto"/>
            <w:bottom w:val="none" w:sz="0" w:space="0" w:color="auto"/>
            <w:right w:val="none" w:sz="0" w:space="0" w:color="auto"/>
          </w:divBdr>
        </w:div>
        <w:div w:id="114914053">
          <w:marLeft w:val="640"/>
          <w:marRight w:val="0"/>
          <w:marTop w:val="0"/>
          <w:marBottom w:val="0"/>
          <w:divBdr>
            <w:top w:val="none" w:sz="0" w:space="0" w:color="auto"/>
            <w:left w:val="none" w:sz="0" w:space="0" w:color="auto"/>
            <w:bottom w:val="none" w:sz="0" w:space="0" w:color="auto"/>
            <w:right w:val="none" w:sz="0" w:space="0" w:color="auto"/>
          </w:divBdr>
        </w:div>
        <w:div w:id="149564238">
          <w:marLeft w:val="640"/>
          <w:marRight w:val="0"/>
          <w:marTop w:val="0"/>
          <w:marBottom w:val="0"/>
          <w:divBdr>
            <w:top w:val="none" w:sz="0" w:space="0" w:color="auto"/>
            <w:left w:val="none" w:sz="0" w:space="0" w:color="auto"/>
            <w:bottom w:val="none" w:sz="0" w:space="0" w:color="auto"/>
            <w:right w:val="none" w:sz="0" w:space="0" w:color="auto"/>
          </w:divBdr>
        </w:div>
        <w:div w:id="192351419">
          <w:marLeft w:val="640"/>
          <w:marRight w:val="0"/>
          <w:marTop w:val="0"/>
          <w:marBottom w:val="0"/>
          <w:divBdr>
            <w:top w:val="none" w:sz="0" w:space="0" w:color="auto"/>
            <w:left w:val="none" w:sz="0" w:space="0" w:color="auto"/>
            <w:bottom w:val="none" w:sz="0" w:space="0" w:color="auto"/>
            <w:right w:val="none" w:sz="0" w:space="0" w:color="auto"/>
          </w:divBdr>
        </w:div>
        <w:div w:id="198127735">
          <w:marLeft w:val="640"/>
          <w:marRight w:val="0"/>
          <w:marTop w:val="0"/>
          <w:marBottom w:val="0"/>
          <w:divBdr>
            <w:top w:val="none" w:sz="0" w:space="0" w:color="auto"/>
            <w:left w:val="none" w:sz="0" w:space="0" w:color="auto"/>
            <w:bottom w:val="none" w:sz="0" w:space="0" w:color="auto"/>
            <w:right w:val="none" w:sz="0" w:space="0" w:color="auto"/>
          </w:divBdr>
        </w:div>
        <w:div w:id="231434101">
          <w:marLeft w:val="640"/>
          <w:marRight w:val="0"/>
          <w:marTop w:val="0"/>
          <w:marBottom w:val="0"/>
          <w:divBdr>
            <w:top w:val="none" w:sz="0" w:space="0" w:color="auto"/>
            <w:left w:val="none" w:sz="0" w:space="0" w:color="auto"/>
            <w:bottom w:val="none" w:sz="0" w:space="0" w:color="auto"/>
            <w:right w:val="none" w:sz="0" w:space="0" w:color="auto"/>
          </w:divBdr>
        </w:div>
        <w:div w:id="235093112">
          <w:marLeft w:val="640"/>
          <w:marRight w:val="0"/>
          <w:marTop w:val="0"/>
          <w:marBottom w:val="0"/>
          <w:divBdr>
            <w:top w:val="none" w:sz="0" w:space="0" w:color="auto"/>
            <w:left w:val="none" w:sz="0" w:space="0" w:color="auto"/>
            <w:bottom w:val="none" w:sz="0" w:space="0" w:color="auto"/>
            <w:right w:val="none" w:sz="0" w:space="0" w:color="auto"/>
          </w:divBdr>
        </w:div>
        <w:div w:id="254704326">
          <w:marLeft w:val="640"/>
          <w:marRight w:val="0"/>
          <w:marTop w:val="0"/>
          <w:marBottom w:val="0"/>
          <w:divBdr>
            <w:top w:val="none" w:sz="0" w:space="0" w:color="auto"/>
            <w:left w:val="none" w:sz="0" w:space="0" w:color="auto"/>
            <w:bottom w:val="none" w:sz="0" w:space="0" w:color="auto"/>
            <w:right w:val="none" w:sz="0" w:space="0" w:color="auto"/>
          </w:divBdr>
        </w:div>
        <w:div w:id="278801630">
          <w:marLeft w:val="640"/>
          <w:marRight w:val="0"/>
          <w:marTop w:val="0"/>
          <w:marBottom w:val="0"/>
          <w:divBdr>
            <w:top w:val="none" w:sz="0" w:space="0" w:color="auto"/>
            <w:left w:val="none" w:sz="0" w:space="0" w:color="auto"/>
            <w:bottom w:val="none" w:sz="0" w:space="0" w:color="auto"/>
            <w:right w:val="none" w:sz="0" w:space="0" w:color="auto"/>
          </w:divBdr>
        </w:div>
        <w:div w:id="332608858">
          <w:marLeft w:val="640"/>
          <w:marRight w:val="0"/>
          <w:marTop w:val="0"/>
          <w:marBottom w:val="0"/>
          <w:divBdr>
            <w:top w:val="none" w:sz="0" w:space="0" w:color="auto"/>
            <w:left w:val="none" w:sz="0" w:space="0" w:color="auto"/>
            <w:bottom w:val="none" w:sz="0" w:space="0" w:color="auto"/>
            <w:right w:val="none" w:sz="0" w:space="0" w:color="auto"/>
          </w:divBdr>
        </w:div>
        <w:div w:id="357782125">
          <w:marLeft w:val="640"/>
          <w:marRight w:val="0"/>
          <w:marTop w:val="0"/>
          <w:marBottom w:val="0"/>
          <w:divBdr>
            <w:top w:val="none" w:sz="0" w:space="0" w:color="auto"/>
            <w:left w:val="none" w:sz="0" w:space="0" w:color="auto"/>
            <w:bottom w:val="none" w:sz="0" w:space="0" w:color="auto"/>
            <w:right w:val="none" w:sz="0" w:space="0" w:color="auto"/>
          </w:divBdr>
        </w:div>
        <w:div w:id="393622907">
          <w:marLeft w:val="640"/>
          <w:marRight w:val="0"/>
          <w:marTop w:val="0"/>
          <w:marBottom w:val="0"/>
          <w:divBdr>
            <w:top w:val="none" w:sz="0" w:space="0" w:color="auto"/>
            <w:left w:val="none" w:sz="0" w:space="0" w:color="auto"/>
            <w:bottom w:val="none" w:sz="0" w:space="0" w:color="auto"/>
            <w:right w:val="none" w:sz="0" w:space="0" w:color="auto"/>
          </w:divBdr>
        </w:div>
        <w:div w:id="414014597">
          <w:marLeft w:val="640"/>
          <w:marRight w:val="0"/>
          <w:marTop w:val="0"/>
          <w:marBottom w:val="0"/>
          <w:divBdr>
            <w:top w:val="none" w:sz="0" w:space="0" w:color="auto"/>
            <w:left w:val="none" w:sz="0" w:space="0" w:color="auto"/>
            <w:bottom w:val="none" w:sz="0" w:space="0" w:color="auto"/>
            <w:right w:val="none" w:sz="0" w:space="0" w:color="auto"/>
          </w:divBdr>
        </w:div>
        <w:div w:id="450633595">
          <w:marLeft w:val="640"/>
          <w:marRight w:val="0"/>
          <w:marTop w:val="0"/>
          <w:marBottom w:val="0"/>
          <w:divBdr>
            <w:top w:val="none" w:sz="0" w:space="0" w:color="auto"/>
            <w:left w:val="none" w:sz="0" w:space="0" w:color="auto"/>
            <w:bottom w:val="none" w:sz="0" w:space="0" w:color="auto"/>
            <w:right w:val="none" w:sz="0" w:space="0" w:color="auto"/>
          </w:divBdr>
        </w:div>
        <w:div w:id="454180040">
          <w:marLeft w:val="640"/>
          <w:marRight w:val="0"/>
          <w:marTop w:val="0"/>
          <w:marBottom w:val="0"/>
          <w:divBdr>
            <w:top w:val="none" w:sz="0" w:space="0" w:color="auto"/>
            <w:left w:val="none" w:sz="0" w:space="0" w:color="auto"/>
            <w:bottom w:val="none" w:sz="0" w:space="0" w:color="auto"/>
            <w:right w:val="none" w:sz="0" w:space="0" w:color="auto"/>
          </w:divBdr>
        </w:div>
        <w:div w:id="499807032">
          <w:marLeft w:val="640"/>
          <w:marRight w:val="0"/>
          <w:marTop w:val="0"/>
          <w:marBottom w:val="0"/>
          <w:divBdr>
            <w:top w:val="none" w:sz="0" w:space="0" w:color="auto"/>
            <w:left w:val="none" w:sz="0" w:space="0" w:color="auto"/>
            <w:bottom w:val="none" w:sz="0" w:space="0" w:color="auto"/>
            <w:right w:val="none" w:sz="0" w:space="0" w:color="auto"/>
          </w:divBdr>
        </w:div>
        <w:div w:id="530998469">
          <w:marLeft w:val="640"/>
          <w:marRight w:val="0"/>
          <w:marTop w:val="0"/>
          <w:marBottom w:val="0"/>
          <w:divBdr>
            <w:top w:val="none" w:sz="0" w:space="0" w:color="auto"/>
            <w:left w:val="none" w:sz="0" w:space="0" w:color="auto"/>
            <w:bottom w:val="none" w:sz="0" w:space="0" w:color="auto"/>
            <w:right w:val="none" w:sz="0" w:space="0" w:color="auto"/>
          </w:divBdr>
        </w:div>
        <w:div w:id="617179499">
          <w:marLeft w:val="640"/>
          <w:marRight w:val="0"/>
          <w:marTop w:val="0"/>
          <w:marBottom w:val="0"/>
          <w:divBdr>
            <w:top w:val="none" w:sz="0" w:space="0" w:color="auto"/>
            <w:left w:val="none" w:sz="0" w:space="0" w:color="auto"/>
            <w:bottom w:val="none" w:sz="0" w:space="0" w:color="auto"/>
            <w:right w:val="none" w:sz="0" w:space="0" w:color="auto"/>
          </w:divBdr>
        </w:div>
        <w:div w:id="633876031">
          <w:marLeft w:val="640"/>
          <w:marRight w:val="0"/>
          <w:marTop w:val="0"/>
          <w:marBottom w:val="0"/>
          <w:divBdr>
            <w:top w:val="none" w:sz="0" w:space="0" w:color="auto"/>
            <w:left w:val="none" w:sz="0" w:space="0" w:color="auto"/>
            <w:bottom w:val="none" w:sz="0" w:space="0" w:color="auto"/>
            <w:right w:val="none" w:sz="0" w:space="0" w:color="auto"/>
          </w:divBdr>
        </w:div>
        <w:div w:id="648830737">
          <w:marLeft w:val="640"/>
          <w:marRight w:val="0"/>
          <w:marTop w:val="0"/>
          <w:marBottom w:val="0"/>
          <w:divBdr>
            <w:top w:val="none" w:sz="0" w:space="0" w:color="auto"/>
            <w:left w:val="none" w:sz="0" w:space="0" w:color="auto"/>
            <w:bottom w:val="none" w:sz="0" w:space="0" w:color="auto"/>
            <w:right w:val="none" w:sz="0" w:space="0" w:color="auto"/>
          </w:divBdr>
        </w:div>
        <w:div w:id="655764237">
          <w:marLeft w:val="640"/>
          <w:marRight w:val="0"/>
          <w:marTop w:val="0"/>
          <w:marBottom w:val="0"/>
          <w:divBdr>
            <w:top w:val="none" w:sz="0" w:space="0" w:color="auto"/>
            <w:left w:val="none" w:sz="0" w:space="0" w:color="auto"/>
            <w:bottom w:val="none" w:sz="0" w:space="0" w:color="auto"/>
            <w:right w:val="none" w:sz="0" w:space="0" w:color="auto"/>
          </w:divBdr>
        </w:div>
        <w:div w:id="706370206">
          <w:marLeft w:val="640"/>
          <w:marRight w:val="0"/>
          <w:marTop w:val="0"/>
          <w:marBottom w:val="0"/>
          <w:divBdr>
            <w:top w:val="none" w:sz="0" w:space="0" w:color="auto"/>
            <w:left w:val="none" w:sz="0" w:space="0" w:color="auto"/>
            <w:bottom w:val="none" w:sz="0" w:space="0" w:color="auto"/>
            <w:right w:val="none" w:sz="0" w:space="0" w:color="auto"/>
          </w:divBdr>
        </w:div>
        <w:div w:id="715277618">
          <w:marLeft w:val="640"/>
          <w:marRight w:val="0"/>
          <w:marTop w:val="0"/>
          <w:marBottom w:val="0"/>
          <w:divBdr>
            <w:top w:val="none" w:sz="0" w:space="0" w:color="auto"/>
            <w:left w:val="none" w:sz="0" w:space="0" w:color="auto"/>
            <w:bottom w:val="none" w:sz="0" w:space="0" w:color="auto"/>
            <w:right w:val="none" w:sz="0" w:space="0" w:color="auto"/>
          </w:divBdr>
        </w:div>
        <w:div w:id="747117429">
          <w:marLeft w:val="640"/>
          <w:marRight w:val="0"/>
          <w:marTop w:val="0"/>
          <w:marBottom w:val="0"/>
          <w:divBdr>
            <w:top w:val="none" w:sz="0" w:space="0" w:color="auto"/>
            <w:left w:val="none" w:sz="0" w:space="0" w:color="auto"/>
            <w:bottom w:val="none" w:sz="0" w:space="0" w:color="auto"/>
            <w:right w:val="none" w:sz="0" w:space="0" w:color="auto"/>
          </w:divBdr>
        </w:div>
        <w:div w:id="761606486">
          <w:marLeft w:val="640"/>
          <w:marRight w:val="0"/>
          <w:marTop w:val="0"/>
          <w:marBottom w:val="0"/>
          <w:divBdr>
            <w:top w:val="none" w:sz="0" w:space="0" w:color="auto"/>
            <w:left w:val="none" w:sz="0" w:space="0" w:color="auto"/>
            <w:bottom w:val="none" w:sz="0" w:space="0" w:color="auto"/>
            <w:right w:val="none" w:sz="0" w:space="0" w:color="auto"/>
          </w:divBdr>
        </w:div>
        <w:div w:id="763384908">
          <w:marLeft w:val="640"/>
          <w:marRight w:val="0"/>
          <w:marTop w:val="0"/>
          <w:marBottom w:val="0"/>
          <w:divBdr>
            <w:top w:val="none" w:sz="0" w:space="0" w:color="auto"/>
            <w:left w:val="none" w:sz="0" w:space="0" w:color="auto"/>
            <w:bottom w:val="none" w:sz="0" w:space="0" w:color="auto"/>
            <w:right w:val="none" w:sz="0" w:space="0" w:color="auto"/>
          </w:divBdr>
        </w:div>
        <w:div w:id="801115152">
          <w:marLeft w:val="640"/>
          <w:marRight w:val="0"/>
          <w:marTop w:val="0"/>
          <w:marBottom w:val="0"/>
          <w:divBdr>
            <w:top w:val="none" w:sz="0" w:space="0" w:color="auto"/>
            <w:left w:val="none" w:sz="0" w:space="0" w:color="auto"/>
            <w:bottom w:val="none" w:sz="0" w:space="0" w:color="auto"/>
            <w:right w:val="none" w:sz="0" w:space="0" w:color="auto"/>
          </w:divBdr>
        </w:div>
        <w:div w:id="838471164">
          <w:marLeft w:val="640"/>
          <w:marRight w:val="0"/>
          <w:marTop w:val="0"/>
          <w:marBottom w:val="0"/>
          <w:divBdr>
            <w:top w:val="none" w:sz="0" w:space="0" w:color="auto"/>
            <w:left w:val="none" w:sz="0" w:space="0" w:color="auto"/>
            <w:bottom w:val="none" w:sz="0" w:space="0" w:color="auto"/>
            <w:right w:val="none" w:sz="0" w:space="0" w:color="auto"/>
          </w:divBdr>
        </w:div>
        <w:div w:id="902133655">
          <w:marLeft w:val="640"/>
          <w:marRight w:val="0"/>
          <w:marTop w:val="0"/>
          <w:marBottom w:val="0"/>
          <w:divBdr>
            <w:top w:val="none" w:sz="0" w:space="0" w:color="auto"/>
            <w:left w:val="none" w:sz="0" w:space="0" w:color="auto"/>
            <w:bottom w:val="none" w:sz="0" w:space="0" w:color="auto"/>
            <w:right w:val="none" w:sz="0" w:space="0" w:color="auto"/>
          </w:divBdr>
        </w:div>
        <w:div w:id="914902115">
          <w:marLeft w:val="640"/>
          <w:marRight w:val="0"/>
          <w:marTop w:val="0"/>
          <w:marBottom w:val="0"/>
          <w:divBdr>
            <w:top w:val="none" w:sz="0" w:space="0" w:color="auto"/>
            <w:left w:val="none" w:sz="0" w:space="0" w:color="auto"/>
            <w:bottom w:val="none" w:sz="0" w:space="0" w:color="auto"/>
            <w:right w:val="none" w:sz="0" w:space="0" w:color="auto"/>
          </w:divBdr>
        </w:div>
        <w:div w:id="950472275">
          <w:marLeft w:val="640"/>
          <w:marRight w:val="0"/>
          <w:marTop w:val="0"/>
          <w:marBottom w:val="0"/>
          <w:divBdr>
            <w:top w:val="none" w:sz="0" w:space="0" w:color="auto"/>
            <w:left w:val="none" w:sz="0" w:space="0" w:color="auto"/>
            <w:bottom w:val="none" w:sz="0" w:space="0" w:color="auto"/>
            <w:right w:val="none" w:sz="0" w:space="0" w:color="auto"/>
          </w:divBdr>
        </w:div>
        <w:div w:id="985746589">
          <w:marLeft w:val="640"/>
          <w:marRight w:val="0"/>
          <w:marTop w:val="0"/>
          <w:marBottom w:val="0"/>
          <w:divBdr>
            <w:top w:val="none" w:sz="0" w:space="0" w:color="auto"/>
            <w:left w:val="none" w:sz="0" w:space="0" w:color="auto"/>
            <w:bottom w:val="none" w:sz="0" w:space="0" w:color="auto"/>
            <w:right w:val="none" w:sz="0" w:space="0" w:color="auto"/>
          </w:divBdr>
        </w:div>
        <w:div w:id="995260293">
          <w:marLeft w:val="640"/>
          <w:marRight w:val="0"/>
          <w:marTop w:val="0"/>
          <w:marBottom w:val="0"/>
          <w:divBdr>
            <w:top w:val="none" w:sz="0" w:space="0" w:color="auto"/>
            <w:left w:val="none" w:sz="0" w:space="0" w:color="auto"/>
            <w:bottom w:val="none" w:sz="0" w:space="0" w:color="auto"/>
            <w:right w:val="none" w:sz="0" w:space="0" w:color="auto"/>
          </w:divBdr>
        </w:div>
        <w:div w:id="1002391789">
          <w:marLeft w:val="640"/>
          <w:marRight w:val="0"/>
          <w:marTop w:val="0"/>
          <w:marBottom w:val="0"/>
          <w:divBdr>
            <w:top w:val="none" w:sz="0" w:space="0" w:color="auto"/>
            <w:left w:val="none" w:sz="0" w:space="0" w:color="auto"/>
            <w:bottom w:val="none" w:sz="0" w:space="0" w:color="auto"/>
            <w:right w:val="none" w:sz="0" w:space="0" w:color="auto"/>
          </w:divBdr>
        </w:div>
        <w:div w:id="1064793618">
          <w:marLeft w:val="640"/>
          <w:marRight w:val="0"/>
          <w:marTop w:val="0"/>
          <w:marBottom w:val="0"/>
          <w:divBdr>
            <w:top w:val="none" w:sz="0" w:space="0" w:color="auto"/>
            <w:left w:val="none" w:sz="0" w:space="0" w:color="auto"/>
            <w:bottom w:val="none" w:sz="0" w:space="0" w:color="auto"/>
            <w:right w:val="none" w:sz="0" w:space="0" w:color="auto"/>
          </w:divBdr>
        </w:div>
        <w:div w:id="1121999688">
          <w:marLeft w:val="640"/>
          <w:marRight w:val="0"/>
          <w:marTop w:val="0"/>
          <w:marBottom w:val="0"/>
          <w:divBdr>
            <w:top w:val="none" w:sz="0" w:space="0" w:color="auto"/>
            <w:left w:val="none" w:sz="0" w:space="0" w:color="auto"/>
            <w:bottom w:val="none" w:sz="0" w:space="0" w:color="auto"/>
            <w:right w:val="none" w:sz="0" w:space="0" w:color="auto"/>
          </w:divBdr>
        </w:div>
        <w:div w:id="1148013982">
          <w:marLeft w:val="640"/>
          <w:marRight w:val="0"/>
          <w:marTop w:val="0"/>
          <w:marBottom w:val="0"/>
          <w:divBdr>
            <w:top w:val="none" w:sz="0" w:space="0" w:color="auto"/>
            <w:left w:val="none" w:sz="0" w:space="0" w:color="auto"/>
            <w:bottom w:val="none" w:sz="0" w:space="0" w:color="auto"/>
            <w:right w:val="none" w:sz="0" w:space="0" w:color="auto"/>
          </w:divBdr>
        </w:div>
        <w:div w:id="1162283058">
          <w:marLeft w:val="640"/>
          <w:marRight w:val="0"/>
          <w:marTop w:val="0"/>
          <w:marBottom w:val="0"/>
          <w:divBdr>
            <w:top w:val="none" w:sz="0" w:space="0" w:color="auto"/>
            <w:left w:val="none" w:sz="0" w:space="0" w:color="auto"/>
            <w:bottom w:val="none" w:sz="0" w:space="0" w:color="auto"/>
            <w:right w:val="none" w:sz="0" w:space="0" w:color="auto"/>
          </w:divBdr>
        </w:div>
        <w:div w:id="1167404378">
          <w:marLeft w:val="640"/>
          <w:marRight w:val="0"/>
          <w:marTop w:val="0"/>
          <w:marBottom w:val="0"/>
          <w:divBdr>
            <w:top w:val="none" w:sz="0" w:space="0" w:color="auto"/>
            <w:left w:val="none" w:sz="0" w:space="0" w:color="auto"/>
            <w:bottom w:val="none" w:sz="0" w:space="0" w:color="auto"/>
            <w:right w:val="none" w:sz="0" w:space="0" w:color="auto"/>
          </w:divBdr>
        </w:div>
        <w:div w:id="1192570163">
          <w:marLeft w:val="640"/>
          <w:marRight w:val="0"/>
          <w:marTop w:val="0"/>
          <w:marBottom w:val="0"/>
          <w:divBdr>
            <w:top w:val="none" w:sz="0" w:space="0" w:color="auto"/>
            <w:left w:val="none" w:sz="0" w:space="0" w:color="auto"/>
            <w:bottom w:val="none" w:sz="0" w:space="0" w:color="auto"/>
            <w:right w:val="none" w:sz="0" w:space="0" w:color="auto"/>
          </w:divBdr>
        </w:div>
        <w:div w:id="1202018600">
          <w:marLeft w:val="640"/>
          <w:marRight w:val="0"/>
          <w:marTop w:val="0"/>
          <w:marBottom w:val="0"/>
          <w:divBdr>
            <w:top w:val="none" w:sz="0" w:space="0" w:color="auto"/>
            <w:left w:val="none" w:sz="0" w:space="0" w:color="auto"/>
            <w:bottom w:val="none" w:sz="0" w:space="0" w:color="auto"/>
            <w:right w:val="none" w:sz="0" w:space="0" w:color="auto"/>
          </w:divBdr>
        </w:div>
        <w:div w:id="1218590275">
          <w:marLeft w:val="640"/>
          <w:marRight w:val="0"/>
          <w:marTop w:val="0"/>
          <w:marBottom w:val="0"/>
          <w:divBdr>
            <w:top w:val="none" w:sz="0" w:space="0" w:color="auto"/>
            <w:left w:val="none" w:sz="0" w:space="0" w:color="auto"/>
            <w:bottom w:val="none" w:sz="0" w:space="0" w:color="auto"/>
            <w:right w:val="none" w:sz="0" w:space="0" w:color="auto"/>
          </w:divBdr>
        </w:div>
        <w:div w:id="1232153970">
          <w:marLeft w:val="640"/>
          <w:marRight w:val="0"/>
          <w:marTop w:val="0"/>
          <w:marBottom w:val="0"/>
          <w:divBdr>
            <w:top w:val="none" w:sz="0" w:space="0" w:color="auto"/>
            <w:left w:val="none" w:sz="0" w:space="0" w:color="auto"/>
            <w:bottom w:val="none" w:sz="0" w:space="0" w:color="auto"/>
            <w:right w:val="none" w:sz="0" w:space="0" w:color="auto"/>
          </w:divBdr>
        </w:div>
        <w:div w:id="1282491146">
          <w:marLeft w:val="640"/>
          <w:marRight w:val="0"/>
          <w:marTop w:val="0"/>
          <w:marBottom w:val="0"/>
          <w:divBdr>
            <w:top w:val="none" w:sz="0" w:space="0" w:color="auto"/>
            <w:left w:val="none" w:sz="0" w:space="0" w:color="auto"/>
            <w:bottom w:val="none" w:sz="0" w:space="0" w:color="auto"/>
            <w:right w:val="none" w:sz="0" w:space="0" w:color="auto"/>
          </w:divBdr>
        </w:div>
        <w:div w:id="1312363907">
          <w:marLeft w:val="640"/>
          <w:marRight w:val="0"/>
          <w:marTop w:val="0"/>
          <w:marBottom w:val="0"/>
          <w:divBdr>
            <w:top w:val="none" w:sz="0" w:space="0" w:color="auto"/>
            <w:left w:val="none" w:sz="0" w:space="0" w:color="auto"/>
            <w:bottom w:val="none" w:sz="0" w:space="0" w:color="auto"/>
            <w:right w:val="none" w:sz="0" w:space="0" w:color="auto"/>
          </w:divBdr>
        </w:div>
        <w:div w:id="1400638239">
          <w:marLeft w:val="640"/>
          <w:marRight w:val="0"/>
          <w:marTop w:val="0"/>
          <w:marBottom w:val="0"/>
          <w:divBdr>
            <w:top w:val="none" w:sz="0" w:space="0" w:color="auto"/>
            <w:left w:val="none" w:sz="0" w:space="0" w:color="auto"/>
            <w:bottom w:val="none" w:sz="0" w:space="0" w:color="auto"/>
            <w:right w:val="none" w:sz="0" w:space="0" w:color="auto"/>
          </w:divBdr>
        </w:div>
        <w:div w:id="1484390547">
          <w:marLeft w:val="640"/>
          <w:marRight w:val="0"/>
          <w:marTop w:val="0"/>
          <w:marBottom w:val="0"/>
          <w:divBdr>
            <w:top w:val="none" w:sz="0" w:space="0" w:color="auto"/>
            <w:left w:val="none" w:sz="0" w:space="0" w:color="auto"/>
            <w:bottom w:val="none" w:sz="0" w:space="0" w:color="auto"/>
            <w:right w:val="none" w:sz="0" w:space="0" w:color="auto"/>
          </w:divBdr>
        </w:div>
        <w:div w:id="1485128134">
          <w:marLeft w:val="640"/>
          <w:marRight w:val="0"/>
          <w:marTop w:val="0"/>
          <w:marBottom w:val="0"/>
          <w:divBdr>
            <w:top w:val="none" w:sz="0" w:space="0" w:color="auto"/>
            <w:left w:val="none" w:sz="0" w:space="0" w:color="auto"/>
            <w:bottom w:val="none" w:sz="0" w:space="0" w:color="auto"/>
            <w:right w:val="none" w:sz="0" w:space="0" w:color="auto"/>
          </w:divBdr>
        </w:div>
        <w:div w:id="1499423561">
          <w:marLeft w:val="640"/>
          <w:marRight w:val="0"/>
          <w:marTop w:val="0"/>
          <w:marBottom w:val="0"/>
          <w:divBdr>
            <w:top w:val="none" w:sz="0" w:space="0" w:color="auto"/>
            <w:left w:val="none" w:sz="0" w:space="0" w:color="auto"/>
            <w:bottom w:val="none" w:sz="0" w:space="0" w:color="auto"/>
            <w:right w:val="none" w:sz="0" w:space="0" w:color="auto"/>
          </w:divBdr>
        </w:div>
        <w:div w:id="1581480616">
          <w:marLeft w:val="640"/>
          <w:marRight w:val="0"/>
          <w:marTop w:val="0"/>
          <w:marBottom w:val="0"/>
          <w:divBdr>
            <w:top w:val="none" w:sz="0" w:space="0" w:color="auto"/>
            <w:left w:val="none" w:sz="0" w:space="0" w:color="auto"/>
            <w:bottom w:val="none" w:sz="0" w:space="0" w:color="auto"/>
            <w:right w:val="none" w:sz="0" w:space="0" w:color="auto"/>
          </w:divBdr>
        </w:div>
        <w:div w:id="1693147567">
          <w:marLeft w:val="640"/>
          <w:marRight w:val="0"/>
          <w:marTop w:val="0"/>
          <w:marBottom w:val="0"/>
          <w:divBdr>
            <w:top w:val="none" w:sz="0" w:space="0" w:color="auto"/>
            <w:left w:val="none" w:sz="0" w:space="0" w:color="auto"/>
            <w:bottom w:val="none" w:sz="0" w:space="0" w:color="auto"/>
            <w:right w:val="none" w:sz="0" w:space="0" w:color="auto"/>
          </w:divBdr>
        </w:div>
        <w:div w:id="1716809245">
          <w:marLeft w:val="640"/>
          <w:marRight w:val="0"/>
          <w:marTop w:val="0"/>
          <w:marBottom w:val="0"/>
          <w:divBdr>
            <w:top w:val="none" w:sz="0" w:space="0" w:color="auto"/>
            <w:left w:val="none" w:sz="0" w:space="0" w:color="auto"/>
            <w:bottom w:val="none" w:sz="0" w:space="0" w:color="auto"/>
            <w:right w:val="none" w:sz="0" w:space="0" w:color="auto"/>
          </w:divBdr>
        </w:div>
        <w:div w:id="1720200151">
          <w:marLeft w:val="640"/>
          <w:marRight w:val="0"/>
          <w:marTop w:val="0"/>
          <w:marBottom w:val="0"/>
          <w:divBdr>
            <w:top w:val="none" w:sz="0" w:space="0" w:color="auto"/>
            <w:left w:val="none" w:sz="0" w:space="0" w:color="auto"/>
            <w:bottom w:val="none" w:sz="0" w:space="0" w:color="auto"/>
            <w:right w:val="none" w:sz="0" w:space="0" w:color="auto"/>
          </w:divBdr>
        </w:div>
        <w:div w:id="1724333642">
          <w:marLeft w:val="640"/>
          <w:marRight w:val="0"/>
          <w:marTop w:val="0"/>
          <w:marBottom w:val="0"/>
          <w:divBdr>
            <w:top w:val="none" w:sz="0" w:space="0" w:color="auto"/>
            <w:left w:val="none" w:sz="0" w:space="0" w:color="auto"/>
            <w:bottom w:val="none" w:sz="0" w:space="0" w:color="auto"/>
            <w:right w:val="none" w:sz="0" w:space="0" w:color="auto"/>
          </w:divBdr>
        </w:div>
        <w:div w:id="1820532659">
          <w:marLeft w:val="640"/>
          <w:marRight w:val="0"/>
          <w:marTop w:val="0"/>
          <w:marBottom w:val="0"/>
          <w:divBdr>
            <w:top w:val="none" w:sz="0" w:space="0" w:color="auto"/>
            <w:left w:val="none" w:sz="0" w:space="0" w:color="auto"/>
            <w:bottom w:val="none" w:sz="0" w:space="0" w:color="auto"/>
            <w:right w:val="none" w:sz="0" w:space="0" w:color="auto"/>
          </w:divBdr>
        </w:div>
        <w:div w:id="1820800294">
          <w:marLeft w:val="640"/>
          <w:marRight w:val="0"/>
          <w:marTop w:val="0"/>
          <w:marBottom w:val="0"/>
          <w:divBdr>
            <w:top w:val="none" w:sz="0" w:space="0" w:color="auto"/>
            <w:left w:val="none" w:sz="0" w:space="0" w:color="auto"/>
            <w:bottom w:val="none" w:sz="0" w:space="0" w:color="auto"/>
            <w:right w:val="none" w:sz="0" w:space="0" w:color="auto"/>
          </w:divBdr>
        </w:div>
        <w:div w:id="1821728659">
          <w:marLeft w:val="640"/>
          <w:marRight w:val="0"/>
          <w:marTop w:val="0"/>
          <w:marBottom w:val="0"/>
          <w:divBdr>
            <w:top w:val="none" w:sz="0" w:space="0" w:color="auto"/>
            <w:left w:val="none" w:sz="0" w:space="0" w:color="auto"/>
            <w:bottom w:val="none" w:sz="0" w:space="0" w:color="auto"/>
            <w:right w:val="none" w:sz="0" w:space="0" w:color="auto"/>
          </w:divBdr>
        </w:div>
        <w:div w:id="1872720358">
          <w:marLeft w:val="640"/>
          <w:marRight w:val="0"/>
          <w:marTop w:val="0"/>
          <w:marBottom w:val="0"/>
          <w:divBdr>
            <w:top w:val="none" w:sz="0" w:space="0" w:color="auto"/>
            <w:left w:val="none" w:sz="0" w:space="0" w:color="auto"/>
            <w:bottom w:val="none" w:sz="0" w:space="0" w:color="auto"/>
            <w:right w:val="none" w:sz="0" w:space="0" w:color="auto"/>
          </w:divBdr>
        </w:div>
        <w:div w:id="1875773883">
          <w:marLeft w:val="640"/>
          <w:marRight w:val="0"/>
          <w:marTop w:val="0"/>
          <w:marBottom w:val="0"/>
          <w:divBdr>
            <w:top w:val="none" w:sz="0" w:space="0" w:color="auto"/>
            <w:left w:val="none" w:sz="0" w:space="0" w:color="auto"/>
            <w:bottom w:val="none" w:sz="0" w:space="0" w:color="auto"/>
            <w:right w:val="none" w:sz="0" w:space="0" w:color="auto"/>
          </w:divBdr>
        </w:div>
        <w:div w:id="1875842470">
          <w:marLeft w:val="640"/>
          <w:marRight w:val="0"/>
          <w:marTop w:val="0"/>
          <w:marBottom w:val="0"/>
          <w:divBdr>
            <w:top w:val="none" w:sz="0" w:space="0" w:color="auto"/>
            <w:left w:val="none" w:sz="0" w:space="0" w:color="auto"/>
            <w:bottom w:val="none" w:sz="0" w:space="0" w:color="auto"/>
            <w:right w:val="none" w:sz="0" w:space="0" w:color="auto"/>
          </w:divBdr>
        </w:div>
        <w:div w:id="1958292464">
          <w:marLeft w:val="640"/>
          <w:marRight w:val="0"/>
          <w:marTop w:val="0"/>
          <w:marBottom w:val="0"/>
          <w:divBdr>
            <w:top w:val="none" w:sz="0" w:space="0" w:color="auto"/>
            <w:left w:val="none" w:sz="0" w:space="0" w:color="auto"/>
            <w:bottom w:val="none" w:sz="0" w:space="0" w:color="auto"/>
            <w:right w:val="none" w:sz="0" w:space="0" w:color="auto"/>
          </w:divBdr>
        </w:div>
        <w:div w:id="1976061795">
          <w:marLeft w:val="640"/>
          <w:marRight w:val="0"/>
          <w:marTop w:val="0"/>
          <w:marBottom w:val="0"/>
          <w:divBdr>
            <w:top w:val="none" w:sz="0" w:space="0" w:color="auto"/>
            <w:left w:val="none" w:sz="0" w:space="0" w:color="auto"/>
            <w:bottom w:val="none" w:sz="0" w:space="0" w:color="auto"/>
            <w:right w:val="none" w:sz="0" w:space="0" w:color="auto"/>
          </w:divBdr>
        </w:div>
        <w:div w:id="2001156501">
          <w:marLeft w:val="640"/>
          <w:marRight w:val="0"/>
          <w:marTop w:val="0"/>
          <w:marBottom w:val="0"/>
          <w:divBdr>
            <w:top w:val="none" w:sz="0" w:space="0" w:color="auto"/>
            <w:left w:val="none" w:sz="0" w:space="0" w:color="auto"/>
            <w:bottom w:val="none" w:sz="0" w:space="0" w:color="auto"/>
            <w:right w:val="none" w:sz="0" w:space="0" w:color="auto"/>
          </w:divBdr>
        </w:div>
        <w:div w:id="2007441463">
          <w:marLeft w:val="640"/>
          <w:marRight w:val="0"/>
          <w:marTop w:val="0"/>
          <w:marBottom w:val="0"/>
          <w:divBdr>
            <w:top w:val="none" w:sz="0" w:space="0" w:color="auto"/>
            <w:left w:val="none" w:sz="0" w:space="0" w:color="auto"/>
            <w:bottom w:val="none" w:sz="0" w:space="0" w:color="auto"/>
            <w:right w:val="none" w:sz="0" w:space="0" w:color="auto"/>
          </w:divBdr>
        </w:div>
        <w:div w:id="2029485108">
          <w:marLeft w:val="640"/>
          <w:marRight w:val="0"/>
          <w:marTop w:val="0"/>
          <w:marBottom w:val="0"/>
          <w:divBdr>
            <w:top w:val="none" w:sz="0" w:space="0" w:color="auto"/>
            <w:left w:val="none" w:sz="0" w:space="0" w:color="auto"/>
            <w:bottom w:val="none" w:sz="0" w:space="0" w:color="auto"/>
            <w:right w:val="none" w:sz="0" w:space="0" w:color="auto"/>
          </w:divBdr>
        </w:div>
        <w:div w:id="2114280590">
          <w:marLeft w:val="640"/>
          <w:marRight w:val="0"/>
          <w:marTop w:val="0"/>
          <w:marBottom w:val="0"/>
          <w:divBdr>
            <w:top w:val="none" w:sz="0" w:space="0" w:color="auto"/>
            <w:left w:val="none" w:sz="0" w:space="0" w:color="auto"/>
            <w:bottom w:val="none" w:sz="0" w:space="0" w:color="auto"/>
            <w:right w:val="none" w:sz="0" w:space="0" w:color="auto"/>
          </w:divBdr>
        </w:div>
        <w:div w:id="2138986287">
          <w:marLeft w:val="640"/>
          <w:marRight w:val="0"/>
          <w:marTop w:val="0"/>
          <w:marBottom w:val="0"/>
          <w:divBdr>
            <w:top w:val="none" w:sz="0" w:space="0" w:color="auto"/>
            <w:left w:val="none" w:sz="0" w:space="0" w:color="auto"/>
            <w:bottom w:val="none" w:sz="0" w:space="0" w:color="auto"/>
            <w:right w:val="none" w:sz="0" w:space="0" w:color="auto"/>
          </w:divBdr>
        </w:div>
      </w:divsChild>
    </w:div>
    <w:div w:id="413748178">
      <w:bodyDiv w:val="1"/>
      <w:marLeft w:val="0"/>
      <w:marRight w:val="0"/>
      <w:marTop w:val="0"/>
      <w:marBottom w:val="0"/>
      <w:divBdr>
        <w:top w:val="none" w:sz="0" w:space="0" w:color="auto"/>
        <w:left w:val="none" w:sz="0" w:space="0" w:color="auto"/>
        <w:bottom w:val="none" w:sz="0" w:space="0" w:color="auto"/>
        <w:right w:val="none" w:sz="0" w:space="0" w:color="auto"/>
      </w:divBdr>
      <w:divsChild>
        <w:div w:id="1051420812">
          <w:marLeft w:val="480"/>
          <w:marRight w:val="0"/>
          <w:marTop w:val="0"/>
          <w:marBottom w:val="0"/>
          <w:divBdr>
            <w:top w:val="none" w:sz="0" w:space="0" w:color="auto"/>
            <w:left w:val="none" w:sz="0" w:space="0" w:color="auto"/>
            <w:bottom w:val="none" w:sz="0" w:space="0" w:color="auto"/>
            <w:right w:val="none" w:sz="0" w:space="0" w:color="auto"/>
          </w:divBdr>
        </w:div>
        <w:div w:id="1865821698">
          <w:marLeft w:val="480"/>
          <w:marRight w:val="0"/>
          <w:marTop w:val="0"/>
          <w:marBottom w:val="0"/>
          <w:divBdr>
            <w:top w:val="none" w:sz="0" w:space="0" w:color="auto"/>
            <w:left w:val="none" w:sz="0" w:space="0" w:color="auto"/>
            <w:bottom w:val="none" w:sz="0" w:space="0" w:color="auto"/>
            <w:right w:val="none" w:sz="0" w:space="0" w:color="auto"/>
          </w:divBdr>
        </w:div>
        <w:div w:id="653800344">
          <w:marLeft w:val="480"/>
          <w:marRight w:val="0"/>
          <w:marTop w:val="0"/>
          <w:marBottom w:val="0"/>
          <w:divBdr>
            <w:top w:val="none" w:sz="0" w:space="0" w:color="auto"/>
            <w:left w:val="none" w:sz="0" w:space="0" w:color="auto"/>
            <w:bottom w:val="none" w:sz="0" w:space="0" w:color="auto"/>
            <w:right w:val="none" w:sz="0" w:space="0" w:color="auto"/>
          </w:divBdr>
        </w:div>
        <w:div w:id="2014450874">
          <w:marLeft w:val="480"/>
          <w:marRight w:val="0"/>
          <w:marTop w:val="0"/>
          <w:marBottom w:val="0"/>
          <w:divBdr>
            <w:top w:val="none" w:sz="0" w:space="0" w:color="auto"/>
            <w:left w:val="none" w:sz="0" w:space="0" w:color="auto"/>
            <w:bottom w:val="none" w:sz="0" w:space="0" w:color="auto"/>
            <w:right w:val="none" w:sz="0" w:space="0" w:color="auto"/>
          </w:divBdr>
        </w:div>
        <w:div w:id="1015767487">
          <w:marLeft w:val="480"/>
          <w:marRight w:val="0"/>
          <w:marTop w:val="0"/>
          <w:marBottom w:val="0"/>
          <w:divBdr>
            <w:top w:val="none" w:sz="0" w:space="0" w:color="auto"/>
            <w:left w:val="none" w:sz="0" w:space="0" w:color="auto"/>
            <w:bottom w:val="none" w:sz="0" w:space="0" w:color="auto"/>
            <w:right w:val="none" w:sz="0" w:space="0" w:color="auto"/>
          </w:divBdr>
        </w:div>
        <w:div w:id="2083407340">
          <w:marLeft w:val="480"/>
          <w:marRight w:val="0"/>
          <w:marTop w:val="0"/>
          <w:marBottom w:val="0"/>
          <w:divBdr>
            <w:top w:val="none" w:sz="0" w:space="0" w:color="auto"/>
            <w:left w:val="none" w:sz="0" w:space="0" w:color="auto"/>
            <w:bottom w:val="none" w:sz="0" w:space="0" w:color="auto"/>
            <w:right w:val="none" w:sz="0" w:space="0" w:color="auto"/>
          </w:divBdr>
        </w:div>
      </w:divsChild>
    </w:div>
    <w:div w:id="430274417">
      <w:bodyDiv w:val="1"/>
      <w:marLeft w:val="0"/>
      <w:marRight w:val="0"/>
      <w:marTop w:val="0"/>
      <w:marBottom w:val="0"/>
      <w:divBdr>
        <w:top w:val="none" w:sz="0" w:space="0" w:color="auto"/>
        <w:left w:val="none" w:sz="0" w:space="0" w:color="auto"/>
        <w:bottom w:val="none" w:sz="0" w:space="0" w:color="auto"/>
        <w:right w:val="none" w:sz="0" w:space="0" w:color="auto"/>
      </w:divBdr>
    </w:div>
    <w:div w:id="431903872">
      <w:bodyDiv w:val="1"/>
      <w:marLeft w:val="0"/>
      <w:marRight w:val="0"/>
      <w:marTop w:val="0"/>
      <w:marBottom w:val="0"/>
      <w:divBdr>
        <w:top w:val="none" w:sz="0" w:space="0" w:color="auto"/>
        <w:left w:val="none" w:sz="0" w:space="0" w:color="auto"/>
        <w:bottom w:val="none" w:sz="0" w:space="0" w:color="auto"/>
        <w:right w:val="none" w:sz="0" w:space="0" w:color="auto"/>
      </w:divBdr>
    </w:div>
    <w:div w:id="441346636">
      <w:bodyDiv w:val="1"/>
      <w:marLeft w:val="0"/>
      <w:marRight w:val="0"/>
      <w:marTop w:val="0"/>
      <w:marBottom w:val="0"/>
      <w:divBdr>
        <w:top w:val="none" w:sz="0" w:space="0" w:color="auto"/>
        <w:left w:val="none" w:sz="0" w:space="0" w:color="auto"/>
        <w:bottom w:val="none" w:sz="0" w:space="0" w:color="auto"/>
        <w:right w:val="none" w:sz="0" w:space="0" w:color="auto"/>
      </w:divBdr>
      <w:divsChild>
        <w:div w:id="781454952">
          <w:marLeft w:val="480"/>
          <w:marRight w:val="0"/>
          <w:marTop w:val="0"/>
          <w:marBottom w:val="0"/>
          <w:divBdr>
            <w:top w:val="none" w:sz="0" w:space="0" w:color="auto"/>
            <w:left w:val="none" w:sz="0" w:space="0" w:color="auto"/>
            <w:bottom w:val="none" w:sz="0" w:space="0" w:color="auto"/>
            <w:right w:val="none" w:sz="0" w:space="0" w:color="auto"/>
          </w:divBdr>
        </w:div>
        <w:div w:id="949361373">
          <w:marLeft w:val="480"/>
          <w:marRight w:val="0"/>
          <w:marTop w:val="0"/>
          <w:marBottom w:val="0"/>
          <w:divBdr>
            <w:top w:val="none" w:sz="0" w:space="0" w:color="auto"/>
            <w:left w:val="none" w:sz="0" w:space="0" w:color="auto"/>
            <w:bottom w:val="none" w:sz="0" w:space="0" w:color="auto"/>
            <w:right w:val="none" w:sz="0" w:space="0" w:color="auto"/>
          </w:divBdr>
        </w:div>
        <w:div w:id="584656109">
          <w:marLeft w:val="480"/>
          <w:marRight w:val="0"/>
          <w:marTop w:val="0"/>
          <w:marBottom w:val="0"/>
          <w:divBdr>
            <w:top w:val="none" w:sz="0" w:space="0" w:color="auto"/>
            <w:left w:val="none" w:sz="0" w:space="0" w:color="auto"/>
            <w:bottom w:val="none" w:sz="0" w:space="0" w:color="auto"/>
            <w:right w:val="none" w:sz="0" w:space="0" w:color="auto"/>
          </w:divBdr>
        </w:div>
        <w:div w:id="545485578">
          <w:marLeft w:val="480"/>
          <w:marRight w:val="0"/>
          <w:marTop w:val="0"/>
          <w:marBottom w:val="0"/>
          <w:divBdr>
            <w:top w:val="none" w:sz="0" w:space="0" w:color="auto"/>
            <w:left w:val="none" w:sz="0" w:space="0" w:color="auto"/>
            <w:bottom w:val="none" w:sz="0" w:space="0" w:color="auto"/>
            <w:right w:val="none" w:sz="0" w:space="0" w:color="auto"/>
          </w:divBdr>
        </w:div>
        <w:div w:id="1850371455">
          <w:marLeft w:val="480"/>
          <w:marRight w:val="0"/>
          <w:marTop w:val="0"/>
          <w:marBottom w:val="0"/>
          <w:divBdr>
            <w:top w:val="none" w:sz="0" w:space="0" w:color="auto"/>
            <w:left w:val="none" w:sz="0" w:space="0" w:color="auto"/>
            <w:bottom w:val="none" w:sz="0" w:space="0" w:color="auto"/>
            <w:right w:val="none" w:sz="0" w:space="0" w:color="auto"/>
          </w:divBdr>
        </w:div>
        <w:div w:id="1297108291">
          <w:marLeft w:val="480"/>
          <w:marRight w:val="0"/>
          <w:marTop w:val="0"/>
          <w:marBottom w:val="0"/>
          <w:divBdr>
            <w:top w:val="none" w:sz="0" w:space="0" w:color="auto"/>
            <w:left w:val="none" w:sz="0" w:space="0" w:color="auto"/>
            <w:bottom w:val="none" w:sz="0" w:space="0" w:color="auto"/>
            <w:right w:val="none" w:sz="0" w:space="0" w:color="auto"/>
          </w:divBdr>
        </w:div>
      </w:divsChild>
    </w:div>
    <w:div w:id="451100606">
      <w:bodyDiv w:val="1"/>
      <w:marLeft w:val="0"/>
      <w:marRight w:val="0"/>
      <w:marTop w:val="0"/>
      <w:marBottom w:val="0"/>
      <w:divBdr>
        <w:top w:val="none" w:sz="0" w:space="0" w:color="auto"/>
        <w:left w:val="none" w:sz="0" w:space="0" w:color="auto"/>
        <w:bottom w:val="none" w:sz="0" w:space="0" w:color="auto"/>
        <w:right w:val="none" w:sz="0" w:space="0" w:color="auto"/>
      </w:divBdr>
      <w:divsChild>
        <w:div w:id="4209570">
          <w:marLeft w:val="640"/>
          <w:marRight w:val="0"/>
          <w:marTop w:val="0"/>
          <w:marBottom w:val="0"/>
          <w:divBdr>
            <w:top w:val="none" w:sz="0" w:space="0" w:color="auto"/>
            <w:left w:val="none" w:sz="0" w:space="0" w:color="auto"/>
            <w:bottom w:val="none" w:sz="0" w:space="0" w:color="auto"/>
            <w:right w:val="none" w:sz="0" w:space="0" w:color="auto"/>
          </w:divBdr>
        </w:div>
        <w:div w:id="13456730">
          <w:marLeft w:val="640"/>
          <w:marRight w:val="0"/>
          <w:marTop w:val="0"/>
          <w:marBottom w:val="0"/>
          <w:divBdr>
            <w:top w:val="none" w:sz="0" w:space="0" w:color="auto"/>
            <w:left w:val="none" w:sz="0" w:space="0" w:color="auto"/>
            <w:bottom w:val="none" w:sz="0" w:space="0" w:color="auto"/>
            <w:right w:val="none" w:sz="0" w:space="0" w:color="auto"/>
          </w:divBdr>
        </w:div>
        <w:div w:id="42873053">
          <w:marLeft w:val="640"/>
          <w:marRight w:val="0"/>
          <w:marTop w:val="0"/>
          <w:marBottom w:val="0"/>
          <w:divBdr>
            <w:top w:val="none" w:sz="0" w:space="0" w:color="auto"/>
            <w:left w:val="none" w:sz="0" w:space="0" w:color="auto"/>
            <w:bottom w:val="none" w:sz="0" w:space="0" w:color="auto"/>
            <w:right w:val="none" w:sz="0" w:space="0" w:color="auto"/>
          </w:divBdr>
        </w:div>
        <w:div w:id="59834791">
          <w:marLeft w:val="640"/>
          <w:marRight w:val="0"/>
          <w:marTop w:val="0"/>
          <w:marBottom w:val="0"/>
          <w:divBdr>
            <w:top w:val="none" w:sz="0" w:space="0" w:color="auto"/>
            <w:left w:val="none" w:sz="0" w:space="0" w:color="auto"/>
            <w:bottom w:val="none" w:sz="0" w:space="0" w:color="auto"/>
            <w:right w:val="none" w:sz="0" w:space="0" w:color="auto"/>
          </w:divBdr>
        </w:div>
        <w:div w:id="60759776">
          <w:marLeft w:val="640"/>
          <w:marRight w:val="0"/>
          <w:marTop w:val="0"/>
          <w:marBottom w:val="0"/>
          <w:divBdr>
            <w:top w:val="none" w:sz="0" w:space="0" w:color="auto"/>
            <w:left w:val="none" w:sz="0" w:space="0" w:color="auto"/>
            <w:bottom w:val="none" w:sz="0" w:space="0" w:color="auto"/>
            <w:right w:val="none" w:sz="0" w:space="0" w:color="auto"/>
          </w:divBdr>
        </w:div>
        <w:div w:id="136459986">
          <w:marLeft w:val="640"/>
          <w:marRight w:val="0"/>
          <w:marTop w:val="0"/>
          <w:marBottom w:val="0"/>
          <w:divBdr>
            <w:top w:val="none" w:sz="0" w:space="0" w:color="auto"/>
            <w:left w:val="none" w:sz="0" w:space="0" w:color="auto"/>
            <w:bottom w:val="none" w:sz="0" w:space="0" w:color="auto"/>
            <w:right w:val="none" w:sz="0" w:space="0" w:color="auto"/>
          </w:divBdr>
        </w:div>
        <w:div w:id="161552363">
          <w:marLeft w:val="640"/>
          <w:marRight w:val="0"/>
          <w:marTop w:val="0"/>
          <w:marBottom w:val="0"/>
          <w:divBdr>
            <w:top w:val="none" w:sz="0" w:space="0" w:color="auto"/>
            <w:left w:val="none" w:sz="0" w:space="0" w:color="auto"/>
            <w:bottom w:val="none" w:sz="0" w:space="0" w:color="auto"/>
            <w:right w:val="none" w:sz="0" w:space="0" w:color="auto"/>
          </w:divBdr>
        </w:div>
        <w:div w:id="258098713">
          <w:marLeft w:val="640"/>
          <w:marRight w:val="0"/>
          <w:marTop w:val="0"/>
          <w:marBottom w:val="0"/>
          <w:divBdr>
            <w:top w:val="none" w:sz="0" w:space="0" w:color="auto"/>
            <w:left w:val="none" w:sz="0" w:space="0" w:color="auto"/>
            <w:bottom w:val="none" w:sz="0" w:space="0" w:color="auto"/>
            <w:right w:val="none" w:sz="0" w:space="0" w:color="auto"/>
          </w:divBdr>
        </w:div>
        <w:div w:id="277371231">
          <w:marLeft w:val="640"/>
          <w:marRight w:val="0"/>
          <w:marTop w:val="0"/>
          <w:marBottom w:val="0"/>
          <w:divBdr>
            <w:top w:val="none" w:sz="0" w:space="0" w:color="auto"/>
            <w:left w:val="none" w:sz="0" w:space="0" w:color="auto"/>
            <w:bottom w:val="none" w:sz="0" w:space="0" w:color="auto"/>
            <w:right w:val="none" w:sz="0" w:space="0" w:color="auto"/>
          </w:divBdr>
        </w:div>
        <w:div w:id="279186218">
          <w:marLeft w:val="640"/>
          <w:marRight w:val="0"/>
          <w:marTop w:val="0"/>
          <w:marBottom w:val="0"/>
          <w:divBdr>
            <w:top w:val="none" w:sz="0" w:space="0" w:color="auto"/>
            <w:left w:val="none" w:sz="0" w:space="0" w:color="auto"/>
            <w:bottom w:val="none" w:sz="0" w:space="0" w:color="auto"/>
            <w:right w:val="none" w:sz="0" w:space="0" w:color="auto"/>
          </w:divBdr>
        </w:div>
        <w:div w:id="377320999">
          <w:marLeft w:val="640"/>
          <w:marRight w:val="0"/>
          <w:marTop w:val="0"/>
          <w:marBottom w:val="0"/>
          <w:divBdr>
            <w:top w:val="none" w:sz="0" w:space="0" w:color="auto"/>
            <w:left w:val="none" w:sz="0" w:space="0" w:color="auto"/>
            <w:bottom w:val="none" w:sz="0" w:space="0" w:color="auto"/>
            <w:right w:val="none" w:sz="0" w:space="0" w:color="auto"/>
          </w:divBdr>
        </w:div>
        <w:div w:id="434205188">
          <w:marLeft w:val="640"/>
          <w:marRight w:val="0"/>
          <w:marTop w:val="0"/>
          <w:marBottom w:val="0"/>
          <w:divBdr>
            <w:top w:val="none" w:sz="0" w:space="0" w:color="auto"/>
            <w:left w:val="none" w:sz="0" w:space="0" w:color="auto"/>
            <w:bottom w:val="none" w:sz="0" w:space="0" w:color="auto"/>
            <w:right w:val="none" w:sz="0" w:space="0" w:color="auto"/>
          </w:divBdr>
        </w:div>
        <w:div w:id="446974590">
          <w:marLeft w:val="640"/>
          <w:marRight w:val="0"/>
          <w:marTop w:val="0"/>
          <w:marBottom w:val="0"/>
          <w:divBdr>
            <w:top w:val="none" w:sz="0" w:space="0" w:color="auto"/>
            <w:left w:val="none" w:sz="0" w:space="0" w:color="auto"/>
            <w:bottom w:val="none" w:sz="0" w:space="0" w:color="auto"/>
            <w:right w:val="none" w:sz="0" w:space="0" w:color="auto"/>
          </w:divBdr>
        </w:div>
        <w:div w:id="508299143">
          <w:marLeft w:val="640"/>
          <w:marRight w:val="0"/>
          <w:marTop w:val="0"/>
          <w:marBottom w:val="0"/>
          <w:divBdr>
            <w:top w:val="none" w:sz="0" w:space="0" w:color="auto"/>
            <w:left w:val="none" w:sz="0" w:space="0" w:color="auto"/>
            <w:bottom w:val="none" w:sz="0" w:space="0" w:color="auto"/>
            <w:right w:val="none" w:sz="0" w:space="0" w:color="auto"/>
          </w:divBdr>
        </w:div>
        <w:div w:id="514540954">
          <w:marLeft w:val="640"/>
          <w:marRight w:val="0"/>
          <w:marTop w:val="0"/>
          <w:marBottom w:val="0"/>
          <w:divBdr>
            <w:top w:val="none" w:sz="0" w:space="0" w:color="auto"/>
            <w:left w:val="none" w:sz="0" w:space="0" w:color="auto"/>
            <w:bottom w:val="none" w:sz="0" w:space="0" w:color="auto"/>
            <w:right w:val="none" w:sz="0" w:space="0" w:color="auto"/>
          </w:divBdr>
        </w:div>
        <w:div w:id="583533590">
          <w:marLeft w:val="640"/>
          <w:marRight w:val="0"/>
          <w:marTop w:val="0"/>
          <w:marBottom w:val="0"/>
          <w:divBdr>
            <w:top w:val="none" w:sz="0" w:space="0" w:color="auto"/>
            <w:left w:val="none" w:sz="0" w:space="0" w:color="auto"/>
            <w:bottom w:val="none" w:sz="0" w:space="0" w:color="auto"/>
            <w:right w:val="none" w:sz="0" w:space="0" w:color="auto"/>
          </w:divBdr>
        </w:div>
        <w:div w:id="619990060">
          <w:marLeft w:val="640"/>
          <w:marRight w:val="0"/>
          <w:marTop w:val="0"/>
          <w:marBottom w:val="0"/>
          <w:divBdr>
            <w:top w:val="none" w:sz="0" w:space="0" w:color="auto"/>
            <w:left w:val="none" w:sz="0" w:space="0" w:color="auto"/>
            <w:bottom w:val="none" w:sz="0" w:space="0" w:color="auto"/>
            <w:right w:val="none" w:sz="0" w:space="0" w:color="auto"/>
          </w:divBdr>
        </w:div>
        <w:div w:id="653871827">
          <w:marLeft w:val="640"/>
          <w:marRight w:val="0"/>
          <w:marTop w:val="0"/>
          <w:marBottom w:val="0"/>
          <w:divBdr>
            <w:top w:val="none" w:sz="0" w:space="0" w:color="auto"/>
            <w:left w:val="none" w:sz="0" w:space="0" w:color="auto"/>
            <w:bottom w:val="none" w:sz="0" w:space="0" w:color="auto"/>
            <w:right w:val="none" w:sz="0" w:space="0" w:color="auto"/>
          </w:divBdr>
        </w:div>
        <w:div w:id="673990738">
          <w:marLeft w:val="640"/>
          <w:marRight w:val="0"/>
          <w:marTop w:val="0"/>
          <w:marBottom w:val="0"/>
          <w:divBdr>
            <w:top w:val="none" w:sz="0" w:space="0" w:color="auto"/>
            <w:left w:val="none" w:sz="0" w:space="0" w:color="auto"/>
            <w:bottom w:val="none" w:sz="0" w:space="0" w:color="auto"/>
            <w:right w:val="none" w:sz="0" w:space="0" w:color="auto"/>
          </w:divBdr>
        </w:div>
        <w:div w:id="716664272">
          <w:marLeft w:val="640"/>
          <w:marRight w:val="0"/>
          <w:marTop w:val="0"/>
          <w:marBottom w:val="0"/>
          <w:divBdr>
            <w:top w:val="none" w:sz="0" w:space="0" w:color="auto"/>
            <w:left w:val="none" w:sz="0" w:space="0" w:color="auto"/>
            <w:bottom w:val="none" w:sz="0" w:space="0" w:color="auto"/>
            <w:right w:val="none" w:sz="0" w:space="0" w:color="auto"/>
          </w:divBdr>
        </w:div>
        <w:div w:id="731394459">
          <w:marLeft w:val="640"/>
          <w:marRight w:val="0"/>
          <w:marTop w:val="0"/>
          <w:marBottom w:val="0"/>
          <w:divBdr>
            <w:top w:val="none" w:sz="0" w:space="0" w:color="auto"/>
            <w:left w:val="none" w:sz="0" w:space="0" w:color="auto"/>
            <w:bottom w:val="none" w:sz="0" w:space="0" w:color="auto"/>
            <w:right w:val="none" w:sz="0" w:space="0" w:color="auto"/>
          </w:divBdr>
        </w:div>
        <w:div w:id="745299111">
          <w:marLeft w:val="640"/>
          <w:marRight w:val="0"/>
          <w:marTop w:val="0"/>
          <w:marBottom w:val="0"/>
          <w:divBdr>
            <w:top w:val="none" w:sz="0" w:space="0" w:color="auto"/>
            <w:left w:val="none" w:sz="0" w:space="0" w:color="auto"/>
            <w:bottom w:val="none" w:sz="0" w:space="0" w:color="auto"/>
            <w:right w:val="none" w:sz="0" w:space="0" w:color="auto"/>
          </w:divBdr>
        </w:div>
        <w:div w:id="788865223">
          <w:marLeft w:val="640"/>
          <w:marRight w:val="0"/>
          <w:marTop w:val="0"/>
          <w:marBottom w:val="0"/>
          <w:divBdr>
            <w:top w:val="none" w:sz="0" w:space="0" w:color="auto"/>
            <w:left w:val="none" w:sz="0" w:space="0" w:color="auto"/>
            <w:bottom w:val="none" w:sz="0" w:space="0" w:color="auto"/>
            <w:right w:val="none" w:sz="0" w:space="0" w:color="auto"/>
          </w:divBdr>
        </w:div>
        <w:div w:id="832332316">
          <w:marLeft w:val="640"/>
          <w:marRight w:val="0"/>
          <w:marTop w:val="0"/>
          <w:marBottom w:val="0"/>
          <w:divBdr>
            <w:top w:val="none" w:sz="0" w:space="0" w:color="auto"/>
            <w:left w:val="none" w:sz="0" w:space="0" w:color="auto"/>
            <w:bottom w:val="none" w:sz="0" w:space="0" w:color="auto"/>
            <w:right w:val="none" w:sz="0" w:space="0" w:color="auto"/>
          </w:divBdr>
        </w:div>
        <w:div w:id="835002423">
          <w:marLeft w:val="640"/>
          <w:marRight w:val="0"/>
          <w:marTop w:val="0"/>
          <w:marBottom w:val="0"/>
          <w:divBdr>
            <w:top w:val="none" w:sz="0" w:space="0" w:color="auto"/>
            <w:left w:val="none" w:sz="0" w:space="0" w:color="auto"/>
            <w:bottom w:val="none" w:sz="0" w:space="0" w:color="auto"/>
            <w:right w:val="none" w:sz="0" w:space="0" w:color="auto"/>
          </w:divBdr>
        </w:div>
        <w:div w:id="845559462">
          <w:marLeft w:val="640"/>
          <w:marRight w:val="0"/>
          <w:marTop w:val="0"/>
          <w:marBottom w:val="0"/>
          <w:divBdr>
            <w:top w:val="none" w:sz="0" w:space="0" w:color="auto"/>
            <w:left w:val="none" w:sz="0" w:space="0" w:color="auto"/>
            <w:bottom w:val="none" w:sz="0" w:space="0" w:color="auto"/>
            <w:right w:val="none" w:sz="0" w:space="0" w:color="auto"/>
          </w:divBdr>
        </w:div>
        <w:div w:id="888612062">
          <w:marLeft w:val="640"/>
          <w:marRight w:val="0"/>
          <w:marTop w:val="0"/>
          <w:marBottom w:val="0"/>
          <w:divBdr>
            <w:top w:val="none" w:sz="0" w:space="0" w:color="auto"/>
            <w:left w:val="none" w:sz="0" w:space="0" w:color="auto"/>
            <w:bottom w:val="none" w:sz="0" w:space="0" w:color="auto"/>
            <w:right w:val="none" w:sz="0" w:space="0" w:color="auto"/>
          </w:divBdr>
        </w:div>
        <w:div w:id="922646582">
          <w:marLeft w:val="640"/>
          <w:marRight w:val="0"/>
          <w:marTop w:val="0"/>
          <w:marBottom w:val="0"/>
          <w:divBdr>
            <w:top w:val="none" w:sz="0" w:space="0" w:color="auto"/>
            <w:left w:val="none" w:sz="0" w:space="0" w:color="auto"/>
            <w:bottom w:val="none" w:sz="0" w:space="0" w:color="auto"/>
            <w:right w:val="none" w:sz="0" w:space="0" w:color="auto"/>
          </w:divBdr>
        </w:div>
        <w:div w:id="1028069830">
          <w:marLeft w:val="640"/>
          <w:marRight w:val="0"/>
          <w:marTop w:val="0"/>
          <w:marBottom w:val="0"/>
          <w:divBdr>
            <w:top w:val="none" w:sz="0" w:space="0" w:color="auto"/>
            <w:left w:val="none" w:sz="0" w:space="0" w:color="auto"/>
            <w:bottom w:val="none" w:sz="0" w:space="0" w:color="auto"/>
            <w:right w:val="none" w:sz="0" w:space="0" w:color="auto"/>
          </w:divBdr>
        </w:div>
        <w:div w:id="1036933366">
          <w:marLeft w:val="640"/>
          <w:marRight w:val="0"/>
          <w:marTop w:val="0"/>
          <w:marBottom w:val="0"/>
          <w:divBdr>
            <w:top w:val="none" w:sz="0" w:space="0" w:color="auto"/>
            <w:left w:val="none" w:sz="0" w:space="0" w:color="auto"/>
            <w:bottom w:val="none" w:sz="0" w:space="0" w:color="auto"/>
            <w:right w:val="none" w:sz="0" w:space="0" w:color="auto"/>
          </w:divBdr>
        </w:div>
        <w:div w:id="1070617745">
          <w:marLeft w:val="640"/>
          <w:marRight w:val="0"/>
          <w:marTop w:val="0"/>
          <w:marBottom w:val="0"/>
          <w:divBdr>
            <w:top w:val="none" w:sz="0" w:space="0" w:color="auto"/>
            <w:left w:val="none" w:sz="0" w:space="0" w:color="auto"/>
            <w:bottom w:val="none" w:sz="0" w:space="0" w:color="auto"/>
            <w:right w:val="none" w:sz="0" w:space="0" w:color="auto"/>
          </w:divBdr>
        </w:div>
        <w:div w:id="1128088658">
          <w:marLeft w:val="640"/>
          <w:marRight w:val="0"/>
          <w:marTop w:val="0"/>
          <w:marBottom w:val="0"/>
          <w:divBdr>
            <w:top w:val="none" w:sz="0" w:space="0" w:color="auto"/>
            <w:left w:val="none" w:sz="0" w:space="0" w:color="auto"/>
            <w:bottom w:val="none" w:sz="0" w:space="0" w:color="auto"/>
            <w:right w:val="none" w:sz="0" w:space="0" w:color="auto"/>
          </w:divBdr>
        </w:div>
        <w:div w:id="1133713473">
          <w:marLeft w:val="640"/>
          <w:marRight w:val="0"/>
          <w:marTop w:val="0"/>
          <w:marBottom w:val="0"/>
          <w:divBdr>
            <w:top w:val="none" w:sz="0" w:space="0" w:color="auto"/>
            <w:left w:val="none" w:sz="0" w:space="0" w:color="auto"/>
            <w:bottom w:val="none" w:sz="0" w:space="0" w:color="auto"/>
            <w:right w:val="none" w:sz="0" w:space="0" w:color="auto"/>
          </w:divBdr>
        </w:div>
        <w:div w:id="1142892028">
          <w:marLeft w:val="640"/>
          <w:marRight w:val="0"/>
          <w:marTop w:val="0"/>
          <w:marBottom w:val="0"/>
          <w:divBdr>
            <w:top w:val="none" w:sz="0" w:space="0" w:color="auto"/>
            <w:left w:val="none" w:sz="0" w:space="0" w:color="auto"/>
            <w:bottom w:val="none" w:sz="0" w:space="0" w:color="auto"/>
            <w:right w:val="none" w:sz="0" w:space="0" w:color="auto"/>
          </w:divBdr>
        </w:div>
        <w:div w:id="1155030989">
          <w:marLeft w:val="640"/>
          <w:marRight w:val="0"/>
          <w:marTop w:val="0"/>
          <w:marBottom w:val="0"/>
          <w:divBdr>
            <w:top w:val="none" w:sz="0" w:space="0" w:color="auto"/>
            <w:left w:val="none" w:sz="0" w:space="0" w:color="auto"/>
            <w:bottom w:val="none" w:sz="0" w:space="0" w:color="auto"/>
            <w:right w:val="none" w:sz="0" w:space="0" w:color="auto"/>
          </w:divBdr>
        </w:div>
        <w:div w:id="1215967539">
          <w:marLeft w:val="640"/>
          <w:marRight w:val="0"/>
          <w:marTop w:val="0"/>
          <w:marBottom w:val="0"/>
          <w:divBdr>
            <w:top w:val="none" w:sz="0" w:space="0" w:color="auto"/>
            <w:left w:val="none" w:sz="0" w:space="0" w:color="auto"/>
            <w:bottom w:val="none" w:sz="0" w:space="0" w:color="auto"/>
            <w:right w:val="none" w:sz="0" w:space="0" w:color="auto"/>
          </w:divBdr>
        </w:div>
        <w:div w:id="1238051606">
          <w:marLeft w:val="640"/>
          <w:marRight w:val="0"/>
          <w:marTop w:val="0"/>
          <w:marBottom w:val="0"/>
          <w:divBdr>
            <w:top w:val="none" w:sz="0" w:space="0" w:color="auto"/>
            <w:left w:val="none" w:sz="0" w:space="0" w:color="auto"/>
            <w:bottom w:val="none" w:sz="0" w:space="0" w:color="auto"/>
            <w:right w:val="none" w:sz="0" w:space="0" w:color="auto"/>
          </w:divBdr>
        </w:div>
        <w:div w:id="1240140714">
          <w:marLeft w:val="640"/>
          <w:marRight w:val="0"/>
          <w:marTop w:val="0"/>
          <w:marBottom w:val="0"/>
          <w:divBdr>
            <w:top w:val="none" w:sz="0" w:space="0" w:color="auto"/>
            <w:left w:val="none" w:sz="0" w:space="0" w:color="auto"/>
            <w:bottom w:val="none" w:sz="0" w:space="0" w:color="auto"/>
            <w:right w:val="none" w:sz="0" w:space="0" w:color="auto"/>
          </w:divBdr>
        </w:div>
        <w:div w:id="1335451166">
          <w:marLeft w:val="640"/>
          <w:marRight w:val="0"/>
          <w:marTop w:val="0"/>
          <w:marBottom w:val="0"/>
          <w:divBdr>
            <w:top w:val="none" w:sz="0" w:space="0" w:color="auto"/>
            <w:left w:val="none" w:sz="0" w:space="0" w:color="auto"/>
            <w:bottom w:val="none" w:sz="0" w:space="0" w:color="auto"/>
            <w:right w:val="none" w:sz="0" w:space="0" w:color="auto"/>
          </w:divBdr>
        </w:div>
        <w:div w:id="1338922905">
          <w:marLeft w:val="640"/>
          <w:marRight w:val="0"/>
          <w:marTop w:val="0"/>
          <w:marBottom w:val="0"/>
          <w:divBdr>
            <w:top w:val="none" w:sz="0" w:space="0" w:color="auto"/>
            <w:left w:val="none" w:sz="0" w:space="0" w:color="auto"/>
            <w:bottom w:val="none" w:sz="0" w:space="0" w:color="auto"/>
            <w:right w:val="none" w:sz="0" w:space="0" w:color="auto"/>
          </w:divBdr>
        </w:div>
        <w:div w:id="1373001263">
          <w:marLeft w:val="640"/>
          <w:marRight w:val="0"/>
          <w:marTop w:val="0"/>
          <w:marBottom w:val="0"/>
          <w:divBdr>
            <w:top w:val="none" w:sz="0" w:space="0" w:color="auto"/>
            <w:left w:val="none" w:sz="0" w:space="0" w:color="auto"/>
            <w:bottom w:val="none" w:sz="0" w:space="0" w:color="auto"/>
            <w:right w:val="none" w:sz="0" w:space="0" w:color="auto"/>
          </w:divBdr>
        </w:div>
        <w:div w:id="1437868651">
          <w:marLeft w:val="640"/>
          <w:marRight w:val="0"/>
          <w:marTop w:val="0"/>
          <w:marBottom w:val="0"/>
          <w:divBdr>
            <w:top w:val="none" w:sz="0" w:space="0" w:color="auto"/>
            <w:left w:val="none" w:sz="0" w:space="0" w:color="auto"/>
            <w:bottom w:val="none" w:sz="0" w:space="0" w:color="auto"/>
            <w:right w:val="none" w:sz="0" w:space="0" w:color="auto"/>
          </w:divBdr>
        </w:div>
        <w:div w:id="1441097682">
          <w:marLeft w:val="640"/>
          <w:marRight w:val="0"/>
          <w:marTop w:val="0"/>
          <w:marBottom w:val="0"/>
          <w:divBdr>
            <w:top w:val="none" w:sz="0" w:space="0" w:color="auto"/>
            <w:left w:val="none" w:sz="0" w:space="0" w:color="auto"/>
            <w:bottom w:val="none" w:sz="0" w:space="0" w:color="auto"/>
            <w:right w:val="none" w:sz="0" w:space="0" w:color="auto"/>
          </w:divBdr>
        </w:div>
        <w:div w:id="1465848137">
          <w:marLeft w:val="640"/>
          <w:marRight w:val="0"/>
          <w:marTop w:val="0"/>
          <w:marBottom w:val="0"/>
          <w:divBdr>
            <w:top w:val="none" w:sz="0" w:space="0" w:color="auto"/>
            <w:left w:val="none" w:sz="0" w:space="0" w:color="auto"/>
            <w:bottom w:val="none" w:sz="0" w:space="0" w:color="auto"/>
            <w:right w:val="none" w:sz="0" w:space="0" w:color="auto"/>
          </w:divBdr>
        </w:div>
        <w:div w:id="1480419697">
          <w:marLeft w:val="640"/>
          <w:marRight w:val="0"/>
          <w:marTop w:val="0"/>
          <w:marBottom w:val="0"/>
          <w:divBdr>
            <w:top w:val="none" w:sz="0" w:space="0" w:color="auto"/>
            <w:left w:val="none" w:sz="0" w:space="0" w:color="auto"/>
            <w:bottom w:val="none" w:sz="0" w:space="0" w:color="auto"/>
            <w:right w:val="none" w:sz="0" w:space="0" w:color="auto"/>
          </w:divBdr>
        </w:div>
        <w:div w:id="1532455718">
          <w:marLeft w:val="640"/>
          <w:marRight w:val="0"/>
          <w:marTop w:val="0"/>
          <w:marBottom w:val="0"/>
          <w:divBdr>
            <w:top w:val="none" w:sz="0" w:space="0" w:color="auto"/>
            <w:left w:val="none" w:sz="0" w:space="0" w:color="auto"/>
            <w:bottom w:val="none" w:sz="0" w:space="0" w:color="auto"/>
            <w:right w:val="none" w:sz="0" w:space="0" w:color="auto"/>
          </w:divBdr>
        </w:div>
        <w:div w:id="1592814387">
          <w:marLeft w:val="640"/>
          <w:marRight w:val="0"/>
          <w:marTop w:val="0"/>
          <w:marBottom w:val="0"/>
          <w:divBdr>
            <w:top w:val="none" w:sz="0" w:space="0" w:color="auto"/>
            <w:left w:val="none" w:sz="0" w:space="0" w:color="auto"/>
            <w:bottom w:val="none" w:sz="0" w:space="0" w:color="auto"/>
            <w:right w:val="none" w:sz="0" w:space="0" w:color="auto"/>
          </w:divBdr>
        </w:div>
        <w:div w:id="1632124964">
          <w:marLeft w:val="640"/>
          <w:marRight w:val="0"/>
          <w:marTop w:val="0"/>
          <w:marBottom w:val="0"/>
          <w:divBdr>
            <w:top w:val="none" w:sz="0" w:space="0" w:color="auto"/>
            <w:left w:val="none" w:sz="0" w:space="0" w:color="auto"/>
            <w:bottom w:val="none" w:sz="0" w:space="0" w:color="auto"/>
            <w:right w:val="none" w:sz="0" w:space="0" w:color="auto"/>
          </w:divBdr>
        </w:div>
        <w:div w:id="1643729933">
          <w:marLeft w:val="640"/>
          <w:marRight w:val="0"/>
          <w:marTop w:val="0"/>
          <w:marBottom w:val="0"/>
          <w:divBdr>
            <w:top w:val="none" w:sz="0" w:space="0" w:color="auto"/>
            <w:left w:val="none" w:sz="0" w:space="0" w:color="auto"/>
            <w:bottom w:val="none" w:sz="0" w:space="0" w:color="auto"/>
            <w:right w:val="none" w:sz="0" w:space="0" w:color="auto"/>
          </w:divBdr>
        </w:div>
        <w:div w:id="1667629646">
          <w:marLeft w:val="640"/>
          <w:marRight w:val="0"/>
          <w:marTop w:val="0"/>
          <w:marBottom w:val="0"/>
          <w:divBdr>
            <w:top w:val="none" w:sz="0" w:space="0" w:color="auto"/>
            <w:left w:val="none" w:sz="0" w:space="0" w:color="auto"/>
            <w:bottom w:val="none" w:sz="0" w:space="0" w:color="auto"/>
            <w:right w:val="none" w:sz="0" w:space="0" w:color="auto"/>
          </w:divBdr>
        </w:div>
        <w:div w:id="1672482975">
          <w:marLeft w:val="640"/>
          <w:marRight w:val="0"/>
          <w:marTop w:val="0"/>
          <w:marBottom w:val="0"/>
          <w:divBdr>
            <w:top w:val="none" w:sz="0" w:space="0" w:color="auto"/>
            <w:left w:val="none" w:sz="0" w:space="0" w:color="auto"/>
            <w:bottom w:val="none" w:sz="0" w:space="0" w:color="auto"/>
            <w:right w:val="none" w:sz="0" w:space="0" w:color="auto"/>
          </w:divBdr>
        </w:div>
        <w:div w:id="1672834757">
          <w:marLeft w:val="640"/>
          <w:marRight w:val="0"/>
          <w:marTop w:val="0"/>
          <w:marBottom w:val="0"/>
          <w:divBdr>
            <w:top w:val="none" w:sz="0" w:space="0" w:color="auto"/>
            <w:left w:val="none" w:sz="0" w:space="0" w:color="auto"/>
            <w:bottom w:val="none" w:sz="0" w:space="0" w:color="auto"/>
            <w:right w:val="none" w:sz="0" w:space="0" w:color="auto"/>
          </w:divBdr>
        </w:div>
        <w:div w:id="1682656522">
          <w:marLeft w:val="640"/>
          <w:marRight w:val="0"/>
          <w:marTop w:val="0"/>
          <w:marBottom w:val="0"/>
          <w:divBdr>
            <w:top w:val="none" w:sz="0" w:space="0" w:color="auto"/>
            <w:left w:val="none" w:sz="0" w:space="0" w:color="auto"/>
            <w:bottom w:val="none" w:sz="0" w:space="0" w:color="auto"/>
            <w:right w:val="none" w:sz="0" w:space="0" w:color="auto"/>
          </w:divBdr>
        </w:div>
        <w:div w:id="1694184418">
          <w:marLeft w:val="640"/>
          <w:marRight w:val="0"/>
          <w:marTop w:val="0"/>
          <w:marBottom w:val="0"/>
          <w:divBdr>
            <w:top w:val="none" w:sz="0" w:space="0" w:color="auto"/>
            <w:left w:val="none" w:sz="0" w:space="0" w:color="auto"/>
            <w:bottom w:val="none" w:sz="0" w:space="0" w:color="auto"/>
            <w:right w:val="none" w:sz="0" w:space="0" w:color="auto"/>
          </w:divBdr>
        </w:div>
        <w:div w:id="1727683828">
          <w:marLeft w:val="640"/>
          <w:marRight w:val="0"/>
          <w:marTop w:val="0"/>
          <w:marBottom w:val="0"/>
          <w:divBdr>
            <w:top w:val="none" w:sz="0" w:space="0" w:color="auto"/>
            <w:left w:val="none" w:sz="0" w:space="0" w:color="auto"/>
            <w:bottom w:val="none" w:sz="0" w:space="0" w:color="auto"/>
            <w:right w:val="none" w:sz="0" w:space="0" w:color="auto"/>
          </w:divBdr>
        </w:div>
        <w:div w:id="1737511693">
          <w:marLeft w:val="640"/>
          <w:marRight w:val="0"/>
          <w:marTop w:val="0"/>
          <w:marBottom w:val="0"/>
          <w:divBdr>
            <w:top w:val="none" w:sz="0" w:space="0" w:color="auto"/>
            <w:left w:val="none" w:sz="0" w:space="0" w:color="auto"/>
            <w:bottom w:val="none" w:sz="0" w:space="0" w:color="auto"/>
            <w:right w:val="none" w:sz="0" w:space="0" w:color="auto"/>
          </w:divBdr>
        </w:div>
        <w:div w:id="1745908507">
          <w:marLeft w:val="640"/>
          <w:marRight w:val="0"/>
          <w:marTop w:val="0"/>
          <w:marBottom w:val="0"/>
          <w:divBdr>
            <w:top w:val="none" w:sz="0" w:space="0" w:color="auto"/>
            <w:left w:val="none" w:sz="0" w:space="0" w:color="auto"/>
            <w:bottom w:val="none" w:sz="0" w:space="0" w:color="auto"/>
            <w:right w:val="none" w:sz="0" w:space="0" w:color="auto"/>
          </w:divBdr>
        </w:div>
        <w:div w:id="1772163268">
          <w:marLeft w:val="640"/>
          <w:marRight w:val="0"/>
          <w:marTop w:val="0"/>
          <w:marBottom w:val="0"/>
          <w:divBdr>
            <w:top w:val="none" w:sz="0" w:space="0" w:color="auto"/>
            <w:left w:val="none" w:sz="0" w:space="0" w:color="auto"/>
            <w:bottom w:val="none" w:sz="0" w:space="0" w:color="auto"/>
            <w:right w:val="none" w:sz="0" w:space="0" w:color="auto"/>
          </w:divBdr>
        </w:div>
        <w:div w:id="1775321278">
          <w:marLeft w:val="640"/>
          <w:marRight w:val="0"/>
          <w:marTop w:val="0"/>
          <w:marBottom w:val="0"/>
          <w:divBdr>
            <w:top w:val="none" w:sz="0" w:space="0" w:color="auto"/>
            <w:left w:val="none" w:sz="0" w:space="0" w:color="auto"/>
            <w:bottom w:val="none" w:sz="0" w:space="0" w:color="auto"/>
            <w:right w:val="none" w:sz="0" w:space="0" w:color="auto"/>
          </w:divBdr>
        </w:div>
        <w:div w:id="1819414186">
          <w:marLeft w:val="640"/>
          <w:marRight w:val="0"/>
          <w:marTop w:val="0"/>
          <w:marBottom w:val="0"/>
          <w:divBdr>
            <w:top w:val="none" w:sz="0" w:space="0" w:color="auto"/>
            <w:left w:val="none" w:sz="0" w:space="0" w:color="auto"/>
            <w:bottom w:val="none" w:sz="0" w:space="0" w:color="auto"/>
            <w:right w:val="none" w:sz="0" w:space="0" w:color="auto"/>
          </w:divBdr>
        </w:div>
        <w:div w:id="1892883504">
          <w:marLeft w:val="640"/>
          <w:marRight w:val="0"/>
          <w:marTop w:val="0"/>
          <w:marBottom w:val="0"/>
          <w:divBdr>
            <w:top w:val="none" w:sz="0" w:space="0" w:color="auto"/>
            <w:left w:val="none" w:sz="0" w:space="0" w:color="auto"/>
            <w:bottom w:val="none" w:sz="0" w:space="0" w:color="auto"/>
            <w:right w:val="none" w:sz="0" w:space="0" w:color="auto"/>
          </w:divBdr>
        </w:div>
        <w:div w:id="1976332138">
          <w:marLeft w:val="640"/>
          <w:marRight w:val="0"/>
          <w:marTop w:val="0"/>
          <w:marBottom w:val="0"/>
          <w:divBdr>
            <w:top w:val="none" w:sz="0" w:space="0" w:color="auto"/>
            <w:left w:val="none" w:sz="0" w:space="0" w:color="auto"/>
            <w:bottom w:val="none" w:sz="0" w:space="0" w:color="auto"/>
            <w:right w:val="none" w:sz="0" w:space="0" w:color="auto"/>
          </w:divBdr>
        </w:div>
        <w:div w:id="1997537491">
          <w:marLeft w:val="640"/>
          <w:marRight w:val="0"/>
          <w:marTop w:val="0"/>
          <w:marBottom w:val="0"/>
          <w:divBdr>
            <w:top w:val="none" w:sz="0" w:space="0" w:color="auto"/>
            <w:left w:val="none" w:sz="0" w:space="0" w:color="auto"/>
            <w:bottom w:val="none" w:sz="0" w:space="0" w:color="auto"/>
            <w:right w:val="none" w:sz="0" w:space="0" w:color="auto"/>
          </w:divBdr>
        </w:div>
        <w:div w:id="2087024075">
          <w:marLeft w:val="640"/>
          <w:marRight w:val="0"/>
          <w:marTop w:val="0"/>
          <w:marBottom w:val="0"/>
          <w:divBdr>
            <w:top w:val="none" w:sz="0" w:space="0" w:color="auto"/>
            <w:left w:val="none" w:sz="0" w:space="0" w:color="auto"/>
            <w:bottom w:val="none" w:sz="0" w:space="0" w:color="auto"/>
            <w:right w:val="none" w:sz="0" w:space="0" w:color="auto"/>
          </w:divBdr>
        </w:div>
        <w:div w:id="2136482701">
          <w:marLeft w:val="640"/>
          <w:marRight w:val="0"/>
          <w:marTop w:val="0"/>
          <w:marBottom w:val="0"/>
          <w:divBdr>
            <w:top w:val="none" w:sz="0" w:space="0" w:color="auto"/>
            <w:left w:val="none" w:sz="0" w:space="0" w:color="auto"/>
            <w:bottom w:val="none" w:sz="0" w:space="0" w:color="auto"/>
            <w:right w:val="none" w:sz="0" w:space="0" w:color="auto"/>
          </w:divBdr>
        </w:div>
        <w:div w:id="2141217928">
          <w:marLeft w:val="640"/>
          <w:marRight w:val="0"/>
          <w:marTop w:val="0"/>
          <w:marBottom w:val="0"/>
          <w:divBdr>
            <w:top w:val="none" w:sz="0" w:space="0" w:color="auto"/>
            <w:left w:val="none" w:sz="0" w:space="0" w:color="auto"/>
            <w:bottom w:val="none" w:sz="0" w:space="0" w:color="auto"/>
            <w:right w:val="none" w:sz="0" w:space="0" w:color="auto"/>
          </w:divBdr>
        </w:div>
      </w:divsChild>
    </w:div>
    <w:div w:id="478348848">
      <w:bodyDiv w:val="1"/>
      <w:marLeft w:val="0"/>
      <w:marRight w:val="0"/>
      <w:marTop w:val="0"/>
      <w:marBottom w:val="0"/>
      <w:divBdr>
        <w:top w:val="none" w:sz="0" w:space="0" w:color="auto"/>
        <w:left w:val="none" w:sz="0" w:space="0" w:color="auto"/>
        <w:bottom w:val="none" w:sz="0" w:space="0" w:color="auto"/>
        <w:right w:val="none" w:sz="0" w:space="0" w:color="auto"/>
      </w:divBdr>
      <w:divsChild>
        <w:div w:id="75395915">
          <w:marLeft w:val="640"/>
          <w:marRight w:val="0"/>
          <w:marTop w:val="0"/>
          <w:marBottom w:val="0"/>
          <w:divBdr>
            <w:top w:val="none" w:sz="0" w:space="0" w:color="auto"/>
            <w:left w:val="none" w:sz="0" w:space="0" w:color="auto"/>
            <w:bottom w:val="none" w:sz="0" w:space="0" w:color="auto"/>
            <w:right w:val="none" w:sz="0" w:space="0" w:color="auto"/>
          </w:divBdr>
        </w:div>
        <w:div w:id="136118818">
          <w:marLeft w:val="640"/>
          <w:marRight w:val="0"/>
          <w:marTop w:val="0"/>
          <w:marBottom w:val="0"/>
          <w:divBdr>
            <w:top w:val="none" w:sz="0" w:space="0" w:color="auto"/>
            <w:left w:val="none" w:sz="0" w:space="0" w:color="auto"/>
            <w:bottom w:val="none" w:sz="0" w:space="0" w:color="auto"/>
            <w:right w:val="none" w:sz="0" w:space="0" w:color="auto"/>
          </w:divBdr>
        </w:div>
        <w:div w:id="138160064">
          <w:marLeft w:val="640"/>
          <w:marRight w:val="0"/>
          <w:marTop w:val="0"/>
          <w:marBottom w:val="0"/>
          <w:divBdr>
            <w:top w:val="none" w:sz="0" w:space="0" w:color="auto"/>
            <w:left w:val="none" w:sz="0" w:space="0" w:color="auto"/>
            <w:bottom w:val="none" w:sz="0" w:space="0" w:color="auto"/>
            <w:right w:val="none" w:sz="0" w:space="0" w:color="auto"/>
          </w:divBdr>
        </w:div>
        <w:div w:id="155534990">
          <w:marLeft w:val="640"/>
          <w:marRight w:val="0"/>
          <w:marTop w:val="0"/>
          <w:marBottom w:val="0"/>
          <w:divBdr>
            <w:top w:val="none" w:sz="0" w:space="0" w:color="auto"/>
            <w:left w:val="none" w:sz="0" w:space="0" w:color="auto"/>
            <w:bottom w:val="none" w:sz="0" w:space="0" w:color="auto"/>
            <w:right w:val="none" w:sz="0" w:space="0" w:color="auto"/>
          </w:divBdr>
        </w:div>
        <w:div w:id="179054844">
          <w:marLeft w:val="640"/>
          <w:marRight w:val="0"/>
          <w:marTop w:val="0"/>
          <w:marBottom w:val="0"/>
          <w:divBdr>
            <w:top w:val="none" w:sz="0" w:space="0" w:color="auto"/>
            <w:left w:val="none" w:sz="0" w:space="0" w:color="auto"/>
            <w:bottom w:val="none" w:sz="0" w:space="0" w:color="auto"/>
            <w:right w:val="none" w:sz="0" w:space="0" w:color="auto"/>
          </w:divBdr>
        </w:div>
        <w:div w:id="275140354">
          <w:marLeft w:val="640"/>
          <w:marRight w:val="0"/>
          <w:marTop w:val="0"/>
          <w:marBottom w:val="0"/>
          <w:divBdr>
            <w:top w:val="none" w:sz="0" w:space="0" w:color="auto"/>
            <w:left w:val="none" w:sz="0" w:space="0" w:color="auto"/>
            <w:bottom w:val="none" w:sz="0" w:space="0" w:color="auto"/>
            <w:right w:val="none" w:sz="0" w:space="0" w:color="auto"/>
          </w:divBdr>
        </w:div>
        <w:div w:id="364798104">
          <w:marLeft w:val="640"/>
          <w:marRight w:val="0"/>
          <w:marTop w:val="0"/>
          <w:marBottom w:val="0"/>
          <w:divBdr>
            <w:top w:val="none" w:sz="0" w:space="0" w:color="auto"/>
            <w:left w:val="none" w:sz="0" w:space="0" w:color="auto"/>
            <w:bottom w:val="none" w:sz="0" w:space="0" w:color="auto"/>
            <w:right w:val="none" w:sz="0" w:space="0" w:color="auto"/>
          </w:divBdr>
        </w:div>
        <w:div w:id="376204718">
          <w:marLeft w:val="640"/>
          <w:marRight w:val="0"/>
          <w:marTop w:val="0"/>
          <w:marBottom w:val="0"/>
          <w:divBdr>
            <w:top w:val="none" w:sz="0" w:space="0" w:color="auto"/>
            <w:left w:val="none" w:sz="0" w:space="0" w:color="auto"/>
            <w:bottom w:val="none" w:sz="0" w:space="0" w:color="auto"/>
            <w:right w:val="none" w:sz="0" w:space="0" w:color="auto"/>
          </w:divBdr>
        </w:div>
        <w:div w:id="433599761">
          <w:marLeft w:val="640"/>
          <w:marRight w:val="0"/>
          <w:marTop w:val="0"/>
          <w:marBottom w:val="0"/>
          <w:divBdr>
            <w:top w:val="none" w:sz="0" w:space="0" w:color="auto"/>
            <w:left w:val="none" w:sz="0" w:space="0" w:color="auto"/>
            <w:bottom w:val="none" w:sz="0" w:space="0" w:color="auto"/>
            <w:right w:val="none" w:sz="0" w:space="0" w:color="auto"/>
          </w:divBdr>
        </w:div>
        <w:div w:id="487596594">
          <w:marLeft w:val="640"/>
          <w:marRight w:val="0"/>
          <w:marTop w:val="0"/>
          <w:marBottom w:val="0"/>
          <w:divBdr>
            <w:top w:val="none" w:sz="0" w:space="0" w:color="auto"/>
            <w:left w:val="none" w:sz="0" w:space="0" w:color="auto"/>
            <w:bottom w:val="none" w:sz="0" w:space="0" w:color="auto"/>
            <w:right w:val="none" w:sz="0" w:space="0" w:color="auto"/>
          </w:divBdr>
        </w:div>
        <w:div w:id="497353426">
          <w:marLeft w:val="640"/>
          <w:marRight w:val="0"/>
          <w:marTop w:val="0"/>
          <w:marBottom w:val="0"/>
          <w:divBdr>
            <w:top w:val="none" w:sz="0" w:space="0" w:color="auto"/>
            <w:left w:val="none" w:sz="0" w:space="0" w:color="auto"/>
            <w:bottom w:val="none" w:sz="0" w:space="0" w:color="auto"/>
            <w:right w:val="none" w:sz="0" w:space="0" w:color="auto"/>
          </w:divBdr>
        </w:div>
        <w:div w:id="541484013">
          <w:marLeft w:val="640"/>
          <w:marRight w:val="0"/>
          <w:marTop w:val="0"/>
          <w:marBottom w:val="0"/>
          <w:divBdr>
            <w:top w:val="none" w:sz="0" w:space="0" w:color="auto"/>
            <w:left w:val="none" w:sz="0" w:space="0" w:color="auto"/>
            <w:bottom w:val="none" w:sz="0" w:space="0" w:color="auto"/>
            <w:right w:val="none" w:sz="0" w:space="0" w:color="auto"/>
          </w:divBdr>
        </w:div>
        <w:div w:id="628979016">
          <w:marLeft w:val="640"/>
          <w:marRight w:val="0"/>
          <w:marTop w:val="0"/>
          <w:marBottom w:val="0"/>
          <w:divBdr>
            <w:top w:val="none" w:sz="0" w:space="0" w:color="auto"/>
            <w:left w:val="none" w:sz="0" w:space="0" w:color="auto"/>
            <w:bottom w:val="none" w:sz="0" w:space="0" w:color="auto"/>
            <w:right w:val="none" w:sz="0" w:space="0" w:color="auto"/>
          </w:divBdr>
        </w:div>
        <w:div w:id="664674676">
          <w:marLeft w:val="640"/>
          <w:marRight w:val="0"/>
          <w:marTop w:val="0"/>
          <w:marBottom w:val="0"/>
          <w:divBdr>
            <w:top w:val="none" w:sz="0" w:space="0" w:color="auto"/>
            <w:left w:val="none" w:sz="0" w:space="0" w:color="auto"/>
            <w:bottom w:val="none" w:sz="0" w:space="0" w:color="auto"/>
            <w:right w:val="none" w:sz="0" w:space="0" w:color="auto"/>
          </w:divBdr>
        </w:div>
        <w:div w:id="689380707">
          <w:marLeft w:val="640"/>
          <w:marRight w:val="0"/>
          <w:marTop w:val="0"/>
          <w:marBottom w:val="0"/>
          <w:divBdr>
            <w:top w:val="none" w:sz="0" w:space="0" w:color="auto"/>
            <w:left w:val="none" w:sz="0" w:space="0" w:color="auto"/>
            <w:bottom w:val="none" w:sz="0" w:space="0" w:color="auto"/>
            <w:right w:val="none" w:sz="0" w:space="0" w:color="auto"/>
          </w:divBdr>
        </w:div>
        <w:div w:id="694428097">
          <w:marLeft w:val="640"/>
          <w:marRight w:val="0"/>
          <w:marTop w:val="0"/>
          <w:marBottom w:val="0"/>
          <w:divBdr>
            <w:top w:val="none" w:sz="0" w:space="0" w:color="auto"/>
            <w:left w:val="none" w:sz="0" w:space="0" w:color="auto"/>
            <w:bottom w:val="none" w:sz="0" w:space="0" w:color="auto"/>
            <w:right w:val="none" w:sz="0" w:space="0" w:color="auto"/>
          </w:divBdr>
        </w:div>
        <w:div w:id="699890001">
          <w:marLeft w:val="640"/>
          <w:marRight w:val="0"/>
          <w:marTop w:val="0"/>
          <w:marBottom w:val="0"/>
          <w:divBdr>
            <w:top w:val="none" w:sz="0" w:space="0" w:color="auto"/>
            <w:left w:val="none" w:sz="0" w:space="0" w:color="auto"/>
            <w:bottom w:val="none" w:sz="0" w:space="0" w:color="auto"/>
            <w:right w:val="none" w:sz="0" w:space="0" w:color="auto"/>
          </w:divBdr>
        </w:div>
        <w:div w:id="706683901">
          <w:marLeft w:val="640"/>
          <w:marRight w:val="0"/>
          <w:marTop w:val="0"/>
          <w:marBottom w:val="0"/>
          <w:divBdr>
            <w:top w:val="none" w:sz="0" w:space="0" w:color="auto"/>
            <w:left w:val="none" w:sz="0" w:space="0" w:color="auto"/>
            <w:bottom w:val="none" w:sz="0" w:space="0" w:color="auto"/>
            <w:right w:val="none" w:sz="0" w:space="0" w:color="auto"/>
          </w:divBdr>
        </w:div>
        <w:div w:id="716666629">
          <w:marLeft w:val="640"/>
          <w:marRight w:val="0"/>
          <w:marTop w:val="0"/>
          <w:marBottom w:val="0"/>
          <w:divBdr>
            <w:top w:val="none" w:sz="0" w:space="0" w:color="auto"/>
            <w:left w:val="none" w:sz="0" w:space="0" w:color="auto"/>
            <w:bottom w:val="none" w:sz="0" w:space="0" w:color="auto"/>
            <w:right w:val="none" w:sz="0" w:space="0" w:color="auto"/>
          </w:divBdr>
        </w:div>
        <w:div w:id="759529123">
          <w:marLeft w:val="640"/>
          <w:marRight w:val="0"/>
          <w:marTop w:val="0"/>
          <w:marBottom w:val="0"/>
          <w:divBdr>
            <w:top w:val="none" w:sz="0" w:space="0" w:color="auto"/>
            <w:left w:val="none" w:sz="0" w:space="0" w:color="auto"/>
            <w:bottom w:val="none" w:sz="0" w:space="0" w:color="auto"/>
            <w:right w:val="none" w:sz="0" w:space="0" w:color="auto"/>
          </w:divBdr>
        </w:div>
        <w:div w:id="764575438">
          <w:marLeft w:val="640"/>
          <w:marRight w:val="0"/>
          <w:marTop w:val="0"/>
          <w:marBottom w:val="0"/>
          <w:divBdr>
            <w:top w:val="none" w:sz="0" w:space="0" w:color="auto"/>
            <w:left w:val="none" w:sz="0" w:space="0" w:color="auto"/>
            <w:bottom w:val="none" w:sz="0" w:space="0" w:color="auto"/>
            <w:right w:val="none" w:sz="0" w:space="0" w:color="auto"/>
          </w:divBdr>
        </w:div>
        <w:div w:id="768551498">
          <w:marLeft w:val="640"/>
          <w:marRight w:val="0"/>
          <w:marTop w:val="0"/>
          <w:marBottom w:val="0"/>
          <w:divBdr>
            <w:top w:val="none" w:sz="0" w:space="0" w:color="auto"/>
            <w:left w:val="none" w:sz="0" w:space="0" w:color="auto"/>
            <w:bottom w:val="none" w:sz="0" w:space="0" w:color="auto"/>
            <w:right w:val="none" w:sz="0" w:space="0" w:color="auto"/>
          </w:divBdr>
        </w:div>
        <w:div w:id="776411823">
          <w:marLeft w:val="640"/>
          <w:marRight w:val="0"/>
          <w:marTop w:val="0"/>
          <w:marBottom w:val="0"/>
          <w:divBdr>
            <w:top w:val="none" w:sz="0" w:space="0" w:color="auto"/>
            <w:left w:val="none" w:sz="0" w:space="0" w:color="auto"/>
            <w:bottom w:val="none" w:sz="0" w:space="0" w:color="auto"/>
            <w:right w:val="none" w:sz="0" w:space="0" w:color="auto"/>
          </w:divBdr>
        </w:div>
        <w:div w:id="786043668">
          <w:marLeft w:val="640"/>
          <w:marRight w:val="0"/>
          <w:marTop w:val="0"/>
          <w:marBottom w:val="0"/>
          <w:divBdr>
            <w:top w:val="none" w:sz="0" w:space="0" w:color="auto"/>
            <w:left w:val="none" w:sz="0" w:space="0" w:color="auto"/>
            <w:bottom w:val="none" w:sz="0" w:space="0" w:color="auto"/>
            <w:right w:val="none" w:sz="0" w:space="0" w:color="auto"/>
          </w:divBdr>
        </w:div>
        <w:div w:id="800000551">
          <w:marLeft w:val="640"/>
          <w:marRight w:val="0"/>
          <w:marTop w:val="0"/>
          <w:marBottom w:val="0"/>
          <w:divBdr>
            <w:top w:val="none" w:sz="0" w:space="0" w:color="auto"/>
            <w:left w:val="none" w:sz="0" w:space="0" w:color="auto"/>
            <w:bottom w:val="none" w:sz="0" w:space="0" w:color="auto"/>
            <w:right w:val="none" w:sz="0" w:space="0" w:color="auto"/>
          </w:divBdr>
        </w:div>
        <w:div w:id="832374061">
          <w:marLeft w:val="640"/>
          <w:marRight w:val="0"/>
          <w:marTop w:val="0"/>
          <w:marBottom w:val="0"/>
          <w:divBdr>
            <w:top w:val="none" w:sz="0" w:space="0" w:color="auto"/>
            <w:left w:val="none" w:sz="0" w:space="0" w:color="auto"/>
            <w:bottom w:val="none" w:sz="0" w:space="0" w:color="auto"/>
            <w:right w:val="none" w:sz="0" w:space="0" w:color="auto"/>
          </w:divBdr>
        </w:div>
        <w:div w:id="835536774">
          <w:marLeft w:val="640"/>
          <w:marRight w:val="0"/>
          <w:marTop w:val="0"/>
          <w:marBottom w:val="0"/>
          <w:divBdr>
            <w:top w:val="none" w:sz="0" w:space="0" w:color="auto"/>
            <w:left w:val="none" w:sz="0" w:space="0" w:color="auto"/>
            <w:bottom w:val="none" w:sz="0" w:space="0" w:color="auto"/>
            <w:right w:val="none" w:sz="0" w:space="0" w:color="auto"/>
          </w:divBdr>
        </w:div>
        <w:div w:id="850682275">
          <w:marLeft w:val="640"/>
          <w:marRight w:val="0"/>
          <w:marTop w:val="0"/>
          <w:marBottom w:val="0"/>
          <w:divBdr>
            <w:top w:val="none" w:sz="0" w:space="0" w:color="auto"/>
            <w:left w:val="none" w:sz="0" w:space="0" w:color="auto"/>
            <w:bottom w:val="none" w:sz="0" w:space="0" w:color="auto"/>
            <w:right w:val="none" w:sz="0" w:space="0" w:color="auto"/>
          </w:divBdr>
        </w:div>
        <w:div w:id="864445062">
          <w:marLeft w:val="640"/>
          <w:marRight w:val="0"/>
          <w:marTop w:val="0"/>
          <w:marBottom w:val="0"/>
          <w:divBdr>
            <w:top w:val="none" w:sz="0" w:space="0" w:color="auto"/>
            <w:left w:val="none" w:sz="0" w:space="0" w:color="auto"/>
            <w:bottom w:val="none" w:sz="0" w:space="0" w:color="auto"/>
            <w:right w:val="none" w:sz="0" w:space="0" w:color="auto"/>
          </w:divBdr>
        </w:div>
        <w:div w:id="870606244">
          <w:marLeft w:val="640"/>
          <w:marRight w:val="0"/>
          <w:marTop w:val="0"/>
          <w:marBottom w:val="0"/>
          <w:divBdr>
            <w:top w:val="none" w:sz="0" w:space="0" w:color="auto"/>
            <w:left w:val="none" w:sz="0" w:space="0" w:color="auto"/>
            <w:bottom w:val="none" w:sz="0" w:space="0" w:color="auto"/>
            <w:right w:val="none" w:sz="0" w:space="0" w:color="auto"/>
          </w:divBdr>
        </w:div>
        <w:div w:id="887491572">
          <w:marLeft w:val="640"/>
          <w:marRight w:val="0"/>
          <w:marTop w:val="0"/>
          <w:marBottom w:val="0"/>
          <w:divBdr>
            <w:top w:val="none" w:sz="0" w:space="0" w:color="auto"/>
            <w:left w:val="none" w:sz="0" w:space="0" w:color="auto"/>
            <w:bottom w:val="none" w:sz="0" w:space="0" w:color="auto"/>
            <w:right w:val="none" w:sz="0" w:space="0" w:color="auto"/>
          </w:divBdr>
        </w:div>
        <w:div w:id="1055617669">
          <w:marLeft w:val="640"/>
          <w:marRight w:val="0"/>
          <w:marTop w:val="0"/>
          <w:marBottom w:val="0"/>
          <w:divBdr>
            <w:top w:val="none" w:sz="0" w:space="0" w:color="auto"/>
            <w:left w:val="none" w:sz="0" w:space="0" w:color="auto"/>
            <w:bottom w:val="none" w:sz="0" w:space="0" w:color="auto"/>
            <w:right w:val="none" w:sz="0" w:space="0" w:color="auto"/>
          </w:divBdr>
        </w:div>
        <w:div w:id="1069108015">
          <w:marLeft w:val="640"/>
          <w:marRight w:val="0"/>
          <w:marTop w:val="0"/>
          <w:marBottom w:val="0"/>
          <w:divBdr>
            <w:top w:val="none" w:sz="0" w:space="0" w:color="auto"/>
            <w:left w:val="none" w:sz="0" w:space="0" w:color="auto"/>
            <w:bottom w:val="none" w:sz="0" w:space="0" w:color="auto"/>
            <w:right w:val="none" w:sz="0" w:space="0" w:color="auto"/>
          </w:divBdr>
        </w:div>
        <w:div w:id="1115443250">
          <w:marLeft w:val="640"/>
          <w:marRight w:val="0"/>
          <w:marTop w:val="0"/>
          <w:marBottom w:val="0"/>
          <w:divBdr>
            <w:top w:val="none" w:sz="0" w:space="0" w:color="auto"/>
            <w:left w:val="none" w:sz="0" w:space="0" w:color="auto"/>
            <w:bottom w:val="none" w:sz="0" w:space="0" w:color="auto"/>
            <w:right w:val="none" w:sz="0" w:space="0" w:color="auto"/>
          </w:divBdr>
        </w:div>
        <w:div w:id="1124274435">
          <w:marLeft w:val="640"/>
          <w:marRight w:val="0"/>
          <w:marTop w:val="0"/>
          <w:marBottom w:val="0"/>
          <w:divBdr>
            <w:top w:val="none" w:sz="0" w:space="0" w:color="auto"/>
            <w:left w:val="none" w:sz="0" w:space="0" w:color="auto"/>
            <w:bottom w:val="none" w:sz="0" w:space="0" w:color="auto"/>
            <w:right w:val="none" w:sz="0" w:space="0" w:color="auto"/>
          </w:divBdr>
        </w:div>
        <w:div w:id="1126045966">
          <w:marLeft w:val="640"/>
          <w:marRight w:val="0"/>
          <w:marTop w:val="0"/>
          <w:marBottom w:val="0"/>
          <w:divBdr>
            <w:top w:val="none" w:sz="0" w:space="0" w:color="auto"/>
            <w:left w:val="none" w:sz="0" w:space="0" w:color="auto"/>
            <w:bottom w:val="none" w:sz="0" w:space="0" w:color="auto"/>
            <w:right w:val="none" w:sz="0" w:space="0" w:color="auto"/>
          </w:divBdr>
        </w:div>
        <w:div w:id="1129862467">
          <w:marLeft w:val="640"/>
          <w:marRight w:val="0"/>
          <w:marTop w:val="0"/>
          <w:marBottom w:val="0"/>
          <w:divBdr>
            <w:top w:val="none" w:sz="0" w:space="0" w:color="auto"/>
            <w:left w:val="none" w:sz="0" w:space="0" w:color="auto"/>
            <w:bottom w:val="none" w:sz="0" w:space="0" w:color="auto"/>
            <w:right w:val="none" w:sz="0" w:space="0" w:color="auto"/>
          </w:divBdr>
        </w:div>
        <w:div w:id="1154952815">
          <w:marLeft w:val="640"/>
          <w:marRight w:val="0"/>
          <w:marTop w:val="0"/>
          <w:marBottom w:val="0"/>
          <w:divBdr>
            <w:top w:val="none" w:sz="0" w:space="0" w:color="auto"/>
            <w:left w:val="none" w:sz="0" w:space="0" w:color="auto"/>
            <w:bottom w:val="none" w:sz="0" w:space="0" w:color="auto"/>
            <w:right w:val="none" w:sz="0" w:space="0" w:color="auto"/>
          </w:divBdr>
        </w:div>
        <w:div w:id="1161121477">
          <w:marLeft w:val="640"/>
          <w:marRight w:val="0"/>
          <w:marTop w:val="0"/>
          <w:marBottom w:val="0"/>
          <w:divBdr>
            <w:top w:val="none" w:sz="0" w:space="0" w:color="auto"/>
            <w:left w:val="none" w:sz="0" w:space="0" w:color="auto"/>
            <w:bottom w:val="none" w:sz="0" w:space="0" w:color="auto"/>
            <w:right w:val="none" w:sz="0" w:space="0" w:color="auto"/>
          </w:divBdr>
        </w:div>
        <w:div w:id="1228295670">
          <w:marLeft w:val="640"/>
          <w:marRight w:val="0"/>
          <w:marTop w:val="0"/>
          <w:marBottom w:val="0"/>
          <w:divBdr>
            <w:top w:val="none" w:sz="0" w:space="0" w:color="auto"/>
            <w:left w:val="none" w:sz="0" w:space="0" w:color="auto"/>
            <w:bottom w:val="none" w:sz="0" w:space="0" w:color="auto"/>
            <w:right w:val="none" w:sz="0" w:space="0" w:color="auto"/>
          </w:divBdr>
        </w:div>
        <w:div w:id="1343585094">
          <w:marLeft w:val="640"/>
          <w:marRight w:val="0"/>
          <w:marTop w:val="0"/>
          <w:marBottom w:val="0"/>
          <w:divBdr>
            <w:top w:val="none" w:sz="0" w:space="0" w:color="auto"/>
            <w:left w:val="none" w:sz="0" w:space="0" w:color="auto"/>
            <w:bottom w:val="none" w:sz="0" w:space="0" w:color="auto"/>
            <w:right w:val="none" w:sz="0" w:space="0" w:color="auto"/>
          </w:divBdr>
        </w:div>
        <w:div w:id="1441337432">
          <w:marLeft w:val="640"/>
          <w:marRight w:val="0"/>
          <w:marTop w:val="0"/>
          <w:marBottom w:val="0"/>
          <w:divBdr>
            <w:top w:val="none" w:sz="0" w:space="0" w:color="auto"/>
            <w:left w:val="none" w:sz="0" w:space="0" w:color="auto"/>
            <w:bottom w:val="none" w:sz="0" w:space="0" w:color="auto"/>
            <w:right w:val="none" w:sz="0" w:space="0" w:color="auto"/>
          </w:divBdr>
        </w:div>
        <w:div w:id="1496215649">
          <w:marLeft w:val="640"/>
          <w:marRight w:val="0"/>
          <w:marTop w:val="0"/>
          <w:marBottom w:val="0"/>
          <w:divBdr>
            <w:top w:val="none" w:sz="0" w:space="0" w:color="auto"/>
            <w:left w:val="none" w:sz="0" w:space="0" w:color="auto"/>
            <w:bottom w:val="none" w:sz="0" w:space="0" w:color="auto"/>
            <w:right w:val="none" w:sz="0" w:space="0" w:color="auto"/>
          </w:divBdr>
        </w:div>
        <w:div w:id="1513715168">
          <w:marLeft w:val="640"/>
          <w:marRight w:val="0"/>
          <w:marTop w:val="0"/>
          <w:marBottom w:val="0"/>
          <w:divBdr>
            <w:top w:val="none" w:sz="0" w:space="0" w:color="auto"/>
            <w:left w:val="none" w:sz="0" w:space="0" w:color="auto"/>
            <w:bottom w:val="none" w:sz="0" w:space="0" w:color="auto"/>
            <w:right w:val="none" w:sz="0" w:space="0" w:color="auto"/>
          </w:divBdr>
        </w:div>
        <w:div w:id="1552882595">
          <w:marLeft w:val="640"/>
          <w:marRight w:val="0"/>
          <w:marTop w:val="0"/>
          <w:marBottom w:val="0"/>
          <w:divBdr>
            <w:top w:val="none" w:sz="0" w:space="0" w:color="auto"/>
            <w:left w:val="none" w:sz="0" w:space="0" w:color="auto"/>
            <w:bottom w:val="none" w:sz="0" w:space="0" w:color="auto"/>
            <w:right w:val="none" w:sz="0" w:space="0" w:color="auto"/>
          </w:divBdr>
        </w:div>
        <w:div w:id="1571042242">
          <w:marLeft w:val="640"/>
          <w:marRight w:val="0"/>
          <w:marTop w:val="0"/>
          <w:marBottom w:val="0"/>
          <w:divBdr>
            <w:top w:val="none" w:sz="0" w:space="0" w:color="auto"/>
            <w:left w:val="none" w:sz="0" w:space="0" w:color="auto"/>
            <w:bottom w:val="none" w:sz="0" w:space="0" w:color="auto"/>
            <w:right w:val="none" w:sz="0" w:space="0" w:color="auto"/>
          </w:divBdr>
        </w:div>
        <w:div w:id="1573462650">
          <w:marLeft w:val="640"/>
          <w:marRight w:val="0"/>
          <w:marTop w:val="0"/>
          <w:marBottom w:val="0"/>
          <w:divBdr>
            <w:top w:val="none" w:sz="0" w:space="0" w:color="auto"/>
            <w:left w:val="none" w:sz="0" w:space="0" w:color="auto"/>
            <w:bottom w:val="none" w:sz="0" w:space="0" w:color="auto"/>
            <w:right w:val="none" w:sz="0" w:space="0" w:color="auto"/>
          </w:divBdr>
        </w:div>
        <w:div w:id="1591767195">
          <w:marLeft w:val="640"/>
          <w:marRight w:val="0"/>
          <w:marTop w:val="0"/>
          <w:marBottom w:val="0"/>
          <w:divBdr>
            <w:top w:val="none" w:sz="0" w:space="0" w:color="auto"/>
            <w:left w:val="none" w:sz="0" w:space="0" w:color="auto"/>
            <w:bottom w:val="none" w:sz="0" w:space="0" w:color="auto"/>
            <w:right w:val="none" w:sz="0" w:space="0" w:color="auto"/>
          </w:divBdr>
        </w:div>
        <w:div w:id="1617251724">
          <w:marLeft w:val="640"/>
          <w:marRight w:val="0"/>
          <w:marTop w:val="0"/>
          <w:marBottom w:val="0"/>
          <w:divBdr>
            <w:top w:val="none" w:sz="0" w:space="0" w:color="auto"/>
            <w:left w:val="none" w:sz="0" w:space="0" w:color="auto"/>
            <w:bottom w:val="none" w:sz="0" w:space="0" w:color="auto"/>
            <w:right w:val="none" w:sz="0" w:space="0" w:color="auto"/>
          </w:divBdr>
        </w:div>
        <w:div w:id="1634631240">
          <w:marLeft w:val="640"/>
          <w:marRight w:val="0"/>
          <w:marTop w:val="0"/>
          <w:marBottom w:val="0"/>
          <w:divBdr>
            <w:top w:val="none" w:sz="0" w:space="0" w:color="auto"/>
            <w:left w:val="none" w:sz="0" w:space="0" w:color="auto"/>
            <w:bottom w:val="none" w:sz="0" w:space="0" w:color="auto"/>
            <w:right w:val="none" w:sz="0" w:space="0" w:color="auto"/>
          </w:divBdr>
        </w:div>
        <w:div w:id="1634823323">
          <w:marLeft w:val="640"/>
          <w:marRight w:val="0"/>
          <w:marTop w:val="0"/>
          <w:marBottom w:val="0"/>
          <w:divBdr>
            <w:top w:val="none" w:sz="0" w:space="0" w:color="auto"/>
            <w:left w:val="none" w:sz="0" w:space="0" w:color="auto"/>
            <w:bottom w:val="none" w:sz="0" w:space="0" w:color="auto"/>
            <w:right w:val="none" w:sz="0" w:space="0" w:color="auto"/>
          </w:divBdr>
        </w:div>
        <w:div w:id="1651253330">
          <w:marLeft w:val="640"/>
          <w:marRight w:val="0"/>
          <w:marTop w:val="0"/>
          <w:marBottom w:val="0"/>
          <w:divBdr>
            <w:top w:val="none" w:sz="0" w:space="0" w:color="auto"/>
            <w:left w:val="none" w:sz="0" w:space="0" w:color="auto"/>
            <w:bottom w:val="none" w:sz="0" w:space="0" w:color="auto"/>
            <w:right w:val="none" w:sz="0" w:space="0" w:color="auto"/>
          </w:divBdr>
        </w:div>
        <w:div w:id="1735159937">
          <w:marLeft w:val="640"/>
          <w:marRight w:val="0"/>
          <w:marTop w:val="0"/>
          <w:marBottom w:val="0"/>
          <w:divBdr>
            <w:top w:val="none" w:sz="0" w:space="0" w:color="auto"/>
            <w:left w:val="none" w:sz="0" w:space="0" w:color="auto"/>
            <w:bottom w:val="none" w:sz="0" w:space="0" w:color="auto"/>
            <w:right w:val="none" w:sz="0" w:space="0" w:color="auto"/>
          </w:divBdr>
        </w:div>
        <w:div w:id="1757020665">
          <w:marLeft w:val="640"/>
          <w:marRight w:val="0"/>
          <w:marTop w:val="0"/>
          <w:marBottom w:val="0"/>
          <w:divBdr>
            <w:top w:val="none" w:sz="0" w:space="0" w:color="auto"/>
            <w:left w:val="none" w:sz="0" w:space="0" w:color="auto"/>
            <w:bottom w:val="none" w:sz="0" w:space="0" w:color="auto"/>
            <w:right w:val="none" w:sz="0" w:space="0" w:color="auto"/>
          </w:divBdr>
        </w:div>
        <w:div w:id="1775058040">
          <w:marLeft w:val="640"/>
          <w:marRight w:val="0"/>
          <w:marTop w:val="0"/>
          <w:marBottom w:val="0"/>
          <w:divBdr>
            <w:top w:val="none" w:sz="0" w:space="0" w:color="auto"/>
            <w:left w:val="none" w:sz="0" w:space="0" w:color="auto"/>
            <w:bottom w:val="none" w:sz="0" w:space="0" w:color="auto"/>
            <w:right w:val="none" w:sz="0" w:space="0" w:color="auto"/>
          </w:divBdr>
        </w:div>
        <w:div w:id="1797143729">
          <w:marLeft w:val="640"/>
          <w:marRight w:val="0"/>
          <w:marTop w:val="0"/>
          <w:marBottom w:val="0"/>
          <w:divBdr>
            <w:top w:val="none" w:sz="0" w:space="0" w:color="auto"/>
            <w:left w:val="none" w:sz="0" w:space="0" w:color="auto"/>
            <w:bottom w:val="none" w:sz="0" w:space="0" w:color="auto"/>
            <w:right w:val="none" w:sz="0" w:space="0" w:color="auto"/>
          </w:divBdr>
        </w:div>
        <w:div w:id="1804233733">
          <w:marLeft w:val="640"/>
          <w:marRight w:val="0"/>
          <w:marTop w:val="0"/>
          <w:marBottom w:val="0"/>
          <w:divBdr>
            <w:top w:val="none" w:sz="0" w:space="0" w:color="auto"/>
            <w:left w:val="none" w:sz="0" w:space="0" w:color="auto"/>
            <w:bottom w:val="none" w:sz="0" w:space="0" w:color="auto"/>
            <w:right w:val="none" w:sz="0" w:space="0" w:color="auto"/>
          </w:divBdr>
        </w:div>
        <w:div w:id="1819179754">
          <w:marLeft w:val="640"/>
          <w:marRight w:val="0"/>
          <w:marTop w:val="0"/>
          <w:marBottom w:val="0"/>
          <w:divBdr>
            <w:top w:val="none" w:sz="0" w:space="0" w:color="auto"/>
            <w:left w:val="none" w:sz="0" w:space="0" w:color="auto"/>
            <w:bottom w:val="none" w:sz="0" w:space="0" w:color="auto"/>
            <w:right w:val="none" w:sz="0" w:space="0" w:color="auto"/>
          </w:divBdr>
        </w:div>
        <w:div w:id="1819607732">
          <w:marLeft w:val="640"/>
          <w:marRight w:val="0"/>
          <w:marTop w:val="0"/>
          <w:marBottom w:val="0"/>
          <w:divBdr>
            <w:top w:val="none" w:sz="0" w:space="0" w:color="auto"/>
            <w:left w:val="none" w:sz="0" w:space="0" w:color="auto"/>
            <w:bottom w:val="none" w:sz="0" w:space="0" w:color="auto"/>
            <w:right w:val="none" w:sz="0" w:space="0" w:color="auto"/>
          </w:divBdr>
        </w:div>
        <w:div w:id="1898590306">
          <w:marLeft w:val="640"/>
          <w:marRight w:val="0"/>
          <w:marTop w:val="0"/>
          <w:marBottom w:val="0"/>
          <w:divBdr>
            <w:top w:val="none" w:sz="0" w:space="0" w:color="auto"/>
            <w:left w:val="none" w:sz="0" w:space="0" w:color="auto"/>
            <w:bottom w:val="none" w:sz="0" w:space="0" w:color="auto"/>
            <w:right w:val="none" w:sz="0" w:space="0" w:color="auto"/>
          </w:divBdr>
        </w:div>
        <w:div w:id="1909920891">
          <w:marLeft w:val="640"/>
          <w:marRight w:val="0"/>
          <w:marTop w:val="0"/>
          <w:marBottom w:val="0"/>
          <w:divBdr>
            <w:top w:val="none" w:sz="0" w:space="0" w:color="auto"/>
            <w:left w:val="none" w:sz="0" w:space="0" w:color="auto"/>
            <w:bottom w:val="none" w:sz="0" w:space="0" w:color="auto"/>
            <w:right w:val="none" w:sz="0" w:space="0" w:color="auto"/>
          </w:divBdr>
        </w:div>
        <w:div w:id="1975870642">
          <w:marLeft w:val="640"/>
          <w:marRight w:val="0"/>
          <w:marTop w:val="0"/>
          <w:marBottom w:val="0"/>
          <w:divBdr>
            <w:top w:val="none" w:sz="0" w:space="0" w:color="auto"/>
            <w:left w:val="none" w:sz="0" w:space="0" w:color="auto"/>
            <w:bottom w:val="none" w:sz="0" w:space="0" w:color="auto"/>
            <w:right w:val="none" w:sz="0" w:space="0" w:color="auto"/>
          </w:divBdr>
        </w:div>
        <w:div w:id="1986078495">
          <w:marLeft w:val="640"/>
          <w:marRight w:val="0"/>
          <w:marTop w:val="0"/>
          <w:marBottom w:val="0"/>
          <w:divBdr>
            <w:top w:val="none" w:sz="0" w:space="0" w:color="auto"/>
            <w:left w:val="none" w:sz="0" w:space="0" w:color="auto"/>
            <w:bottom w:val="none" w:sz="0" w:space="0" w:color="auto"/>
            <w:right w:val="none" w:sz="0" w:space="0" w:color="auto"/>
          </w:divBdr>
        </w:div>
        <w:div w:id="2022734155">
          <w:marLeft w:val="640"/>
          <w:marRight w:val="0"/>
          <w:marTop w:val="0"/>
          <w:marBottom w:val="0"/>
          <w:divBdr>
            <w:top w:val="none" w:sz="0" w:space="0" w:color="auto"/>
            <w:left w:val="none" w:sz="0" w:space="0" w:color="auto"/>
            <w:bottom w:val="none" w:sz="0" w:space="0" w:color="auto"/>
            <w:right w:val="none" w:sz="0" w:space="0" w:color="auto"/>
          </w:divBdr>
        </w:div>
        <w:div w:id="2037464263">
          <w:marLeft w:val="640"/>
          <w:marRight w:val="0"/>
          <w:marTop w:val="0"/>
          <w:marBottom w:val="0"/>
          <w:divBdr>
            <w:top w:val="none" w:sz="0" w:space="0" w:color="auto"/>
            <w:left w:val="none" w:sz="0" w:space="0" w:color="auto"/>
            <w:bottom w:val="none" w:sz="0" w:space="0" w:color="auto"/>
            <w:right w:val="none" w:sz="0" w:space="0" w:color="auto"/>
          </w:divBdr>
        </w:div>
        <w:div w:id="2061899401">
          <w:marLeft w:val="640"/>
          <w:marRight w:val="0"/>
          <w:marTop w:val="0"/>
          <w:marBottom w:val="0"/>
          <w:divBdr>
            <w:top w:val="none" w:sz="0" w:space="0" w:color="auto"/>
            <w:left w:val="none" w:sz="0" w:space="0" w:color="auto"/>
            <w:bottom w:val="none" w:sz="0" w:space="0" w:color="auto"/>
            <w:right w:val="none" w:sz="0" w:space="0" w:color="auto"/>
          </w:divBdr>
        </w:div>
        <w:div w:id="2074885809">
          <w:marLeft w:val="640"/>
          <w:marRight w:val="0"/>
          <w:marTop w:val="0"/>
          <w:marBottom w:val="0"/>
          <w:divBdr>
            <w:top w:val="none" w:sz="0" w:space="0" w:color="auto"/>
            <w:left w:val="none" w:sz="0" w:space="0" w:color="auto"/>
            <w:bottom w:val="none" w:sz="0" w:space="0" w:color="auto"/>
            <w:right w:val="none" w:sz="0" w:space="0" w:color="auto"/>
          </w:divBdr>
        </w:div>
        <w:div w:id="2099399118">
          <w:marLeft w:val="640"/>
          <w:marRight w:val="0"/>
          <w:marTop w:val="0"/>
          <w:marBottom w:val="0"/>
          <w:divBdr>
            <w:top w:val="none" w:sz="0" w:space="0" w:color="auto"/>
            <w:left w:val="none" w:sz="0" w:space="0" w:color="auto"/>
            <w:bottom w:val="none" w:sz="0" w:space="0" w:color="auto"/>
            <w:right w:val="none" w:sz="0" w:space="0" w:color="auto"/>
          </w:divBdr>
        </w:div>
        <w:div w:id="2126651966">
          <w:marLeft w:val="640"/>
          <w:marRight w:val="0"/>
          <w:marTop w:val="0"/>
          <w:marBottom w:val="0"/>
          <w:divBdr>
            <w:top w:val="none" w:sz="0" w:space="0" w:color="auto"/>
            <w:left w:val="none" w:sz="0" w:space="0" w:color="auto"/>
            <w:bottom w:val="none" w:sz="0" w:space="0" w:color="auto"/>
            <w:right w:val="none" w:sz="0" w:space="0" w:color="auto"/>
          </w:divBdr>
        </w:div>
      </w:divsChild>
    </w:div>
    <w:div w:id="479925191">
      <w:bodyDiv w:val="1"/>
      <w:marLeft w:val="0"/>
      <w:marRight w:val="0"/>
      <w:marTop w:val="0"/>
      <w:marBottom w:val="0"/>
      <w:divBdr>
        <w:top w:val="none" w:sz="0" w:space="0" w:color="auto"/>
        <w:left w:val="none" w:sz="0" w:space="0" w:color="auto"/>
        <w:bottom w:val="none" w:sz="0" w:space="0" w:color="auto"/>
        <w:right w:val="none" w:sz="0" w:space="0" w:color="auto"/>
      </w:divBdr>
      <w:divsChild>
        <w:div w:id="1829634931">
          <w:marLeft w:val="480"/>
          <w:marRight w:val="0"/>
          <w:marTop w:val="0"/>
          <w:marBottom w:val="0"/>
          <w:divBdr>
            <w:top w:val="none" w:sz="0" w:space="0" w:color="auto"/>
            <w:left w:val="none" w:sz="0" w:space="0" w:color="auto"/>
            <w:bottom w:val="none" w:sz="0" w:space="0" w:color="auto"/>
            <w:right w:val="none" w:sz="0" w:space="0" w:color="auto"/>
          </w:divBdr>
        </w:div>
        <w:div w:id="1398819059">
          <w:marLeft w:val="480"/>
          <w:marRight w:val="0"/>
          <w:marTop w:val="0"/>
          <w:marBottom w:val="0"/>
          <w:divBdr>
            <w:top w:val="none" w:sz="0" w:space="0" w:color="auto"/>
            <w:left w:val="none" w:sz="0" w:space="0" w:color="auto"/>
            <w:bottom w:val="none" w:sz="0" w:space="0" w:color="auto"/>
            <w:right w:val="none" w:sz="0" w:space="0" w:color="auto"/>
          </w:divBdr>
        </w:div>
        <w:div w:id="716973360">
          <w:marLeft w:val="480"/>
          <w:marRight w:val="0"/>
          <w:marTop w:val="0"/>
          <w:marBottom w:val="0"/>
          <w:divBdr>
            <w:top w:val="none" w:sz="0" w:space="0" w:color="auto"/>
            <w:left w:val="none" w:sz="0" w:space="0" w:color="auto"/>
            <w:bottom w:val="none" w:sz="0" w:space="0" w:color="auto"/>
            <w:right w:val="none" w:sz="0" w:space="0" w:color="auto"/>
          </w:divBdr>
        </w:div>
        <w:div w:id="820002416">
          <w:marLeft w:val="480"/>
          <w:marRight w:val="0"/>
          <w:marTop w:val="0"/>
          <w:marBottom w:val="0"/>
          <w:divBdr>
            <w:top w:val="none" w:sz="0" w:space="0" w:color="auto"/>
            <w:left w:val="none" w:sz="0" w:space="0" w:color="auto"/>
            <w:bottom w:val="none" w:sz="0" w:space="0" w:color="auto"/>
            <w:right w:val="none" w:sz="0" w:space="0" w:color="auto"/>
          </w:divBdr>
        </w:div>
        <w:div w:id="1980841098">
          <w:marLeft w:val="480"/>
          <w:marRight w:val="0"/>
          <w:marTop w:val="0"/>
          <w:marBottom w:val="0"/>
          <w:divBdr>
            <w:top w:val="none" w:sz="0" w:space="0" w:color="auto"/>
            <w:left w:val="none" w:sz="0" w:space="0" w:color="auto"/>
            <w:bottom w:val="none" w:sz="0" w:space="0" w:color="auto"/>
            <w:right w:val="none" w:sz="0" w:space="0" w:color="auto"/>
          </w:divBdr>
        </w:div>
        <w:div w:id="119303284">
          <w:marLeft w:val="480"/>
          <w:marRight w:val="0"/>
          <w:marTop w:val="0"/>
          <w:marBottom w:val="0"/>
          <w:divBdr>
            <w:top w:val="none" w:sz="0" w:space="0" w:color="auto"/>
            <w:left w:val="none" w:sz="0" w:space="0" w:color="auto"/>
            <w:bottom w:val="none" w:sz="0" w:space="0" w:color="auto"/>
            <w:right w:val="none" w:sz="0" w:space="0" w:color="auto"/>
          </w:divBdr>
        </w:div>
        <w:div w:id="936210411">
          <w:marLeft w:val="480"/>
          <w:marRight w:val="0"/>
          <w:marTop w:val="0"/>
          <w:marBottom w:val="0"/>
          <w:divBdr>
            <w:top w:val="none" w:sz="0" w:space="0" w:color="auto"/>
            <w:left w:val="none" w:sz="0" w:space="0" w:color="auto"/>
            <w:bottom w:val="none" w:sz="0" w:space="0" w:color="auto"/>
            <w:right w:val="none" w:sz="0" w:space="0" w:color="auto"/>
          </w:divBdr>
        </w:div>
        <w:div w:id="1152260308">
          <w:marLeft w:val="480"/>
          <w:marRight w:val="0"/>
          <w:marTop w:val="0"/>
          <w:marBottom w:val="0"/>
          <w:divBdr>
            <w:top w:val="none" w:sz="0" w:space="0" w:color="auto"/>
            <w:left w:val="none" w:sz="0" w:space="0" w:color="auto"/>
            <w:bottom w:val="none" w:sz="0" w:space="0" w:color="auto"/>
            <w:right w:val="none" w:sz="0" w:space="0" w:color="auto"/>
          </w:divBdr>
        </w:div>
      </w:divsChild>
    </w:div>
    <w:div w:id="485249581">
      <w:bodyDiv w:val="1"/>
      <w:marLeft w:val="0"/>
      <w:marRight w:val="0"/>
      <w:marTop w:val="0"/>
      <w:marBottom w:val="0"/>
      <w:divBdr>
        <w:top w:val="none" w:sz="0" w:space="0" w:color="auto"/>
        <w:left w:val="none" w:sz="0" w:space="0" w:color="auto"/>
        <w:bottom w:val="none" w:sz="0" w:space="0" w:color="auto"/>
        <w:right w:val="none" w:sz="0" w:space="0" w:color="auto"/>
      </w:divBdr>
    </w:div>
    <w:div w:id="485324664">
      <w:bodyDiv w:val="1"/>
      <w:marLeft w:val="0"/>
      <w:marRight w:val="0"/>
      <w:marTop w:val="0"/>
      <w:marBottom w:val="0"/>
      <w:divBdr>
        <w:top w:val="none" w:sz="0" w:space="0" w:color="auto"/>
        <w:left w:val="none" w:sz="0" w:space="0" w:color="auto"/>
        <w:bottom w:val="none" w:sz="0" w:space="0" w:color="auto"/>
        <w:right w:val="none" w:sz="0" w:space="0" w:color="auto"/>
      </w:divBdr>
    </w:div>
    <w:div w:id="488597420">
      <w:bodyDiv w:val="1"/>
      <w:marLeft w:val="0"/>
      <w:marRight w:val="0"/>
      <w:marTop w:val="0"/>
      <w:marBottom w:val="0"/>
      <w:divBdr>
        <w:top w:val="none" w:sz="0" w:space="0" w:color="auto"/>
        <w:left w:val="none" w:sz="0" w:space="0" w:color="auto"/>
        <w:bottom w:val="none" w:sz="0" w:space="0" w:color="auto"/>
        <w:right w:val="none" w:sz="0" w:space="0" w:color="auto"/>
      </w:divBdr>
    </w:div>
    <w:div w:id="488792742">
      <w:bodyDiv w:val="1"/>
      <w:marLeft w:val="0"/>
      <w:marRight w:val="0"/>
      <w:marTop w:val="0"/>
      <w:marBottom w:val="0"/>
      <w:divBdr>
        <w:top w:val="none" w:sz="0" w:space="0" w:color="auto"/>
        <w:left w:val="none" w:sz="0" w:space="0" w:color="auto"/>
        <w:bottom w:val="none" w:sz="0" w:space="0" w:color="auto"/>
        <w:right w:val="none" w:sz="0" w:space="0" w:color="auto"/>
      </w:divBdr>
      <w:divsChild>
        <w:div w:id="1400057501">
          <w:marLeft w:val="480"/>
          <w:marRight w:val="0"/>
          <w:marTop w:val="0"/>
          <w:marBottom w:val="0"/>
          <w:divBdr>
            <w:top w:val="none" w:sz="0" w:space="0" w:color="auto"/>
            <w:left w:val="none" w:sz="0" w:space="0" w:color="auto"/>
            <w:bottom w:val="none" w:sz="0" w:space="0" w:color="auto"/>
            <w:right w:val="none" w:sz="0" w:space="0" w:color="auto"/>
          </w:divBdr>
        </w:div>
        <w:div w:id="1529756316">
          <w:marLeft w:val="480"/>
          <w:marRight w:val="0"/>
          <w:marTop w:val="0"/>
          <w:marBottom w:val="0"/>
          <w:divBdr>
            <w:top w:val="none" w:sz="0" w:space="0" w:color="auto"/>
            <w:left w:val="none" w:sz="0" w:space="0" w:color="auto"/>
            <w:bottom w:val="none" w:sz="0" w:space="0" w:color="auto"/>
            <w:right w:val="none" w:sz="0" w:space="0" w:color="auto"/>
          </w:divBdr>
        </w:div>
      </w:divsChild>
    </w:div>
    <w:div w:id="497043494">
      <w:bodyDiv w:val="1"/>
      <w:marLeft w:val="0"/>
      <w:marRight w:val="0"/>
      <w:marTop w:val="0"/>
      <w:marBottom w:val="0"/>
      <w:divBdr>
        <w:top w:val="none" w:sz="0" w:space="0" w:color="auto"/>
        <w:left w:val="none" w:sz="0" w:space="0" w:color="auto"/>
        <w:bottom w:val="none" w:sz="0" w:space="0" w:color="auto"/>
        <w:right w:val="none" w:sz="0" w:space="0" w:color="auto"/>
      </w:divBdr>
    </w:div>
    <w:div w:id="526335753">
      <w:bodyDiv w:val="1"/>
      <w:marLeft w:val="0"/>
      <w:marRight w:val="0"/>
      <w:marTop w:val="0"/>
      <w:marBottom w:val="0"/>
      <w:divBdr>
        <w:top w:val="none" w:sz="0" w:space="0" w:color="auto"/>
        <w:left w:val="none" w:sz="0" w:space="0" w:color="auto"/>
        <w:bottom w:val="none" w:sz="0" w:space="0" w:color="auto"/>
        <w:right w:val="none" w:sz="0" w:space="0" w:color="auto"/>
      </w:divBdr>
      <w:divsChild>
        <w:div w:id="1712611315">
          <w:marLeft w:val="480"/>
          <w:marRight w:val="0"/>
          <w:marTop w:val="0"/>
          <w:marBottom w:val="0"/>
          <w:divBdr>
            <w:top w:val="none" w:sz="0" w:space="0" w:color="auto"/>
            <w:left w:val="none" w:sz="0" w:space="0" w:color="auto"/>
            <w:bottom w:val="none" w:sz="0" w:space="0" w:color="auto"/>
            <w:right w:val="none" w:sz="0" w:space="0" w:color="auto"/>
          </w:divBdr>
        </w:div>
      </w:divsChild>
    </w:div>
    <w:div w:id="537862831">
      <w:bodyDiv w:val="1"/>
      <w:marLeft w:val="0"/>
      <w:marRight w:val="0"/>
      <w:marTop w:val="0"/>
      <w:marBottom w:val="0"/>
      <w:divBdr>
        <w:top w:val="none" w:sz="0" w:space="0" w:color="auto"/>
        <w:left w:val="none" w:sz="0" w:space="0" w:color="auto"/>
        <w:bottom w:val="none" w:sz="0" w:space="0" w:color="auto"/>
        <w:right w:val="none" w:sz="0" w:space="0" w:color="auto"/>
      </w:divBdr>
    </w:div>
    <w:div w:id="555242419">
      <w:bodyDiv w:val="1"/>
      <w:marLeft w:val="0"/>
      <w:marRight w:val="0"/>
      <w:marTop w:val="0"/>
      <w:marBottom w:val="0"/>
      <w:divBdr>
        <w:top w:val="none" w:sz="0" w:space="0" w:color="auto"/>
        <w:left w:val="none" w:sz="0" w:space="0" w:color="auto"/>
        <w:bottom w:val="none" w:sz="0" w:space="0" w:color="auto"/>
        <w:right w:val="none" w:sz="0" w:space="0" w:color="auto"/>
      </w:divBdr>
      <w:divsChild>
        <w:div w:id="686827183">
          <w:marLeft w:val="0"/>
          <w:marRight w:val="0"/>
          <w:marTop w:val="0"/>
          <w:marBottom w:val="0"/>
          <w:divBdr>
            <w:top w:val="none" w:sz="0" w:space="0" w:color="auto"/>
            <w:left w:val="none" w:sz="0" w:space="0" w:color="auto"/>
            <w:bottom w:val="none" w:sz="0" w:space="0" w:color="auto"/>
            <w:right w:val="none" w:sz="0" w:space="0" w:color="auto"/>
          </w:divBdr>
          <w:divsChild>
            <w:div w:id="508906642">
              <w:marLeft w:val="0"/>
              <w:marRight w:val="0"/>
              <w:marTop w:val="0"/>
              <w:marBottom w:val="0"/>
              <w:divBdr>
                <w:top w:val="none" w:sz="0" w:space="0" w:color="auto"/>
                <w:left w:val="none" w:sz="0" w:space="0" w:color="auto"/>
                <w:bottom w:val="none" w:sz="0" w:space="0" w:color="auto"/>
                <w:right w:val="none" w:sz="0" w:space="0" w:color="auto"/>
              </w:divBdr>
              <w:divsChild>
                <w:div w:id="171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897">
      <w:bodyDiv w:val="1"/>
      <w:marLeft w:val="0"/>
      <w:marRight w:val="0"/>
      <w:marTop w:val="0"/>
      <w:marBottom w:val="0"/>
      <w:divBdr>
        <w:top w:val="none" w:sz="0" w:space="0" w:color="auto"/>
        <w:left w:val="none" w:sz="0" w:space="0" w:color="auto"/>
        <w:bottom w:val="none" w:sz="0" w:space="0" w:color="auto"/>
        <w:right w:val="none" w:sz="0" w:space="0" w:color="auto"/>
      </w:divBdr>
      <w:divsChild>
        <w:div w:id="965813345">
          <w:marLeft w:val="480"/>
          <w:marRight w:val="0"/>
          <w:marTop w:val="0"/>
          <w:marBottom w:val="0"/>
          <w:divBdr>
            <w:top w:val="none" w:sz="0" w:space="0" w:color="auto"/>
            <w:left w:val="none" w:sz="0" w:space="0" w:color="auto"/>
            <w:bottom w:val="none" w:sz="0" w:space="0" w:color="auto"/>
            <w:right w:val="none" w:sz="0" w:space="0" w:color="auto"/>
          </w:divBdr>
        </w:div>
      </w:divsChild>
    </w:div>
    <w:div w:id="608784057">
      <w:bodyDiv w:val="1"/>
      <w:marLeft w:val="0"/>
      <w:marRight w:val="0"/>
      <w:marTop w:val="0"/>
      <w:marBottom w:val="0"/>
      <w:divBdr>
        <w:top w:val="none" w:sz="0" w:space="0" w:color="auto"/>
        <w:left w:val="none" w:sz="0" w:space="0" w:color="auto"/>
        <w:bottom w:val="none" w:sz="0" w:space="0" w:color="auto"/>
        <w:right w:val="none" w:sz="0" w:space="0" w:color="auto"/>
      </w:divBdr>
    </w:div>
    <w:div w:id="617102596">
      <w:bodyDiv w:val="1"/>
      <w:marLeft w:val="0"/>
      <w:marRight w:val="0"/>
      <w:marTop w:val="0"/>
      <w:marBottom w:val="0"/>
      <w:divBdr>
        <w:top w:val="none" w:sz="0" w:space="0" w:color="auto"/>
        <w:left w:val="none" w:sz="0" w:space="0" w:color="auto"/>
        <w:bottom w:val="none" w:sz="0" w:space="0" w:color="auto"/>
        <w:right w:val="none" w:sz="0" w:space="0" w:color="auto"/>
      </w:divBdr>
      <w:divsChild>
        <w:div w:id="73358763">
          <w:marLeft w:val="640"/>
          <w:marRight w:val="0"/>
          <w:marTop w:val="0"/>
          <w:marBottom w:val="0"/>
          <w:divBdr>
            <w:top w:val="none" w:sz="0" w:space="0" w:color="auto"/>
            <w:left w:val="none" w:sz="0" w:space="0" w:color="auto"/>
            <w:bottom w:val="none" w:sz="0" w:space="0" w:color="auto"/>
            <w:right w:val="none" w:sz="0" w:space="0" w:color="auto"/>
          </w:divBdr>
        </w:div>
        <w:div w:id="122122114">
          <w:marLeft w:val="640"/>
          <w:marRight w:val="0"/>
          <w:marTop w:val="0"/>
          <w:marBottom w:val="0"/>
          <w:divBdr>
            <w:top w:val="none" w:sz="0" w:space="0" w:color="auto"/>
            <w:left w:val="none" w:sz="0" w:space="0" w:color="auto"/>
            <w:bottom w:val="none" w:sz="0" w:space="0" w:color="auto"/>
            <w:right w:val="none" w:sz="0" w:space="0" w:color="auto"/>
          </w:divBdr>
        </w:div>
        <w:div w:id="154690341">
          <w:marLeft w:val="640"/>
          <w:marRight w:val="0"/>
          <w:marTop w:val="0"/>
          <w:marBottom w:val="0"/>
          <w:divBdr>
            <w:top w:val="none" w:sz="0" w:space="0" w:color="auto"/>
            <w:left w:val="none" w:sz="0" w:space="0" w:color="auto"/>
            <w:bottom w:val="none" w:sz="0" w:space="0" w:color="auto"/>
            <w:right w:val="none" w:sz="0" w:space="0" w:color="auto"/>
          </w:divBdr>
        </w:div>
        <w:div w:id="322902090">
          <w:marLeft w:val="640"/>
          <w:marRight w:val="0"/>
          <w:marTop w:val="0"/>
          <w:marBottom w:val="0"/>
          <w:divBdr>
            <w:top w:val="none" w:sz="0" w:space="0" w:color="auto"/>
            <w:left w:val="none" w:sz="0" w:space="0" w:color="auto"/>
            <w:bottom w:val="none" w:sz="0" w:space="0" w:color="auto"/>
            <w:right w:val="none" w:sz="0" w:space="0" w:color="auto"/>
          </w:divBdr>
        </w:div>
        <w:div w:id="416832990">
          <w:marLeft w:val="640"/>
          <w:marRight w:val="0"/>
          <w:marTop w:val="0"/>
          <w:marBottom w:val="0"/>
          <w:divBdr>
            <w:top w:val="none" w:sz="0" w:space="0" w:color="auto"/>
            <w:left w:val="none" w:sz="0" w:space="0" w:color="auto"/>
            <w:bottom w:val="none" w:sz="0" w:space="0" w:color="auto"/>
            <w:right w:val="none" w:sz="0" w:space="0" w:color="auto"/>
          </w:divBdr>
        </w:div>
        <w:div w:id="420757495">
          <w:marLeft w:val="640"/>
          <w:marRight w:val="0"/>
          <w:marTop w:val="0"/>
          <w:marBottom w:val="0"/>
          <w:divBdr>
            <w:top w:val="none" w:sz="0" w:space="0" w:color="auto"/>
            <w:left w:val="none" w:sz="0" w:space="0" w:color="auto"/>
            <w:bottom w:val="none" w:sz="0" w:space="0" w:color="auto"/>
            <w:right w:val="none" w:sz="0" w:space="0" w:color="auto"/>
          </w:divBdr>
        </w:div>
        <w:div w:id="526329550">
          <w:marLeft w:val="640"/>
          <w:marRight w:val="0"/>
          <w:marTop w:val="0"/>
          <w:marBottom w:val="0"/>
          <w:divBdr>
            <w:top w:val="none" w:sz="0" w:space="0" w:color="auto"/>
            <w:left w:val="none" w:sz="0" w:space="0" w:color="auto"/>
            <w:bottom w:val="none" w:sz="0" w:space="0" w:color="auto"/>
            <w:right w:val="none" w:sz="0" w:space="0" w:color="auto"/>
          </w:divBdr>
        </w:div>
        <w:div w:id="550382004">
          <w:marLeft w:val="640"/>
          <w:marRight w:val="0"/>
          <w:marTop w:val="0"/>
          <w:marBottom w:val="0"/>
          <w:divBdr>
            <w:top w:val="none" w:sz="0" w:space="0" w:color="auto"/>
            <w:left w:val="none" w:sz="0" w:space="0" w:color="auto"/>
            <w:bottom w:val="none" w:sz="0" w:space="0" w:color="auto"/>
            <w:right w:val="none" w:sz="0" w:space="0" w:color="auto"/>
          </w:divBdr>
        </w:div>
        <w:div w:id="551580030">
          <w:marLeft w:val="640"/>
          <w:marRight w:val="0"/>
          <w:marTop w:val="0"/>
          <w:marBottom w:val="0"/>
          <w:divBdr>
            <w:top w:val="none" w:sz="0" w:space="0" w:color="auto"/>
            <w:left w:val="none" w:sz="0" w:space="0" w:color="auto"/>
            <w:bottom w:val="none" w:sz="0" w:space="0" w:color="auto"/>
            <w:right w:val="none" w:sz="0" w:space="0" w:color="auto"/>
          </w:divBdr>
        </w:div>
        <w:div w:id="574557151">
          <w:marLeft w:val="640"/>
          <w:marRight w:val="0"/>
          <w:marTop w:val="0"/>
          <w:marBottom w:val="0"/>
          <w:divBdr>
            <w:top w:val="none" w:sz="0" w:space="0" w:color="auto"/>
            <w:left w:val="none" w:sz="0" w:space="0" w:color="auto"/>
            <w:bottom w:val="none" w:sz="0" w:space="0" w:color="auto"/>
            <w:right w:val="none" w:sz="0" w:space="0" w:color="auto"/>
          </w:divBdr>
        </w:div>
        <w:div w:id="575747167">
          <w:marLeft w:val="640"/>
          <w:marRight w:val="0"/>
          <w:marTop w:val="0"/>
          <w:marBottom w:val="0"/>
          <w:divBdr>
            <w:top w:val="none" w:sz="0" w:space="0" w:color="auto"/>
            <w:left w:val="none" w:sz="0" w:space="0" w:color="auto"/>
            <w:bottom w:val="none" w:sz="0" w:space="0" w:color="auto"/>
            <w:right w:val="none" w:sz="0" w:space="0" w:color="auto"/>
          </w:divBdr>
        </w:div>
        <w:div w:id="585766723">
          <w:marLeft w:val="640"/>
          <w:marRight w:val="0"/>
          <w:marTop w:val="0"/>
          <w:marBottom w:val="0"/>
          <w:divBdr>
            <w:top w:val="none" w:sz="0" w:space="0" w:color="auto"/>
            <w:left w:val="none" w:sz="0" w:space="0" w:color="auto"/>
            <w:bottom w:val="none" w:sz="0" w:space="0" w:color="auto"/>
            <w:right w:val="none" w:sz="0" w:space="0" w:color="auto"/>
          </w:divBdr>
        </w:div>
        <w:div w:id="623658594">
          <w:marLeft w:val="640"/>
          <w:marRight w:val="0"/>
          <w:marTop w:val="0"/>
          <w:marBottom w:val="0"/>
          <w:divBdr>
            <w:top w:val="none" w:sz="0" w:space="0" w:color="auto"/>
            <w:left w:val="none" w:sz="0" w:space="0" w:color="auto"/>
            <w:bottom w:val="none" w:sz="0" w:space="0" w:color="auto"/>
            <w:right w:val="none" w:sz="0" w:space="0" w:color="auto"/>
          </w:divBdr>
        </w:div>
        <w:div w:id="630523522">
          <w:marLeft w:val="640"/>
          <w:marRight w:val="0"/>
          <w:marTop w:val="0"/>
          <w:marBottom w:val="0"/>
          <w:divBdr>
            <w:top w:val="none" w:sz="0" w:space="0" w:color="auto"/>
            <w:left w:val="none" w:sz="0" w:space="0" w:color="auto"/>
            <w:bottom w:val="none" w:sz="0" w:space="0" w:color="auto"/>
            <w:right w:val="none" w:sz="0" w:space="0" w:color="auto"/>
          </w:divBdr>
        </w:div>
        <w:div w:id="638728341">
          <w:marLeft w:val="640"/>
          <w:marRight w:val="0"/>
          <w:marTop w:val="0"/>
          <w:marBottom w:val="0"/>
          <w:divBdr>
            <w:top w:val="none" w:sz="0" w:space="0" w:color="auto"/>
            <w:left w:val="none" w:sz="0" w:space="0" w:color="auto"/>
            <w:bottom w:val="none" w:sz="0" w:space="0" w:color="auto"/>
            <w:right w:val="none" w:sz="0" w:space="0" w:color="auto"/>
          </w:divBdr>
        </w:div>
        <w:div w:id="649604164">
          <w:marLeft w:val="640"/>
          <w:marRight w:val="0"/>
          <w:marTop w:val="0"/>
          <w:marBottom w:val="0"/>
          <w:divBdr>
            <w:top w:val="none" w:sz="0" w:space="0" w:color="auto"/>
            <w:left w:val="none" w:sz="0" w:space="0" w:color="auto"/>
            <w:bottom w:val="none" w:sz="0" w:space="0" w:color="auto"/>
            <w:right w:val="none" w:sz="0" w:space="0" w:color="auto"/>
          </w:divBdr>
        </w:div>
        <w:div w:id="677122070">
          <w:marLeft w:val="640"/>
          <w:marRight w:val="0"/>
          <w:marTop w:val="0"/>
          <w:marBottom w:val="0"/>
          <w:divBdr>
            <w:top w:val="none" w:sz="0" w:space="0" w:color="auto"/>
            <w:left w:val="none" w:sz="0" w:space="0" w:color="auto"/>
            <w:bottom w:val="none" w:sz="0" w:space="0" w:color="auto"/>
            <w:right w:val="none" w:sz="0" w:space="0" w:color="auto"/>
          </w:divBdr>
        </w:div>
        <w:div w:id="708460526">
          <w:marLeft w:val="640"/>
          <w:marRight w:val="0"/>
          <w:marTop w:val="0"/>
          <w:marBottom w:val="0"/>
          <w:divBdr>
            <w:top w:val="none" w:sz="0" w:space="0" w:color="auto"/>
            <w:left w:val="none" w:sz="0" w:space="0" w:color="auto"/>
            <w:bottom w:val="none" w:sz="0" w:space="0" w:color="auto"/>
            <w:right w:val="none" w:sz="0" w:space="0" w:color="auto"/>
          </w:divBdr>
        </w:div>
        <w:div w:id="708528992">
          <w:marLeft w:val="640"/>
          <w:marRight w:val="0"/>
          <w:marTop w:val="0"/>
          <w:marBottom w:val="0"/>
          <w:divBdr>
            <w:top w:val="none" w:sz="0" w:space="0" w:color="auto"/>
            <w:left w:val="none" w:sz="0" w:space="0" w:color="auto"/>
            <w:bottom w:val="none" w:sz="0" w:space="0" w:color="auto"/>
            <w:right w:val="none" w:sz="0" w:space="0" w:color="auto"/>
          </w:divBdr>
        </w:div>
        <w:div w:id="709496040">
          <w:marLeft w:val="640"/>
          <w:marRight w:val="0"/>
          <w:marTop w:val="0"/>
          <w:marBottom w:val="0"/>
          <w:divBdr>
            <w:top w:val="none" w:sz="0" w:space="0" w:color="auto"/>
            <w:left w:val="none" w:sz="0" w:space="0" w:color="auto"/>
            <w:bottom w:val="none" w:sz="0" w:space="0" w:color="auto"/>
            <w:right w:val="none" w:sz="0" w:space="0" w:color="auto"/>
          </w:divBdr>
        </w:div>
        <w:div w:id="726607432">
          <w:marLeft w:val="640"/>
          <w:marRight w:val="0"/>
          <w:marTop w:val="0"/>
          <w:marBottom w:val="0"/>
          <w:divBdr>
            <w:top w:val="none" w:sz="0" w:space="0" w:color="auto"/>
            <w:left w:val="none" w:sz="0" w:space="0" w:color="auto"/>
            <w:bottom w:val="none" w:sz="0" w:space="0" w:color="auto"/>
            <w:right w:val="none" w:sz="0" w:space="0" w:color="auto"/>
          </w:divBdr>
        </w:div>
        <w:div w:id="744953255">
          <w:marLeft w:val="640"/>
          <w:marRight w:val="0"/>
          <w:marTop w:val="0"/>
          <w:marBottom w:val="0"/>
          <w:divBdr>
            <w:top w:val="none" w:sz="0" w:space="0" w:color="auto"/>
            <w:left w:val="none" w:sz="0" w:space="0" w:color="auto"/>
            <w:bottom w:val="none" w:sz="0" w:space="0" w:color="auto"/>
            <w:right w:val="none" w:sz="0" w:space="0" w:color="auto"/>
          </w:divBdr>
        </w:div>
        <w:div w:id="754860545">
          <w:marLeft w:val="640"/>
          <w:marRight w:val="0"/>
          <w:marTop w:val="0"/>
          <w:marBottom w:val="0"/>
          <w:divBdr>
            <w:top w:val="none" w:sz="0" w:space="0" w:color="auto"/>
            <w:left w:val="none" w:sz="0" w:space="0" w:color="auto"/>
            <w:bottom w:val="none" w:sz="0" w:space="0" w:color="auto"/>
            <w:right w:val="none" w:sz="0" w:space="0" w:color="auto"/>
          </w:divBdr>
        </w:div>
        <w:div w:id="790782965">
          <w:marLeft w:val="640"/>
          <w:marRight w:val="0"/>
          <w:marTop w:val="0"/>
          <w:marBottom w:val="0"/>
          <w:divBdr>
            <w:top w:val="none" w:sz="0" w:space="0" w:color="auto"/>
            <w:left w:val="none" w:sz="0" w:space="0" w:color="auto"/>
            <w:bottom w:val="none" w:sz="0" w:space="0" w:color="auto"/>
            <w:right w:val="none" w:sz="0" w:space="0" w:color="auto"/>
          </w:divBdr>
        </w:div>
        <w:div w:id="794983788">
          <w:marLeft w:val="640"/>
          <w:marRight w:val="0"/>
          <w:marTop w:val="0"/>
          <w:marBottom w:val="0"/>
          <w:divBdr>
            <w:top w:val="none" w:sz="0" w:space="0" w:color="auto"/>
            <w:left w:val="none" w:sz="0" w:space="0" w:color="auto"/>
            <w:bottom w:val="none" w:sz="0" w:space="0" w:color="auto"/>
            <w:right w:val="none" w:sz="0" w:space="0" w:color="auto"/>
          </w:divBdr>
        </w:div>
        <w:div w:id="823013927">
          <w:marLeft w:val="640"/>
          <w:marRight w:val="0"/>
          <w:marTop w:val="0"/>
          <w:marBottom w:val="0"/>
          <w:divBdr>
            <w:top w:val="none" w:sz="0" w:space="0" w:color="auto"/>
            <w:left w:val="none" w:sz="0" w:space="0" w:color="auto"/>
            <w:bottom w:val="none" w:sz="0" w:space="0" w:color="auto"/>
            <w:right w:val="none" w:sz="0" w:space="0" w:color="auto"/>
          </w:divBdr>
        </w:div>
        <w:div w:id="839807743">
          <w:marLeft w:val="640"/>
          <w:marRight w:val="0"/>
          <w:marTop w:val="0"/>
          <w:marBottom w:val="0"/>
          <w:divBdr>
            <w:top w:val="none" w:sz="0" w:space="0" w:color="auto"/>
            <w:left w:val="none" w:sz="0" w:space="0" w:color="auto"/>
            <w:bottom w:val="none" w:sz="0" w:space="0" w:color="auto"/>
            <w:right w:val="none" w:sz="0" w:space="0" w:color="auto"/>
          </w:divBdr>
        </w:div>
        <w:div w:id="875696373">
          <w:marLeft w:val="640"/>
          <w:marRight w:val="0"/>
          <w:marTop w:val="0"/>
          <w:marBottom w:val="0"/>
          <w:divBdr>
            <w:top w:val="none" w:sz="0" w:space="0" w:color="auto"/>
            <w:left w:val="none" w:sz="0" w:space="0" w:color="auto"/>
            <w:bottom w:val="none" w:sz="0" w:space="0" w:color="auto"/>
            <w:right w:val="none" w:sz="0" w:space="0" w:color="auto"/>
          </w:divBdr>
        </w:div>
        <w:div w:id="877282031">
          <w:marLeft w:val="640"/>
          <w:marRight w:val="0"/>
          <w:marTop w:val="0"/>
          <w:marBottom w:val="0"/>
          <w:divBdr>
            <w:top w:val="none" w:sz="0" w:space="0" w:color="auto"/>
            <w:left w:val="none" w:sz="0" w:space="0" w:color="auto"/>
            <w:bottom w:val="none" w:sz="0" w:space="0" w:color="auto"/>
            <w:right w:val="none" w:sz="0" w:space="0" w:color="auto"/>
          </w:divBdr>
        </w:div>
        <w:div w:id="889147654">
          <w:marLeft w:val="640"/>
          <w:marRight w:val="0"/>
          <w:marTop w:val="0"/>
          <w:marBottom w:val="0"/>
          <w:divBdr>
            <w:top w:val="none" w:sz="0" w:space="0" w:color="auto"/>
            <w:left w:val="none" w:sz="0" w:space="0" w:color="auto"/>
            <w:bottom w:val="none" w:sz="0" w:space="0" w:color="auto"/>
            <w:right w:val="none" w:sz="0" w:space="0" w:color="auto"/>
          </w:divBdr>
        </w:div>
        <w:div w:id="917524181">
          <w:marLeft w:val="640"/>
          <w:marRight w:val="0"/>
          <w:marTop w:val="0"/>
          <w:marBottom w:val="0"/>
          <w:divBdr>
            <w:top w:val="none" w:sz="0" w:space="0" w:color="auto"/>
            <w:left w:val="none" w:sz="0" w:space="0" w:color="auto"/>
            <w:bottom w:val="none" w:sz="0" w:space="0" w:color="auto"/>
            <w:right w:val="none" w:sz="0" w:space="0" w:color="auto"/>
          </w:divBdr>
        </w:div>
        <w:div w:id="963850981">
          <w:marLeft w:val="640"/>
          <w:marRight w:val="0"/>
          <w:marTop w:val="0"/>
          <w:marBottom w:val="0"/>
          <w:divBdr>
            <w:top w:val="none" w:sz="0" w:space="0" w:color="auto"/>
            <w:left w:val="none" w:sz="0" w:space="0" w:color="auto"/>
            <w:bottom w:val="none" w:sz="0" w:space="0" w:color="auto"/>
            <w:right w:val="none" w:sz="0" w:space="0" w:color="auto"/>
          </w:divBdr>
        </w:div>
        <w:div w:id="979727543">
          <w:marLeft w:val="640"/>
          <w:marRight w:val="0"/>
          <w:marTop w:val="0"/>
          <w:marBottom w:val="0"/>
          <w:divBdr>
            <w:top w:val="none" w:sz="0" w:space="0" w:color="auto"/>
            <w:left w:val="none" w:sz="0" w:space="0" w:color="auto"/>
            <w:bottom w:val="none" w:sz="0" w:space="0" w:color="auto"/>
            <w:right w:val="none" w:sz="0" w:space="0" w:color="auto"/>
          </w:divBdr>
        </w:div>
        <w:div w:id="997225458">
          <w:marLeft w:val="640"/>
          <w:marRight w:val="0"/>
          <w:marTop w:val="0"/>
          <w:marBottom w:val="0"/>
          <w:divBdr>
            <w:top w:val="none" w:sz="0" w:space="0" w:color="auto"/>
            <w:left w:val="none" w:sz="0" w:space="0" w:color="auto"/>
            <w:bottom w:val="none" w:sz="0" w:space="0" w:color="auto"/>
            <w:right w:val="none" w:sz="0" w:space="0" w:color="auto"/>
          </w:divBdr>
        </w:div>
        <w:div w:id="1008872304">
          <w:marLeft w:val="640"/>
          <w:marRight w:val="0"/>
          <w:marTop w:val="0"/>
          <w:marBottom w:val="0"/>
          <w:divBdr>
            <w:top w:val="none" w:sz="0" w:space="0" w:color="auto"/>
            <w:left w:val="none" w:sz="0" w:space="0" w:color="auto"/>
            <w:bottom w:val="none" w:sz="0" w:space="0" w:color="auto"/>
            <w:right w:val="none" w:sz="0" w:space="0" w:color="auto"/>
          </w:divBdr>
        </w:div>
        <w:div w:id="1014528795">
          <w:marLeft w:val="640"/>
          <w:marRight w:val="0"/>
          <w:marTop w:val="0"/>
          <w:marBottom w:val="0"/>
          <w:divBdr>
            <w:top w:val="none" w:sz="0" w:space="0" w:color="auto"/>
            <w:left w:val="none" w:sz="0" w:space="0" w:color="auto"/>
            <w:bottom w:val="none" w:sz="0" w:space="0" w:color="auto"/>
            <w:right w:val="none" w:sz="0" w:space="0" w:color="auto"/>
          </w:divBdr>
        </w:div>
        <w:div w:id="1052996947">
          <w:marLeft w:val="640"/>
          <w:marRight w:val="0"/>
          <w:marTop w:val="0"/>
          <w:marBottom w:val="0"/>
          <w:divBdr>
            <w:top w:val="none" w:sz="0" w:space="0" w:color="auto"/>
            <w:left w:val="none" w:sz="0" w:space="0" w:color="auto"/>
            <w:bottom w:val="none" w:sz="0" w:space="0" w:color="auto"/>
            <w:right w:val="none" w:sz="0" w:space="0" w:color="auto"/>
          </w:divBdr>
        </w:div>
        <w:div w:id="1071733344">
          <w:marLeft w:val="640"/>
          <w:marRight w:val="0"/>
          <w:marTop w:val="0"/>
          <w:marBottom w:val="0"/>
          <w:divBdr>
            <w:top w:val="none" w:sz="0" w:space="0" w:color="auto"/>
            <w:left w:val="none" w:sz="0" w:space="0" w:color="auto"/>
            <w:bottom w:val="none" w:sz="0" w:space="0" w:color="auto"/>
            <w:right w:val="none" w:sz="0" w:space="0" w:color="auto"/>
          </w:divBdr>
        </w:div>
        <w:div w:id="1084955195">
          <w:marLeft w:val="640"/>
          <w:marRight w:val="0"/>
          <w:marTop w:val="0"/>
          <w:marBottom w:val="0"/>
          <w:divBdr>
            <w:top w:val="none" w:sz="0" w:space="0" w:color="auto"/>
            <w:left w:val="none" w:sz="0" w:space="0" w:color="auto"/>
            <w:bottom w:val="none" w:sz="0" w:space="0" w:color="auto"/>
            <w:right w:val="none" w:sz="0" w:space="0" w:color="auto"/>
          </w:divBdr>
        </w:div>
        <w:div w:id="1157649452">
          <w:marLeft w:val="640"/>
          <w:marRight w:val="0"/>
          <w:marTop w:val="0"/>
          <w:marBottom w:val="0"/>
          <w:divBdr>
            <w:top w:val="none" w:sz="0" w:space="0" w:color="auto"/>
            <w:left w:val="none" w:sz="0" w:space="0" w:color="auto"/>
            <w:bottom w:val="none" w:sz="0" w:space="0" w:color="auto"/>
            <w:right w:val="none" w:sz="0" w:space="0" w:color="auto"/>
          </w:divBdr>
        </w:div>
        <w:div w:id="1214462847">
          <w:marLeft w:val="640"/>
          <w:marRight w:val="0"/>
          <w:marTop w:val="0"/>
          <w:marBottom w:val="0"/>
          <w:divBdr>
            <w:top w:val="none" w:sz="0" w:space="0" w:color="auto"/>
            <w:left w:val="none" w:sz="0" w:space="0" w:color="auto"/>
            <w:bottom w:val="none" w:sz="0" w:space="0" w:color="auto"/>
            <w:right w:val="none" w:sz="0" w:space="0" w:color="auto"/>
          </w:divBdr>
        </w:div>
        <w:div w:id="1250887754">
          <w:marLeft w:val="640"/>
          <w:marRight w:val="0"/>
          <w:marTop w:val="0"/>
          <w:marBottom w:val="0"/>
          <w:divBdr>
            <w:top w:val="none" w:sz="0" w:space="0" w:color="auto"/>
            <w:left w:val="none" w:sz="0" w:space="0" w:color="auto"/>
            <w:bottom w:val="none" w:sz="0" w:space="0" w:color="auto"/>
            <w:right w:val="none" w:sz="0" w:space="0" w:color="auto"/>
          </w:divBdr>
        </w:div>
        <w:div w:id="1287851820">
          <w:marLeft w:val="640"/>
          <w:marRight w:val="0"/>
          <w:marTop w:val="0"/>
          <w:marBottom w:val="0"/>
          <w:divBdr>
            <w:top w:val="none" w:sz="0" w:space="0" w:color="auto"/>
            <w:left w:val="none" w:sz="0" w:space="0" w:color="auto"/>
            <w:bottom w:val="none" w:sz="0" w:space="0" w:color="auto"/>
            <w:right w:val="none" w:sz="0" w:space="0" w:color="auto"/>
          </w:divBdr>
        </w:div>
        <w:div w:id="1316765915">
          <w:marLeft w:val="640"/>
          <w:marRight w:val="0"/>
          <w:marTop w:val="0"/>
          <w:marBottom w:val="0"/>
          <w:divBdr>
            <w:top w:val="none" w:sz="0" w:space="0" w:color="auto"/>
            <w:left w:val="none" w:sz="0" w:space="0" w:color="auto"/>
            <w:bottom w:val="none" w:sz="0" w:space="0" w:color="auto"/>
            <w:right w:val="none" w:sz="0" w:space="0" w:color="auto"/>
          </w:divBdr>
        </w:div>
        <w:div w:id="1332679866">
          <w:marLeft w:val="640"/>
          <w:marRight w:val="0"/>
          <w:marTop w:val="0"/>
          <w:marBottom w:val="0"/>
          <w:divBdr>
            <w:top w:val="none" w:sz="0" w:space="0" w:color="auto"/>
            <w:left w:val="none" w:sz="0" w:space="0" w:color="auto"/>
            <w:bottom w:val="none" w:sz="0" w:space="0" w:color="auto"/>
            <w:right w:val="none" w:sz="0" w:space="0" w:color="auto"/>
          </w:divBdr>
        </w:div>
        <w:div w:id="1390609983">
          <w:marLeft w:val="640"/>
          <w:marRight w:val="0"/>
          <w:marTop w:val="0"/>
          <w:marBottom w:val="0"/>
          <w:divBdr>
            <w:top w:val="none" w:sz="0" w:space="0" w:color="auto"/>
            <w:left w:val="none" w:sz="0" w:space="0" w:color="auto"/>
            <w:bottom w:val="none" w:sz="0" w:space="0" w:color="auto"/>
            <w:right w:val="none" w:sz="0" w:space="0" w:color="auto"/>
          </w:divBdr>
        </w:div>
        <w:div w:id="1408645496">
          <w:marLeft w:val="640"/>
          <w:marRight w:val="0"/>
          <w:marTop w:val="0"/>
          <w:marBottom w:val="0"/>
          <w:divBdr>
            <w:top w:val="none" w:sz="0" w:space="0" w:color="auto"/>
            <w:left w:val="none" w:sz="0" w:space="0" w:color="auto"/>
            <w:bottom w:val="none" w:sz="0" w:space="0" w:color="auto"/>
            <w:right w:val="none" w:sz="0" w:space="0" w:color="auto"/>
          </w:divBdr>
        </w:div>
        <w:div w:id="1421826912">
          <w:marLeft w:val="640"/>
          <w:marRight w:val="0"/>
          <w:marTop w:val="0"/>
          <w:marBottom w:val="0"/>
          <w:divBdr>
            <w:top w:val="none" w:sz="0" w:space="0" w:color="auto"/>
            <w:left w:val="none" w:sz="0" w:space="0" w:color="auto"/>
            <w:bottom w:val="none" w:sz="0" w:space="0" w:color="auto"/>
            <w:right w:val="none" w:sz="0" w:space="0" w:color="auto"/>
          </w:divBdr>
        </w:div>
        <w:div w:id="1423334862">
          <w:marLeft w:val="640"/>
          <w:marRight w:val="0"/>
          <w:marTop w:val="0"/>
          <w:marBottom w:val="0"/>
          <w:divBdr>
            <w:top w:val="none" w:sz="0" w:space="0" w:color="auto"/>
            <w:left w:val="none" w:sz="0" w:space="0" w:color="auto"/>
            <w:bottom w:val="none" w:sz="0" w:space="0" w:color="auto"/>
            <w:right w:val="none" w:sz="0" w:space="0" w:color="auto"/>
          </w:divBdr>
        </w:div>
        <w:div w:id="1433933140">
          <w:marLeft w:val="640"/>
          <w:marRight w:val="0"/>
          <w:marTop w:val="0"/>
          <w:marBottom w:val="0"/>
          <w:divBdr>
            <w:top w:val="none" w:sz="0" w:space="0" w:color="auto"/>
            <w:left w:val="none" w:sz="0" w:space="0" w:color="auto"/>
            <w:bottom w:val="none" w:sz="0" w:space="0" w:color="auto"/>
            <w:right w:val="none" w:sz="0" w:space="0" w:color="auto"/>
          </w:divBdr>
        </w:div>
        <w:div w:id="1449813510">
          <w:marLeft w:val="640"/>
          <w:marRight w:val="0"/>
          <w:marTop w:val="0"/>
          <w:marBottom w:val="0"/>
          <w:divBdr>
            <w:top w:val="none" w:sz="0" w:space="0" w:color="auto"/>
            <w:left w:val="none" w:sz="0" w:space="0" w:color="auto"/>
            <w:bottom w:val="none" w:sz="0" w:space="0" w:color="auto"/>
            <w:right w:val="none" w:sz="0" w:space="0" w:color="auto"/>
          </w:divBdr>
        </w:div>
        <w:div w:id="1587838236">
          <w:marLeft w:val="640"/>
          <w:marRight w:val="0"/>
          <w:marTop w:val="0"/>
          <w:marBottom w:val="0"/>
          <w:divBdr>
            <w:top w:val="none" w:sz="0" w:space="0" w:color="auto"/>
            <w:left w:val="none" w:sz="0" w:space="0" w:color="auto"/>
            <w:bottom w:val="none" w:sz="0" w:space="0" w:color="auto"/>
            <w:right w:val="none" w:sz="0" w:space="0" w:color="auto"/>
          </w:divBdr>
        </w:div>
        <w:div w:id="1627200300">
          <w:marLeft w:val="640"/>
          <w:marRight w:val="0"/>
          <w:marTop w:val="0"/>
          <w:marBottom w:val="0"/>
          <w:divBdr>
            <w:top w:val="none" w:sz="0" w:space="0" w:color="auto"/>
            <w:left w:val="none" w:sz="0" w:space="0" w:color="auto"/>
            <w:bottom w:val="none" w:sz="0" w:space="0" w:color="auto"/>
            <w:right w:val="none" w:sz="0" w:space="0" w:color="auto"/>
          </w:divBdr>
        </w:div>
        <w:div w:id="1634408332">
          <w:marLeft w:val="640"/>
          <w:marRight w:val="0"/>
          <w:marTop w:val="0"/>
          <w:marBottom w:val="0"/>
          <w:divBdr>
            <w:top w:val="none" w:sz="0" w:space="0" w:color="auto"/>
            <w:left w:val="none" w:sz="0" w:space="0" w:color="auto"/>
            <w:bottom w:val="none" w:sz="0" w:space="0" w:color="auto"/>
            <w:right w:val="none" w:sz="0" w:space="0" w:color="auto"/>
          </w:divBdr>
        </w:div>
        <w:div w:id="1642228592">
          <w:marLeft w:val="640"/>
          <w:marRight w:val="0"/>
          <w:marTop w:val="0"/>
          <w:marBottom w:val="0"/>
          <w:divBdr>
            <w:top w:val="none" w:sz="0" w:space="0" w:color="auto"/>
            <w:left w:val="none" w:sz="0" w:space="0" w:color="auto"/>
            <w:bottom w:val="none" w:sz="0" w:space="0" w:color="auto"/>
            <w:right w:val="none" w:sz="0" w:space="0" w:color="auto"/>
          </w:divBdr>
        </w:div>
        <w:div w:id="1666011246">
          <w:marLeft w:val="640"/>
          <w:marRight w:val="0"/>
          <w:marTop w:val="0"/>
          <w:marBottom w:val="0"/>
          <w:divBdr>
            <w:top w:val="none" w:sz="0" w:space="0" w:color="auto"/>
            <w:left w:val="none" w:sz="0" w:space="0" w:color="auto"/>
            <w:bottom w:val="none" w:sz="0" w:space="0" w:color="auto"/>
            <w:right w:val="none" w:sz="0" w:space="0" w:color="auto"/>
          </w:divBdr>
        </w:div>
        <w:div w:id="1729955953">
          <w:marLeft w:val="640"/>
          <w:marRight w:val="0"/>
          <w:marTop w:val="0"/>
          <w:marBottom w:val="0"/>
          <w:divBdr>
            <w:top w:val="none" w:sz="0" w:space="0" w:color="auto"/>
            <w:left w:val="none" w:sz="0" w:space="0" w:color="auto"/>
            <w:bottom w:val="none" w:sz="0" w:space="0" w:color="auto"/>
            <w:right w:val="none" w:sz="0" w:space="0" w:color="auto"/>
          </w:divBdr>
        </w:div>
        <w:div w:id="1741245914">
          <w:marLeft w:val="640"/>
          <w:marRight w:val="0"/>
          <w:marTop w:val="0"/>
          <w:marBottom w:val="0"/>
          <w:divBdr>
            <w:top w:val="none" w:sz="0" w:space="0" w:color="auto"/>
            <w:left w:val="none" w:sz="0" w:space="0" w:color="auto"/>
            <w:bottom w:val="none" w:sz="0" w:space="0" w:color="auto"/>
            <w:right w:val="none" w:sz="0" w:space="0" w:color="auto"/>
          </w:divBdr>
        </w:div>
        <w:div w:id="1762290620">
          <w:marLeft w:val="640"/>
          <w:marRight w:val="0"/>
          <w:marTop w:val="0"/>
          <w:marBottom w:val="0"/>
          <w:divBdr>
            <w:top w:val="none" w:sz="0" w:space="0" w:color="auto"/>
            <w:left w:val="none" w:sz="0" w:space="0" w:color="auto"/>
            <w:bottom w:val="none" w:sz="0" w:space="0" w:color="auto"/>
            <w:right w:val="none" w:sz="0" w:space="0" w:color="auto"/>
          </w:divBdr>
        </w:div>
        <w:div w:id="1874152042">
          <w:marLeft w:val="640"/>
          <w:marRight w:val="0"/>
          <w:marTop w:val="0"/>
          <w:marBottom w:val="0"/>
          <w:divBdr>
            <w:top w:val="none" w:sz="0" w:space="0" w:color="auto"/>
            <w:left w:val="none" w:sz="0" w:space="0" w:color="auto"/>
            <w:bottom w:val="none" w:sz="0" w:space="0" w:color="auto"/>
            <w:right w:val="none" w:sz="0" w:space="0" w:color="auto"/>
          </w:divBdr>
        </w:div>
        <w:div w:id="1893492674">
          <w:marLeft w:val="640"/>
          <w:marRight w:val="0"/>
          <w:marTop w:val="0"/>
          <w:marBottom w:val="0"/>
          <w:divBdr>
            <w:top w:val="none" w:sz="0" w:space="0" w:color="auto"/>
            <w:left w:val="none" w:sz="0" w:space="0" w:color="auto"/>
            <w:bottom w:val="none" w:sz="0" w:space="0" w:color="auto"/>
            <w:right w:val="none" w:sz="0" w:space="0" w:color="auto"/>
          </w:divBdr>
        </w:div>
        <w:div w:id="1916747292">
          <w:marLeft w:val="640"/>
          <w:marRight w:val="0"/>
          <w:marTop w:val="0"/>
          <w:marBottom w:val="0"/>
          <w:divBdr>
            <w:top w:val="none" w:sz="0" w:space="0" w:color="auto"/>
            <w:left w:val="none" w:sz="0" w:space="0" w:color="auto"/>
            <w:bottom w:val="none" w:sz="0" w:space="0" w:color="auto"/>
            <w:right w:val="none" w:sz="0" w:space="0" w:color="auto"/>
          </w:divBdr>
        </w:div>
        <w:div w:id="1990088421">
          <w:marLeft w:val="640"/>
          <w:marRight w:val="0"/>
          <w:marTop w:val="0"/>
          <w:marBottom w:val="0"/>
          <w:divBdr>
            <w:top w:val="none" w:sz="0" w:space="0" w:color="auto"/>
            <w:left w:val="none" w:sz="0" w:space="0" w:color="auto"/>
            <w:bottom w:val="none" w:sz="0" w:space="0" w:color="auto"/>
            <w:right w:val="none" w:sz="0" w:space="0" w:color="auto"/>
          </w:divBdr>
        </w:div>
        <w:div w:id="1991905029">
          <w:marLeft w:val="640"/>
          <w:marRight w:val="0"/>
          <w:marTop w:val="0"/>
          <w:marBottom w:val="0"/>
          <w:divBdr>
            <w:top w:val="none" w:sz="0" w:space="0" w:color="auto"/>
            <w:left w:val="none" w:sz="0" w:space="0" w:color="auto"/>
            <w:bottom w:val="none" w:sz="0" w:space="0" w:color="auto"/>
            <w:right w:val="none" w:sz="0" w:space="0" w:color="auto"/>
          </w:divBdr>
        </w:div>
        <w:div w:id="2133789058">
          <w:marLeft w:val="640"/>
          <w:marRight w:val="0"/>
          <w:marTop w:val="0"/>
          <w:marBottom w:val="0"/>
          <w:divBdr>
            <w:top w:val="none" w:sz="0" w:space="0" w:color="auto"/>
            <w:left w:val="none" w:sz="0" w:space="0" w:color="auto"/>
            <w:bottom w:val="none" w:sz="0" w:space="0" w:color="auto"/>
            <w:right w:val="none" w:sz="0" w:space="0" w:color="auto"/>
          </w:divBdr>
        </w:div>
      </w:divsChild>
    </w:div>
    <w:div w:id="626469171">
      <w:bodyDiv w:val="1"/>
      <w:marLeft w:val="0"/>
      <w:marRight w:val="0"/>
      <w:marTop w:val="0"/>
      <w:marBottom w:val="0"/>
      <w:divBdr>
        <w:top w:val="none" w:sz="0" w:space="0" w:color="auto"/>
        <w:left w:val="none" w:sz="0" w:space="0" w:color="auto"/>
        <w:bottom w:val="none" w:sz="0" w:space="0" w:color="auto"/>
        <w:right w:val="none" w:sz="0" w:space="0" w:color="auto"/>
      </w:divBdr>
      <w:divsChild>
        <w:div w:id="466826742">
          <w:marLeft w:val="0"/>
          <w:marRight w:val="0"/>
          <w:marTop w:val="0"/>
          <w:marBottom w:val="0"/>
          <w:divBdr>
            <w:top w:val="none" w:sz="0" w:space="0" w:color="auto"/>
            <w:left w:val="none" w:sz="0" w:space="0" w:color="auto"/>
            <w:bottom w:val="none" w:sz="0" w:space="0" w:color="auto"/>
            <w:right w:val="none" w:sz="0" w:space="0" w:color="auto"/>
          </w:divBdr>
          <w:divsChild>
            <w:div w:id="112792995">
              <w:marLeft w:val="0"/>
              <w:marRight w:val="0"/>
              <w:marTop w:val="0"/>
              <w:marBottom w:val="0"/>
              <w:divBdr>
                <w:top w:val="none" w:sz="0" w:space="0" w:color="auto"/>
                <w:left w:val="none" w:sz="0" w:space="0" w:color="auto"/>
                <w:bottom w:val="none" w:sz="0" w:space="0" w:color="auto"/>
                <w:right w:val="none" w:sz="0" w:space="0" w:color="auto"/>
              </w:divBdr>
              <w:divsChild>
                <w:div w:id="1940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2611">
      <w:bodyDiv w:val="1"/>
      <w:marLeft w:val="0"/>
      <w:marRight w:val="0"/>
      <w:marTop w:val="0"/>
      <w:marBottom w:val="0"/>
      <w:divBdr>
        <w:top w:val="none" w:sz="0" w:space="0" w:color="auto"/>
        <w:left w:val="none" w:sz="0" w:space="0" w:color="auto"/>
        <w:bottom w:val="none" w:sz="0" w:space="0" w:color="auto"/>
        <w:right w:val="none" w:sz="0" w:space="0" w:color="auto"/>
      </w:divBdr>
    </w:div>
    <w:div w:id="641741117">
      <w:bodyDiv w:val="1"/>
      <w:marLeft w:val="0"/>
      <w:marRight w:val="0"/>
      <w:marTop w:val="0"/>
      <w:marBottom w:val="0"/>
      <w:divBdr>
        <w:top w:val="none" w:sz="0" w:space="0" w:color="auto"/>
        <w:left w:val="none" w:sz="0" w:space="0" w:color="auto"/>
        <w:bottom w:val="none" w:sz="0" w:space="0" w:color="auto"/>
        <w:right w:val="none" w:sz="0" w:space="0" w:color="auto"/>
      </w:divBdr>
      <w:divsChild>
        <w:div w:id="259139976">
          <w:marLeft w:val="480"/>
          <w:marRight w:val="0"/>
          <w:marTop w:val="0"/>
          <w:marBottom w:val="0"/>
          <w:divBdr>
            <w:top w:val="none" w:sz="0" w:space="0" w:color="auto"/>
            <w:left w:val="none" w:sz="0" w:space="0" w:color="auto"/>
            <w:bottom w:val="none" w:sz="0" w:space="0" w:color="auto"/>
            <w:right w:val="none" w:sz="0" w:space="0" w:color="auto"/>
          </w:divBdr>
        </w:div>
        <w:div w:id="1716586464">
          <w:marLeft w:val="480"/>
          <w:marRight w:val="0"/>
          <w:marTop w:val="0"/>
          <w:marBottom w:val="0"/>
          <w:divBdr>
            <w:top w:val="none" w:sz="0" w:space="0" w:color="auto"/>
            <w:left w:val="none" w:sz="0" w:space="0" w:color="auto"/>
            <w:bottom w:val="none" w:sz="0" w:space="0" w:color="auto"/>
            <w:right w:val="none" w:sz="0" w:space="0" w:color="auto"/>
          </w:divBdr>
        </w:div>
      </w:divsChild>
    </w:div>
    <w:div w:id="648168766">
      <w:bodyDiv w:val="1"/>
      <w:marLeft w:val="0"/>
      <w:marRight w:val="0"/>
      <w:marTop w:val="0"/>
      <w:marBottom w:val="0"/>
      <w:divBdr>
        <w:top w:val="none" w:sz="0" w:space="0" w:color="auto"/>
        <w:left w:val="none" w:sz="0" w:space="0" w:color="auto"/>
        <w:bottom w:val="none" w:sz="0" w:space="0" w:color="auto"/>
        <w:right w:val="none" w:sz="0" w:space="0" w:color="auto"/>
      </w:divBdr>
    </w:div>
    <w:div w:id="665937151">
      <w:bodyDiv w:val="1"/>
      <w:marLeft w:val="0"/>
      <w:marRight w:val="0"/>
      <w:marTop w:val="0"/>
      <w:marBottom w:val="0"/>
      <w:divBdr>
        <w:top w:val="none" w:sz="0" w:space="0" w:color="auto"/>
        <w:left w:val="none" w:sz="0" w:space="0" w:color="auto"/>
        <w:bottom w:val="none" w:sz="0" w:space="0" w:color="auto"/>
        <w:right w:val="none" w:sz="0" w:space="0" w:color="auto"/>
      </w:divBdr>
      <w:divsChild>
        <w:div w:id="227808602">
          <w:marLeft w:val="0"/>
          <w:marRight w:val="0"/>
          <w:marTop w:val="0"/>
          <w:marBottom w:val="0"/>
          <w:divBdr>
            <w:top w:val="none" w:sz="0" w:space="0" w:color="auto"/>
            <w:left w:val="none" w:sz="0" w:space="0" w:color="auto"/>
            <w:bottom w:val="none" w:sz="0" w:space="0" w:color="auto"/>
            <w:right w:val="none" w:sz="0" w:space="0" w:color="auto"/>
          </w:divBdr>
          <w:divsChild>
            <w:div w:id="1688404792">
              <w:marLeft w:val="0"/>
              <w:marRight w:val="0"/>
              <w:marTop w:val="0"/>
              <w:marBottom w:val="0"/>
              <w:divBdr>
                <w:top w:val="none" w:sz="0" w:space="0" w:color="auto"/>
                <w:left w:val="none" w:sz="0" w:space="0" w:color="auto"/>
                <w:bottom w:val="none" w:sz="0" w:space="0" w:color="auto"/>
                <w:right w:val="none" w:sz="0" w:space="0" w:color="auto"/>
              </w:divBdr>
              <w:divsChild>
                <w:div w:id="20562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8194">
      <w:bodyDiv w:val="1"/>
      <w:marLeft w:val="0"/>
      <w:marRight w:val="0"/>
      <w:marTop w:val="0"/>
      <w:marBottom w:val="0"/>
      <w:divBdr>
        <w:top w:val="none" w:sz="0" w:space="0" w:color="auto"/>
        <w:left w:val="none" w:sz="0" w:space="0" w:color="auto"/>
        <w:bottom w:val="none" w:sz="0" w:space="0" w:color="auto"/>
        <w:right w:val="none" w:sz="0" w:space="0" w:color="auto"/>
      </w:divBdr>
      <w:divsChild>
        <w:div w:id="11303094">
          <w:marLeft w:val="640"/>
          <w:marRight w:val="0"/>
          <w:marTop w:val="0"/>
          <w:marBottom w:val="0"/>
          <w:divBdr>
            <w:top w:val="none" w:sz="0" w:space="0" w:color="auto"/>
            <w:left w:val="none" w:sz="0" w:space="0" w:color="auto"/>
            <w:bottom w:val="none" w:sz="0" w:space="0" w:color="auto"/>
            <w:right w:val="none" w:sz="0" w:space="0" w:color="auto"/>
          </w:divBdr>
        </w:div>
        <w:div w:id="24379573">
          <w:marLeft w:val="640"/>
          <w:marRight w:val="0"/>
          <w:marTop w:val="0"/>
          <w:marBottom w:val="0"/>
          <w:divBdr>
            <w:top w:val="none" w:sz="0" w:space="0" w:color="auto"/>
            <w:left w:val="none" w:sz="0" w:space="0" w:color="auto"/>
            <w:bottom w:val="none" w:sz="0" w:space="0" w:color="auto"/>
            <w:right w:val="none" w:sz="0" w:space="0" w:color="auto"/>
          </w:divBdr>
        </w:div>
        <w:div w:id="26298504">
          <w:marLeft w:val="640"/>
          <w:marRight w:val="0"/>
          <w:marTop w:val="0"/>
          <w:marBottom w:val="0"/>
          <w:divBdr>
            <w:top w:val="none" w:sz="0" w:space="0" w:color="auto"/>
            <w:left w:val="none" w:sz="0" w:space="0" w:color="auto"/>
            <w:bottom w:val="none" w:sz="0" w:space="0" w:color="auto"/>
            <w:right w:val="none" w:sz="0" w:space="0" w:color="auto"/>
          </w:divBdr>
        </w:div>
        <w:div w:id="83191254">
          <w:marLeft w:val="640"/>
          <w:marRight w:val="0"/>
          <w:marTop w:val="0"/>
          <w:marBottom w:val="0"/>
          <w:divBdr>
            <w:top w:val="none" w:sz="0" w:space="0" w:color="auto"/>
            <w:left w:val="none" w:sz="0" w:space="0" w:color="auto"/>
            <w:bottom w:val="none" w:sz="0" w:space="0" w:color="auto"/>
            <w:right w:val="none" w:sz="0" w:space="0" w:color="auto"/>
          </w:divBdr>
        </w:div>
        <w:div w:id="116031139">
          <w:marLeft w:val="640"/>
          <w:marRight w:val="0"/>
          <w:marTop w:val="0"/>
          <w:marBottom w:val="0"/>
          <w:divBdr>
            <w:top w:val="none" w:sz="0" w:space="0" w:color="auto"/>
            <w:left w:val="none" w:sz="0" w:space="0" w:color="auto"/>
            <w:bottom w:val="none" w:sz="0" w:space="0" w:color="auto"/>
            <w:right w:val="none" w:sz="0" w:space="0" w:color="auto"/>
          </w:divBdr>
        </w:div>
        <w:div w:id="135493689">
          <w:marLeft w:val="640"/>
          <w:marRight w:val="0"/>
          <w:marTop w:val="0"/>
          <w:marBottom w:val="0"/>
          <w:divBdr>
            <w:top w:val="none" w:sz="0" w:space="0" w:color="auto"/>
            <w:left w:val="none" w:sz="0" w:space="0" w:color="auto"/>
            <w:bottom w:val="none" w:sz="0" w:space="0" w:color="auto"/>
            <w:right w:val="none" w:sz="0" w:space="0" w:color="auto"/>
          </w:divBdr>
        </w:div>
        <w:div w:id="185825460">
          <w:marLeft w:val="640"/>
          <w:marRight w:val="0"/>
          <w:marTop w:val="0"/>
          <w:marBottom w:val="0"/>
          <w:divBdr>
            <w:top w:val="none" w:sz="0" w:space="0" w:color="auto"/>
            <w:left w:val="none" w:sz="0" w:space="0" w:color="auto"/>
            <w:bottom w:val="none" w:sz="0" w:space="0" w:color="auto"/>
            <w:right w:val="none" w:sz="0" w:space="0" w:color="auto"/>
          </w:divBdr>
        </w:div>
        <w:div w:id="281111457">
          <w:marLeft w:val="640"/>
          <w:marRight w:val="0"/>
          <w:marTop w:val="0"/>
          <w:marBottom w:val="0"/>
          <w:divBdr>
            <w:top w:val="none" w:sz="0" w:space="0" w:color="auto"/>
            <w:left w:val="none" w:sz="0" w:space="0" w:color="auto"/>
            <w:bottom w:val="none" w:sz="0" w:space="0" w:color="auto"/>
            <w:right w:val="none" w:sz="0" w:space="0" w:color="auto"/>
          </w:divBdr>
        </w:div>
        <w:div w:id="321474718">
          <w:marLeft w:val="640"/>
          <w:marRight w:val="0"/>
          <w:marTop w:val="0"/>
          <w:marBottom w:val="0"/>
          <w:divBdr>
            <w:top w:val="none" w:sz="0" w:space="0" w:color="auto"/>
            <w:left w:val="none" w:sz="0" w:space="0" w:color="auto"/>
            <w:bottom w:val="none" w:sz="0" w:space="0" w:color="auto"/>
            <w:right w:val="none" w:sz="0" w:space="0" w:color="auto"/>
          </w:divBdr>
        </w:div>
        <w:div w:id="355277513">
          <w:marLeft w:val="640"/>
          <w:marRight w:val="0"/>
          <w:marTop w:val="0"/>
          <w:marBottom w:val="0"/>
          <w:divBdr>
            <w:top w:val="none" w:sz="0" w:space="0" w:color="auto"/>
            <w:left w:val="none" w:sz="0" w:space="0" w:color="auto"/>
            <w:bottom w:val="none" w:sz="0" w:space="0" w:color="auto"/>
            <w:right w:val="none" w:sz="0" w:space="0" w:color="auto"/>
          </w:divBdr>
        </w:div>
        <w:div w:id="426123638">
          <w:marLeft w:val="640"/>
          <w:marRight w:val="0"/>
          <w:marTop w:val="0"/>
          <w:marBottom w:val="0"/>
          <w:divBdr>
            <w:top w:val="none" w:sz="0" w:space="0" w:color="auto"/>
            <w:left w:val="none" w:sz="0" w:space="0" w:color="auto"/>
            <w:bottom w:val="none" w:sz="0" w:space="0" w:color="auto"/>
            <w:right w:val="none" w:sz="0" w:space="0" w:color="auto"/>
          </w:divBdr>
        </w:div>
        <w:div w:id="432364173">
          <w:marLeft w:val="640"/>
          <w:marRight w:val="0"/>
          <w:marTop w:val="0"/>
          <w:marBottom w:val="0"/>
          <w:divBdr>
            <w:top w:val="none" w:sz="0" w:space="0" w:color="auto"/>
            <w:left w:val="none" w:sz="0" w:space="0" w:color="auto"/>
            <w:bottom w:val="none" w:sz="0" w:space="0" w:color="auto"/>
            <w:right w:val="none" w:sz="0" w:space="0" w:color="auto"/>
          </w:divBdr>
        </w:div>
        <w:div w:id="449320892">
          <w:marLeft w:val="640"/>
          <w:marRight w:val="0"/>
          <w:marTop w:val="0"/>
          <w:marBottom w:val="0"/>
          <w:divBdr>
            <w:top w:val="none" w:sz="0" w:space="0" w:color="auto"/>
            <w:left w:val="none" w:sz="0" w:space="0" w:color="auto"/>
            <w:bottom w:val="none" w:sz="0" w:space="0" w:color="auto"/>
            <w:right w:val="none" w:sz="0" w:space="0" w:color="auto"/>
          </w:divBdr>
        </w:div>
        <w:div w:id="474571853">
          <w:marLeft w:val="640"/>
          <w:marRight w:val="0"/>
          <w:marTop w:val="0"/>
          <w:marBottom w:val="0"/>
          <w:divBdr>
            <w:top w:val="none" w:sz="0" w:space="0" w:color="auto"/>
            <w:left w:val="none" w:sz="0" w:space="0" w:color="auto"/>
            <w:bottom w:val="none" w:sz="0" w:space="0" w:color="auto"/>
            <w:right w:val="none" w:sz="0" w:space="0" w:color="auto"/>
          </w:divBdr>
        </w:div>
        <w:div w:id="502477547">
          <w:marLeft w:val="640"/>
          <w:marRight w:val="0"/>
          <w:marTop w:val="0"/>
          <w:marBottom w:val="0"/>
          <w:divBdr>
            <w:top w:val="none" w:sz="0" w:space="0" w:color="auto"/>
            <w:left w:val="none" w:sz="0" w:space="0" w:color="auto"/>
            <w:bottom w:val="none" w:sz="0" w:space="0" w:color="auto"/>
            <w:right w:val="none" w:sz="0" w:space="0" w:color="auto"/>
          </w:divBdr>
        </w:div>
        <w:div w:id="514810690">
          <w:marLeft w:val="640"/>
          <w:marRight w:val="0"/>
          <w:marTop w:val="0"/>
          <w:marBottom w:val="0"/>
          <w:divBdr>
            <w:top w:val="none" w:sz="0" w:space="0" w:color="auto"/>
            <w:left w:val="none" w:sz="0" w:space="0" w:color="auto"/>
            <w:bottom w:val="none" w:sz="0" w:space="0" w:color="auto"/>
            <w:right w:val="none" w:sz="0" w:space="0" w:color="auto"/>
          </w:divBdr>
        </w:div>
        <w:div w:id="571895628">
          <w:marLeft w:val="640"/>
          <w:marRight w:val="0"/>
          <w:marTop w:val="0"/>
          <w:marBottom w:val="0"/>
          <w:divBdr>
            <w:top w:val="none" w:sz="0" w:space="0" w:color="auto"/>
            <w:left w:val="none" w:sz="0" w:space="0" w:color="auto"/>
            <w:bottom w:val="none" w:sz="0" w:space="0" w:color="auto"/>
            <w:right w:val="none" w:sz="0" w:space="0" w:color="auto"/>
          </w:divBdr>
        </w:div>
        <w:div w:id="598417584">
          <w:marLeft w:val="640"/>
          <w:marRight w:val="0"/>
          <w:marTop w:val="0"/>
          <w:marBottom w:val="0"/>
          <w:divBdr>
            <w:top w:val="none" w:sz="0" w:space="0" w:color="auto"/>
            <w:left w:val="none" w:sz="0" w:space="0" w:color="auto"/>
            <w:bottom w:val="none" w:sz="0" w:space="0" w:color="auto"/>
            <w:right w:val="none" w:sz="0" w:space="0" w:color="auto"/>
          </w:divBdr>
        </w:div>
        <w:div w:id="619411448">
          <w:marLeft w:val="640"/>
          <w:marRight w:val="0"/>
          <w:marTop w:val="0"/>
          <w:marBottom w:val="0"/>
          <w:divBdr>
            <w:top w:val="none" w:sz="0" w:space="0" w:color="auto"/>
            <w:left w:val="none" w:sz="0" w:space="0" w:color="auto"/>
            <w:bottom w:val="none" w:sz="0" w:space="0" w:color="auto"/>
            <w:right w:val="none" w:sz="0" w:space="0" w:color="auto"/>
          </w:divBdr>
        </w:div>
        <w:div w:id="621348695">
          <w:marLeft w:val="640"/>
          <w:marRight w:val="0"/>
          <w:marTop w:val="0"/>
          <w:marBottom w:val="0"/>
          <w:divBdr>
            <w:top w:val="none" w:sz="0" w:space="0" w:color="auto"/>
            <w:left w:val="none" w:sz="0" w:space="0" w:color="auto"/>
            <w:bottom w:val="none" w:sz="0" w:space="0" w:color="auto"/>
            <w:right w:val="none" w:sz="0" w:space="0" w:color="auto"/>
          </w:divBdr>
        </w:div>
        <w:div w:id="733895479">
          <w:marLeft w:val="640"/>
          <w:marRight w:val="0"/>
          <w:marTop w:val="0"/>
          <w:marBottom w:val="0"/>
          <w:divBdr>
            <w:top w:val="none" w:sz="0" w:space="0" w:color="auto"/>
            <w:left w:val="none" w:sz="0" w:space="0" w:color="auto"/>
            <w:bottom w:val="none" w:sz="0" w:space="0" w:color="auto"/>
            <w:right w:val="none" w:sz="0" w:space="0" w:color="auto"/>
          </w:divBdr>
        </w:div>
        <w:div w:id="752167505">
          <w:marLeft w:val="640"/>
          <w:marRight w:val="0"/>
          <w:marTop w:val="0"/>
          <w:marBottom w:val="0"/>
          <w:divBdr>
            <w:top w:val="none" w:sz="0" w:space="0" w:color="auto"/>
            <w:left w:val="none" w:sz="0" w:space="0" w:color="auto"/>
            <w:bottom w:val="none" w:sz="0" w:space="0" w:color="auto"/>
            <w:right w:val="none" w:sz="0" w:space="0" w:color="auto"/>
          </w:divBdr>
        </w:div>
        <w:div w:id="771709376">
          <w:marLeft w:val="640"/>
          <w:marRight w:val="0"/>
          <w:marTop w:val="0"/>
          <w:marBottom w:val="0"/>
          <w:divBdr>
            <w:top w:val="none" w:sz="0" w:space="0" w:color="auto"/>
            <w:left w:val="none" w:sz="0" w:space="0" w:color="auto"/>
            <w:bottom w:val="none" w:sz="0" w:space="0" w:color="auto"/>
            <w:right w:val="none" w:sz="0" w:space="0" w:color="auto"/>
          </w:divBdr>
        </w:div>
        <w:div w:id="822427000">
          <w:marLeft w:val="640"/>
          <w:marRight w:val="0"/>
          <w:marTop w:val="0"/>
          <w:marBottom w:val="0"/>
          <w:divBdr>
            <w:top w:val="none" w:sz="0" w:space="0" w:color="auto"/>
            <w:left w:val="none" w:sz="0" w:space="0" w:color="auto"/>
            <w:bottom w:val="none" w:sz="0" w:space="0" w:color="auto"/>
            <w:right w:val="none" w:sz="0" w:space="0" w:color="auto"/>
          </w:divBdr>
        </w:div>
        <w:div w:id="825627384">
          <w:marLeft w:val="640"/>
          <w:marRight w:val="0"/>
          <w:marTop w:val="0"/>
          <w:marBottom w:val="0"/>
          <w:divBdr>
            <w:top w:val="none" w:sz="0" w:space="0" w:color="auto"/>
            <w:left w:val="none" w:sz="0" w:space="0" w:color="auto"/>
            <w:bottom w:val="none" w:sz="0" w:space="0" w:color="auto"/>
            <w:right w:val="none" w:sz="0" w:space="0" w:color="auto"/>
          </w:divBdr>
        </w:div>
        <w:div w:id="831722266">
          <w:marLeft w:val="640"/>
          <w:marRight w:val="0"/>
          <w:marTop w:val="0"/>
          <w:marBottom w:val="0"/>
          <w:divBdr>
            <w:top w:val="none" w:sz="0" w:space="0" w:color="auto"/>
            <w:left w:val="none" w:sz="0" w:space="0" w:color="auto"/>
            <w:bottom w:val="none" w:sz="0" w:space="0" w:color="auto"/>
            <w:right w:val="none" w:sz="0" w:space="0" w:color="auto"/>
          </w:divBdr>
        </w:div>
        <w:div w:id="859976842">
          <w:marLeft w:val="640"/>
          <w:marRight w:val="0"/>
          <w:marTop w:val="0"/>
          <w:marBottom w:val="0"/>
          <w:divBdr>
            <w:top w:val="none" w:sz="0" w:space="0" w:color="auto"/>
            <w:left w:val="none" w:sz="0" w:space="0" w:color="auto"/>
            <w:bottom w:val="none" w:sz="0" w:space="0" w:color="auto"/>
            <w:right w:val="none" w:sz="0" w:space="0" w:color="auto"/>
          </w:divBdr>
        </w:div>
        <w:div w:id="915823965">
          <w:marLeft w:val="640"/>
          <w:marRight w:val="0"/>
          <w:marTop w:val="0"/>
          <w:marBottom w:val="0"/>
          <w:divBdr>
            <w:top w:val="none" w:sz="0" w:space="0" w:color="auto"/>
            <w:left w:val="none" w:sz="0" w:space="0" w:color="auto"/>
            <w:bottom w:val="none" w:sz="0" w:space="0" w:color="auto"/>
            <w:right w:val="none" w:sz="0" w:space="0" w:color="auto"/>
          </w:divBdr>
        </w:div>
        <w:div w:id="916284155">
          <w:marLeft w:val="640"/>
          <w:marRight w:val="0"/>
          <w:marTop w:val="0"/>
          <w:marBottom w:val="0"/>
          <w:divBdr>
            <w:top w:val="none" w:sz="0" w:space="0" w:color="auto"/>
            <w:left w:val="none" w:sz="0" w:space="0" w:color="auto"/>
            <w:bottom w:val="none" w:sz="0" w:space="0" w:color="auto"/>
            <w:right w:val="none" w:sz="0" w:space="0" w:color="auto"/>
          </w:divBdr>
        </w:div>
        <w:div w:id="916594958">
          <w:marLeft w:val="640"/>
          <w:marRight w:val="0"/>
          <w:marTop w:val="0"/>
          <w:marBottom w:val="0"/>
          <w:divBdr>
            <w:top w:val="none" w:sz="0" w:space="0" w:color="auto"/>
            <w:left w:val="none" w:sz="0" w:space="0" w:color="auto"/>
            <w:bottom w:val="none" w:sz="0" w:space="0" w:color="auto"/>
            <w:right w:val="none" w:sz="0" w:space="0" w:color="auto"/>
          </w:divBdr>
        </w:div>
        <w:div w:id="920725348">
          <w:marLeft w:val="640"/>
          <w:marRight w:val="0"/>
          <w:marTop w:val="0"/>
          <w:marBottom w:val="0"/>
          <w:divBdr>
            <w:top w:val="none" w:sz="0" w:space="0" w:color="auto"/>
            <w:left w:val="none" w:sz="0" w:space="0" w:color="auto"/>
            <w:bottom w:val="none" w:sz="0" w:space="0" w:color="auto"/>
            <w:right w:val="none" w:sz="0" w:space="0" w:color="auto"/>
          </w:divBdr>
        </w:div>
        <w:div w:id="972559347">
          <w:marLeft w:val="640"/>
          <w:marRight w:val="0"/>
          <w:marTop w:val="0"/>
          <w:marBottom w:val="0"/>
          <w:divBdr>
            <w:top w:val="none" w:sz="0" w:space="0" w:color="auto"/>
            <w:left w:val="none" w:sz="0" w:space="0" w:color="auto"/>
            <w:bottom w:val="none" w:sz="0" w:space="0" w:color="auto"/>
            <w:right w:val="none" w:sz="0" w:space="0" w:color="auto"/>
          </w:divBdr>
        </w:div>
        <w:div w:id="1000891288">
          <w:marLeft w:val="640"/>
          <w:marRight w:val="0"/>
          <w:marTop w:val="0"/>
          <w:marBottom w:val="0"/>
          <w:divBdr>
            <w:top w:val="none" w:sz="0" w:space="0" w:color="auto"/>
            <w:left w:val="none" w:sz="0" w:space="0" w:color="auto"/>
            <w:bottom w:val="none" w:sz="0" w:space="0" w:color="auto"/>
            <w:right w:val="none" w:sz="0" w:space="0" w:color="auto"/>
          </w:divBdr>
        </w:div>
        <w:div w:id="1053847024">
          <w:marLeft w:val="640"/>
          <w:marRight w:val="0"/>
          <w:marTop w:val="0"/>
          <w:marBottom w:val="0"/>
          <w:divBdr>
            <w:top w:val="none" w:sz="0" w:space="0" w:color="auto"/>
            <w:left w:val="none" w:sz="0" w:space="0" w:color="auto"/>
            <w:bottom w:val="none" w:sz="0" w:space="0" w:color="auto"/>
            <w:right w:val="none" w:sz="0" w:space="0" w:color="auto"/>
          </w:divBdr>
        </w:div>
        <w:div w:id="1063680977">
          <w:marLeft w:val="640"/>
          <w:marRight w:val="0"/>
          <w:marTop w:val="0"/>
          <w:marBottom w:val="0"/>
          <w:divBdr>
            <w:top w:val="none" w:sz="0" w:space="0" w:color="auto"/>
            <w:left w:val="none" w:sz="0" w:space="0" w:color="auto"/>
            <w:bottom w:val="none" w:sz="0" w:space="0" w:color="auto"/>
            <w:right w:val="none" w:sz="0" w:space="0" w:color="auto"/>
          </w:divBdr>
        </w:div>
        <w:div w:id="1065103911">
          <w:marLeft w:val="640"/>
          <w:marRight w:val="0"/>
          <w:marTop w:val="0"/>
          <w:marBottom w:val="0"/>
          <w:divBdr>
            <w:top w:val="none" w:sz="0" w:space="0" w:color="auto"/>
            <w:left w:val="none" w:sz="0" w:space="0" w:color="auto"/>
            <w:bottom w:val="none" w:sz="0" w:space="0" w:color="auto"/>
            <w:right w:val="none" w:sz="0" w:space="0" w:color="auto"/>
          </w:divBdr>
        </w:div>
        <w:div w:id="1124931706">
          <w:marLeft w:val="640"/>
          <w:marRight w:val="0"/>
          <w:marTop w:val="0"/>
          <w:marBottom w:val="0"/>
          <w:divBdr>
            <w:top w:val="none" w:sz="0" w:space="0" w:color="auto"/>
            <w:left w:val="none" w:sz="0" w:space="0" w:color="auto"/>
            <w:bottom w:val="none" w:sz="0" w:space="0" w:color="auto"/>
            <w:right w:val="none" w:sz="0" w:space="0" w:color="auto"/>
          </w:divBdr>
        </w:div>
        <w:div w:id="1189442581">
          <w:marLeft w:val="640"/>
          <w:marRight w:val="0"/>
          <w:marTop w:val="0"/>
          <w:marBottom w:val="0"/>
          <w:divBdr>
            <w:top w:val="none" w:sz="0" w:space="0" w:color="auto"/>
            <w:left w:val="none" w:sz="0" w:space="0" w:color="auto"/>
            <w:bottom w:val="none" w:sz="0" w:space="0" w:color="auto"/>
            <w:right w:val="none" w:sz="0" w:space="0" w:color="auto"/>
          </w:divBdr>
        </w:div>
        <w:div w:id="1255015518">
          <w:marLeft w:val="640"/>
          <w:marRight w:val="0"/>
          <w:marTop w:val="0"/>
          <w:marBottom w:val="0"/>
          <w:divBdr>
            <w:top w:val="none" w:sz="0" w:space="0" w:color="auto"/>
            <w:left w:val="none" w:sz="0" w:space="0" w:color="auto"/>
            <w:bottom w:val="none" w:sz="0" w:space="0" w:color="auto"/>
            <w:right w:val="none" w:sz="0" w:space="0" w:color="auto"/>
          </w:divBdr>
        </w:div>
        <w:div w:id="1302690634">
          <w:marLeft w:val="640"/>
          <w:marRight w:val="0"/>
          <w:marTop w:val="0"/>
          <w:marBottom w:val="0"/>
          <w:divBdr>
            <w:top w:val="none" w:sz="0" w:space="0" w:color="auto"/>
            <w:left w:val="none" w:sz="0" w:space="0" w:color="auto"/>
            <w:bottom w:val="none" w:sz="0" w:space="0" w:color="auto"/>
            <w:right w:val="none" w:sz="0" w:space="0" w:color="auto"/>
          </w:divBdr>
        </w:div>
        <w:div w:id="1322393500">
          <w:marLeft w:val="640"/>
          <w:marRight w:val="0"/>
          <w:marTop w:val="0"/>
          <w:marBottom w:val="0"/>
          <w:divBdr>
            <w:top w:val="none" w:sz="0" w:space="0" w:color="auto"/>
            <w:left w:val="none" w:sz="0" w:space="0" w:color="auto"/>
            <w:bottom w:val="none" w:sz="0" w:space="0" w:color="auto"/>
            <w:right w:val="none" w:sz="0" w:space="0" w:color="auto"/>
          </w:divBdr>
        </w:div>
        <w:div w:id="1329405022">
          <w:marLeft w:val="640"/>
          <w:marRight w:val="0"/>
          <w:marTop w:val="0"/>
          <w:marBottom w:val="0"/>
          <w:divBdr>
            <w:top w:val="none" w:sz="0" w:space="0" w:color="auto"/>
            <w:left w:val="none" w:sz="0" w:space="0" w:color="auto"/>
            <w:bottom w:val="none" w:sz="0" w:space="0" w:color="auto"/>
            <w:right w:val="none" w:sz="0" w:space="0" w:color="auto"/>
          </w:divBdr>
        </w:div>
        <w:div w:id="1386220885">
          <w:marLeft w:val="640"/>
          <w:marRight w:val="0"/>
          <w:marTop w:val="0"/>
          <w:marBottom w:val="0"/>
          <w:divBdr>
            <w:top w:val="none" w:sz="0" w:space="0" w:color="auto"/>
            <w:left w:val="none" w:sz="0" w:space="0" w:color="auto"/>
            <w:bottom w:val="none" w:sz="0" w:space="0" w:color="auto"/>
            <w:right w:val="none" w:sz="0" w:space="0" w:color="auto"/>
          </w:divBdr>
        </w:div>
        <w:div w:id="1487160541">
          <w:marLeft w:val="640"/>
          <w:marRight w:val="0"/>
          <w:marTop w:val="0"/>
          <w:marBottom w:val="0"/>
          <w:divBdr>
            <w:top w:val="none" w:sz="0" w:space="0" w:color="auto"/>
            <w:left w:val="none" w:sz="0" w:space="0" w:color="auto"/>
            <w:bottom w:val="none" w:sz="0" w:space="0" w:color="auto"/>
            <w:right w:val="none" w:sz="0" w:space="0" w:color="auto"/>
          </w:divBdr>
        </w:div>
        <w:div w:id="1495224093">
          <w:marLeft w:val="640"/>
          <w:marRight w:val="0"/>
          <w:marTop w:val="0"/>
          <w:marBottom w:val="0"/>
          <w:divBdr>
            <w:top w:val="none" w:sz="0" w:space="0" w:color="auto"/>
            <w:left w:val="none" w:sz="0" w:space="0" w:color="auto"/>
            <w:bottom w:val="none" w:sz="0" w:space="0" w:color="auto"/>
            <w:right w:val="none" w:sz="0" w:space="0" w:color="auto"/>
          </w:divBdr>
        </w:div>
        <w:div w:id="1563566746">
          <w:marLeft w:val="640"/>
          <w:marRight w:val="0"/>
          <w:marTop w:val="0"/>
          <w:marBottom w:val="0"/>
          <w:divBdr>
            <w:top w:val="none" w:sz="0" w:space="0" w:color="auto"/>
            <w:left w:val="none" w:sz="0" w:space="0" w:color="auto"/>
            <w:bottom w:val="none" w:sz="0" w:space="0" w:color="auto"/>
            <w:right w:val="none" w:sz="0" w:space="0" w:color="auto"/>
          </w:divBdr>
        </w:div>
        <w:div w:id="1682925302">
          <w:marLeft w:val="640"/>
          <w:marRight w:val="0"/>
          <w:marTop w:val="0"/>
          <w:marBottom w:val="0"/>
          <w:divBdr>
            <w:top w:val="none" w:sz="0" w:space="0" w:color="auto"/>
            <w:left w:val="none" w:sz="0" w:space="0" w:color="auto"/>
            <w:bottom w:val="none" w:sz="0" w:space="0" w:color="auto"/>
            <w:right w:val="none" w:sz="0" w:space="0" w:color="auto"/>
          </w:divBdr>
        </w:div>
        <w:div w:id="1703019621">
          <w:marLeft w:val="640"/>
          <w:marRight w:val="0"/>
          <w:marTop w:val="0"/>
          <w:marBottom w:val="0"/>
          <w:divBdr>
            <w:top w:val="none" w:sz="0" w:space="0" w:color="auto"/>
            <w:left w:val="none" w:sz="0" w:space="0" w:color="auto"/>
            <w:bottom w:val="none" w:sz="0" w:space="0" w:color="auto"/>
            <w:right w:val="none" w:sz="0" w:space="0" w:color="auto"/>
          </w:divBdr>
        </w:div>
        <w:div w:id="1733624273">
          <w:marLeft w:val="640"/>
          <w:marRight w:val="0"/>
          <w:marTop w:val="0"/>
          <w:marBottom w:val="0"/>
          <w:divBdr>
            <w:top w:val="none" w:sz="0" w:space="0" w:color="auto"/>
            <w:left w:val="none" w:sz="0" w:space="0" w:color="auto"/>
            <w:bottom w:val="none" w:sz="0" w:space="0" w:color="auto"/>
            <w:right w:val="none" w:sz="0" w:space="0" w:color="auto"/>
          </w:divBdr>
        </w:div>
        <w:div w:id="1740785650">
          <w:marLeft w:val="640"/>
          <w:marRight w:val="0"/>
          <w:marTop w:val="0"/>
          <w:marBottom w:val="0"/>
          <w:divBdr>
            <w:top w:val="none" w:sz="0" w:space="0" w:color="auto"/>
            <w:left w:val="none" w:sz="0" w:space="0" w:color="auto"/>
            <w:bottom w:val="none" w:sz="0" w:space="0" w:color="auto"/>
            <w:right w:val="none" w:sz="0" w:space="0" w:color="auto"/>
          </w:divBdr>
        </w:div>
        <w:div w:id="1760901887">
          <w:marLeft w:val="640"/>
          <w:marRight w:val="0"/>
          <w:marTop w:val="0"/>
          <w:marBottom w:val="0"/>
          <w:divBdr>
            <w:top w:val="none" w:sz="0" w:space="0" w:color="auto"/>
            <w:left w:val="none" w:sz="0" w:space="0" w:color="auto"/>
            <w:bottom w:val="none" w:sz="0" w:space="0" w:color="auto"/>
            <w:right w:val="none" w:sz="0" w:space="0" w:color="auto"/>
          </w:divBdr>
        </w:div>
        <w:div w:id="1783576570">
          <w:marLeft w:val="640"/>
          <w:marRight w:val="0"/>
          <w:marTop w:val="0"/>
          <w:marBottom w:val="0"/>
          <w:divBdr>
            <w:top w:val="none" w:sz="0" w:space="0" w:color="auto"/>
            <w:left w:val="none" w:sz="0" w:space="0" w:color="auto"/>
            <w:bottom w:val="none" w:sz="0" w:space="0" w:color="auto"/>
            <w:right w:val="none" w:sz="0" w:space="0" w:color="auto"/>
          </w:divBdr>
        </w:div>
        <w:div w:id="1821189695">
          <w:marLeft w:val="640"/>
          <w:marRight w:val="0"/>
          <w:marTop w:val="0"/>
          <w:marBottom w:val="0"/>
          <w:divBdr>
            <w:top w:val="none" w:sz="0" w:space="0" w:color="auto"/>
            <w:left w:val="none" w:sz="0" w:space="0" w:color="auto"/>
            <w:bottom w:val="none" w:sz="0" w:space="0" w:color="auto"/>
            <w:right w:val="none" w:sz="0" w:space="0" w:color="auto"/>
          </w:divBdr>
        </w:div>
        <w:div w:id="1850022655">
          <w:marLeft w:val="640"/>
          <w:marRight w:val="0"/>
          <w:marTop w:val="0"/>
          <w:marBottom w:val="0"/>
          <w:divBdr>
            <w:top w:val="none" w:sz="0" w:space="0" w:color="auto"/>
            <w:left w:val="none" w:sz="0" w:space="0" w:color="auto"/>
            <w:bottom w:val="none" w:sz="0" w:space="0" w:color="auto"/>
            <w:right w:val="none" w:sz="0" w:space="0" w:color="auto"/>
          </w:divBdr>
        </w:div>
        <w:div w:id="1881896658">
          <w:marLeft w:val="640"/>
          <w:marRight w:val="0"/>
          <w:marTop w:val="0"/>
          <w:marBottom w:val="0"/>
          <w:divBdr>
            <w:top w:val="none" w:sz="0" w:space="0" w:color="auto"/>
            <w:left w:val="none" w:sz="0" w:space="0" w:color="auto"/>
            <w:bottom w:val="none" w:sz="0" w:space="0" w:color="auto"/>
            <w:right w:val="none" w:sz="0" w:space="0" w:color="auto"/>
          </w:divBdr>
        </w:div>
        <w:div w:id="1898084325">
          <w:marLeft w:val="640"/>
          <w:marRight w:val="0"/>
          <w:marTop w:val="0"/>
          <w:marBottom w:val="0"/>
          <w:divBdr>
            <w:top w:val="none" w:sz="0" w:space="0" w:color="auto"/>
            <w:left w:val="none" w:sz="0" w:space="0" w:color="auto"/>
            <w:bottom w:val="none" w:sz="0" w:space="0" w:color="auto"/>
            <w:right w:val="none" w:sz="0" w:space="0" w:color="auto"/>
          </w:divBdr>
        </w:div>
        <w:div w:id="1906446675">
          <w:marLeft w:val="640"/>
          <w:marRight w:val="0"/>
          <w:marTop w:val="0"/>
          <w:marBottom w:val="0"/>
          <w:divBdr>
            <w:top w:val="none" w:sz="0" w:space="0" w:color="auto"/>
            <w:left w:val="none" w:sz="0" w:space="0" w:color="auto"/>
            <w:bottom w:val="none" w:sz="0" w:space="0" w:color="auto"/>
            <w:right w:val="none" w:sz="0" w:space="0" w:color="auto"/>
          </w:divBdr>
        </w:div>
        <w:div w:id="1993365488">
          <w:marLeft w:val="640"/>
          <w:marRight w:val="0"/>
          <w:marTop w:val="0"/>
          <w:marBottom w:val="0"/>
          <w:divBdr>
            <w:top w:val="none" w:sz="0" w:space="0" w:color="auto"/>
            <w:left w:val="none" w:sz="0" w:space="0" w:color="auto"/>
            <w:bottom w:val="none" w:sz="0" w:space="0" w:color="auto"/>
            <w:right w:val="none" w:sz="0" w:space="0" w:color="auto"/>
          </w:divBdr>
        </w:div>
        <w:div w:id="2023701574">
          <w:marLeft w:val="640"/>
          <w:marRight w:val="0"/>
          <w:marTop w:val="0"/>
          <w:marBottom w:val="0"/>
          <w:divBdr>
            <w:top w:val="none" w:sz="0" w:space="0" w:color="auto"/>
            <w:left w:val="none" w:sz="0" w:space="0" w:color="auto"/>
            <w:bottom w:val="none" w:sz="0" w:space="0" w:color="auto"/>
            <w:right w:val="none" w:sz="0" w:space="0" w:color="auto"/>
          </w:divBdr>
        </w:div>
        <w:div w:id="2041733811">
          <w:marLeft w:val="640"/>
          <w:marRight w:val="0"/>
          <w:marTop w:val="0"/>
          <w:marBottom w:val="0"/>
          <w:divBdr>
            <w:top w:val="none" w:sz="0" w:space="0" w:color="auto"/>
            <w:left w:val="none" w:sz="0" w:space="0" w:color="auto"/>
            <w:bottom w:val="none" w:sz="0" w:space="0" w:color="auto"/>
            <w:right w:val="none" w:sz="0" w:space="0" w:color="auto"/>
          </w:divBdr>
        </w:div>
        <w:div w:id="2046707159">
          <w:marLeft w:val="640"/>
          <w:marRight w:val="0"/>
          <w:marTop w:val="0"/>
          <w:marBottom w:val="0"/>
          <w:divBdr>
            <w:top w:val="none" w:sz="0" w:space="0" w:color="auto"/>
            <w:left w:val="none" w:sz="0" w:space="0" w:color="auto"/>
            <w:bottom w:val="none" w:sz="0" w:space="0" w:color="auto"/>
            <w:right w:val="none" w:sz="0" w:space="0" w:color="auto"/>
          </w:divBdr>
        </w:div>
        <w:div w:id="2072381307">
          <w:marLeft w:val="640"/>
          <w:marRight w:val="0"/>
          <w:marTop w:val="0"/>
          <w:marBottom w:val="0"/>
          <w:divBdr>
            <w:top w:val="none" w:sz="0" w:space="0" w:color="auto"/>
            <w:left w:val="none" w:sz="0" w:space="0" w:color="auto"/>
            <w:bottom w:val="none" w:sz="0" w:space="0" w:color="auto"/>
            <w:right w:val="none" w:sz="0" w:space="0" w:color="auto"/>
          </w:divBdr>
        </w:div>
        <w:div w:id="2076197412">
          <w:marLeft w:val="640"/>
          <w:marRight w:val="0"/>
          <w:marTop w:val="0"/>
          <w:marBottom w:val="0"/>
          <w:divBdr>
            <w:top w:val="none" w:sz="0" w:space="0" w:color="auto"/>
            <w:left w:val="none" w:sz="0" w:space="0" w:color="auto"/>
            <w:bottom w:val="none" w:sz="0" w:space="0" w:color="auto"/>
            <w:right w:val="none" w:sz="0" w:space="0" w:color="auto"/>
          </w:divBdr>
        </w:div>
        <w:div w:id="2107462919">
          <w:marLeft w:val="640"/>
          <w:marRight w:val="0"/>
          <w:marTop w:val="0"/>
          <w:marBottom w:val="0"/>
          <w:divBdr>
            <w:top w:val="none" w:sz="0" w:space="0" w:color="auto"/>
            <w:left w:val="none" w:sz="0" w:space="0" w:color="auto"/>
            <w:bottom w:val="none" w:sz="0" w:space="0" w:color="auto"/>
            <w:right w:val="none" w:sz="0" w:space="0" w:color="auto"/>
          </w:divBdr>
        </w:div>
        <w:div w:id="2127920375">
          <w:marLeft w:val="640"/>
          <w:marRight w:val="0"/>
          <w:marTop w:val="0"/>
          <w:marBottom w:val="0"/>
          <w:divBdr>
            <w:top w:val="none" w:sz="0" w:space="0" w:color="auto"/>
            <w:left w:val="none" w:sz="0" w:space="0" w:color="auto"/>
            <w:bottom w:val="none" w:sz="0" w:space="0" w:color="auto"/>
            <w:right w:val="none" w:sz="0" w:space="0" w:color="auto"/>
          </w:divBdr>
        </w:div>
      </w:divsChild>
    </w:div>
    <w:div w:id="670331070">
      <w:bodyDiv w:val="1"/>
      <w:marLeft w:val="0"/>
      <w:marRight w:val="0"/>
      <w:marTop w:val="0"/>
      <w:marBottom w:val="0"/>
      <w:divBdr>
        <w:top w:val="none" w:sz="0" w:space="0" w:color="auto"/>
        <w:left w:val="none" w:sz="0" w:space="0" w:color="auto"/>
        <w:bottom w:val="none" w:sz="0" w:space="0" w:color="auto"/>
        <w:right w:val="none" w:sz="0" w:space="0" w:color="auto"/>
      </w:divBdr>
      <w:divsChild>
        <w:div w:id="1780448496">
          <w:marLeft w:val="480"/>
          <w:marRight w:val="0"/>
          <w:marTop w:val="0"/>
          <w:marBottom w:val="0"/>
          <w:divBdr>
            <w:top w:val="none" w:sz="0" w:space="0" w:color="auto"/>
            <w:left w:val="none" w:sz="0" w:space="0" w:color="auto"/>
            <w:bottom w:val="none" w:sz="0" w:space="0" w:color="auto"/>
            <w:right w:val="none" w:sz="0" w:space="0" w:color="auto"/>
          </w:divBdr>
        </w:div>
        <w:div w:id="869807703">
          <w:marLeft w:val="480"/>
          <w:marRight w:val="0"/>
          <w:marTop w:val="0"/>
          <w:marBottom w:val="0"/>
          <w:divBdr>
            <w:top w:val="none" w:sz="0" w:space="0" w:color="auto"/>
            <w:left w:val="none" w:sz="0" w:space="0" w:color="auto"/>
            <w:bottom w:val="none" w:sz="0" w:space="0" w:color="auto"/>
            <w:right w:val="none" w:sz="0" w:space="0" w:color="auto"/>
          </w:divBdr>
        </w:div>
        <w:div w:id="1013341052">
          <w:marLeft w:val="480"/>
          <w:marRight w:val="0"/>
          <w:marTop w:val="0"/>
          <w:marBottom w:val="0"/>
          <w:divBdr>
            <w:top w:val="none" w:sz="0" w:space="0" w:color="auto"/>
            <w:left w:val="none" w:sz="0" w:space="0" w:color="auto"/>
            <w:bottom w:val="none" w:sz="0" w:space="0" w:color="auto"/>
            <w:right w:val="none" w:sz="0" w:space="0" w:color="auto"/>
          </w:divBdr>
        </w:div>
        <w:div w:id="1271425604">
          <w:marLeft w:val="480"/>
          <w:marRight w:val="0"/>
          <w:marTop w:val="0"/>
          <w:marBottom w:val="0"/>
          <w:divBdr>
            <w:top w:val="none" w:sz="0" w:space="0" w:color="auto"/>
            <w:left w:val="none" w:sz="0" w:space="0" w:color="auto"/>
            <w:bottom w:val="none" w:sz="0" w:space="0" w:color="auto"/>
            <w:right w:val="none" w:sz="0" w:space="0" w:color="auto"/>
          </w:divBdr>
        </w:div>
        <w:div w:id="1704136556">
          <w:marLeft w:val="480"/>
          <w:marRight w:val="0"/>
          <w:marTop w:val="0"/>
          <w:marBottom w:val="0"/>
          <w:divBdr>
            <w:top w:val="none" w:sz="0" w:space="0" w:color="auto"/>
            <w:left w:val="none" w:sz="0" w:space="0" w:color="auto"/>
            <w:bottom w:val="none" w:sz="0" w:space="0" w:color="auto"/>
            <w:right w:val="none" w:sz="0" w:space="0" w:color="auto"/>
          </w:divBdr>
        </w:div>
        <w:div w:id="976951409">
          <w:marLeft w:val="480"/>
          <w:marRight w:val="0"/>
          <w:marTop w:val="0"/>
          <w:marBottom w:val="0"/>
          <w:divBdr>
            <w:top w:val="none" w:sz="0" w:space="0" w:color="auto"/>
            <w:left w:val="none" w:sz="0" w:space="0" w:color="auto"/>
            <w:bottom w:val="none" w:sz="0" w:space="0" w:color="auto"/>
            <w:right w:val="none" w:sz="0" w:space="0" w:color="auto"/>
          </w:divBdr>
        </w:div>
      </w:divsChild>
    </w:div>
    <w:div w:id="685014151">
      <w:bodyDiv w:val="1"/>
      <w:marLeft w:val="0"/>
      <w:marRight w:val="0"/>
      <w:marTop w:val="0"/>
      <w:marBottom w:val="0"/>
      <w:divBdr>
        <w:top w:val="none" w:sz="0" w:space="0" w:color="auto"/>
        <w:left w:val="none" w:sz="0" w:space="0" w:color="auto"/>
        <w:bottom w:val="none" w:sz="0" w:space="0" w:color="auto"/>
        <w:right w:val="none" w:sz="0" w:space="0" w:color="auto"/>
      </w:divBdr>
    </w:div>
    <w:div w:id="689599425">
      <w:bodyDiv w:val="1"/>
      <w:marLeft w:val="0"/>
      <w:marRight w:val="0"/>
      <w:marTop w:val="0"/>
      <w:marBottom w:val="0"/>
      <w:divBdr>
        <w:top w:val="none" w:sz="0" w:space="0" w:color="auto"/>
        <w:left w:val="none" w:sz="0" w:space="0" w:color="auto"/>
        <w:bottom w:val="none" w:sz="0" w:space="0" w:color="auto"/>
        <w:right w:val="none" w:sz="0" w:space="0" w:color="auto"/>
      </w:divBdr>
      <w:divsChild>
        <w:div w:id="4022930">
          <w:marLeft w:val="640"/>
          <w:marRight w:val="0"/>
          <w:marTop w:val="0"/>
          <w:marBottom w:val="0"/>
          <w:divBdr>
            <w:top w:val="none" w:sz="0" w:space="0" w:color="auto"/>
            <w:left w:val="none" w:sz="0" w:space="0" w:color="auto"/>
            <w:bottom w:val="none" w:sz="0" w:space="0" w:color="auto"/>
            <w:right w:val="none" w:sz="0" w:space="0" w:color="auto"/>
          </w:divBdr>
        </w:div>
        <w:div w:id="149055788">
          <w:marLeft w:val="640"/>
          <w:marRight w:val="0"/>
          <w:marTop w:val="0"/>
          <w:marBottom w:val="0"/>
          <w:divBdr>
            <w:top w:val="none" w:sz="0" w:space="0" w:color="auto"/>
            <w:left w:val="none" w:sz="0" w:space="0" w:color="auto"/>
            <w:bottom w:val="none" w:sz="0" w:space="0" w:color="auto"/>
            <w:right w:val="none" w:sz="0" w:space="0" w:color="auto"/>
          </w:divBdr>
        </w:div>
        <w:div w:id="169223260">
          <w:marLeft w:val="640"/>
          <w:marRight w:val="0"/>
          <w:marTop w:val="0"/>
          <w:marBottom w:val="0"/>
          <w:divBdr>
            <w:top w:val="none" w:sz="0" w:space="0" w:color="auto"/>
            <w:left w:val="none" w:sz="0" w:space="0" w:color="auto"/>
            <w:bottom w:val="none" w:sz="0" w:space="0" w:color="auto"/>
            <w:right w:val="none" w:sz="0" w:space="0" w:color="auto"/>
          </w:divBdr>
        </w:div>
        <w:div w:id="228658742">
          <w:marLeft w:val="640"/>
          <w:marRight w:val="0"/>
          <w:marTop w:val="0"/>
          <w:marBottom w:val="0"/>
          <w:divBdr>
            <w:top w:val="none" w:sz="0" w:space="0" w:color="auto"/>
            <w:left w:val="none" w:sz="0" w:space="0" w:color="auto"/>
            <w:bottom w:val="none" w:sz="0" w:space="0" w:color="auto"/>
            <w:right w:val="none" w:sz="0" w:space="0" w:color="auto"/>
          </w:divBdr>
        </w:div>
        <w:div w:id="300618895">
          <w:marLeft w:val="640"/>
          <w:marRight w:val="0"/>
          <w:marTop w:val="0"/>
          <w:marBottom w:val="0"/>
          <w:divBdr>
            <w:top w:val="none" w:sz="0" w:space="0" w:color="auto"/>
            <w:left w:val="none" w:sz="0" w:space="0" w:color="auto"/>
            <w:bottom w:val="none" w:sz="0" w:space="0" w:color="auto"/>
            <w:right w:val="none" w:sz="0" w:space="0" w:color="auto"/>
          </w:divBdr>
        </w:div>
        <w:div w:id="318701702">
          <w:marLeft w:val="640"/>
          <w:marRight w:val="0"/>
          <w:marTop w:val="0"/>
          <w:marBottom w:val="0"/>
          <w:divBdr>
            <w:top w:val="none" w:sz="0" w:space="0" w:color="auto"/>
            <w:left w:val="none" w:sz="0" w:space="0" w:color="auto"/>
            <w:bottom w:val="none" w:sz="0" w:space="0" w:color="auto"/>
            <w:right w:val="none" w:sz="0" w:space="0" w:color="auto"/>
          </w:divBdr>
        </w:div>
        <w:div w:id="332805283">
          <w:marLeft w:val="640"/>
          <w:marRight w:val="0"/>
          <w:marTop w:val="0"/>
          <w:marBottom w:val="0"/>
          <w:divBdr>
            <w:top w:val="none" w:sz="0" w:space="0" w:color="auto"/>
            <w:left w:val="none" w:sz="0" w:space="0" w:color="auto"/>
            <w:bottom w:val="none" w:sz="0" w:space="0" w:color="auto"/>
            <w:right w:val="none" w:sz="0" w:space="0" w:color="auto"/>
          </w:divBdr>
        </w:div>
        <w:div w:id="379594522">
          <w:marLeft w:val="640"/>
          <w:marRight w:val="0"/>
          <w:marTop w:val="0"/>
          <w:marBottom w:val="0"/>
          <w:divBdr>
            <w:top w:val="none" w:sz="0" w:space="0" w:color="auto"/>
            <w:left w:val="none" w:sz="0" w:space="0" w:color="auto"/>
            <w:bottom w:val="none" w:sz="0" w:space="0" w:color="auto"/>
            <w:right w:val="none" w:sz="0" w:space="0" w:color="auto"/>
          </w:divBdr>
        </w:div>
        <w:div w:id="416363528">
          <w:marLeft w:val="640"/>
          <w:marRight w:val="0"/>
          <w:marTop w:val="0"/>
          <w:marBottom w:val="0"/>
          <w:divBdr>
            <w:top w:val="none" w:sz="0" w:space="0" w:color="auto"/>
            <w:left w:val="none" w:sz="0" w:space="0" w:color="auto"/>
            <w:bottom w:val="none" w:sz="0" w:space="0" w:color="auto"/>
            <w:right w:val="none" w:sz="0" w:space="0" w:color="auto"/>
          </w:divBdr>
        </w:div>
        <w:div w:id="422530733">
          <w:marLeft w:val="640"/>
          <w:marRight w:val="0"/>
          <w:marTop w:val="0"/>
          <w:marBottom w:val="0"/>
          <w:divBdr>
            <w:top w:val="none" w:sz="0" w:space="0" w:color="auto"/>
            <w:left w:val="none" w:sz="0" w:space="0" w:color="auto"/>
            <w:bottom w:val="none" w:sz="0" w:space="0" w:color="auto"/>
            <w:right w:val="none" w:sz="0" w:space="0" w:color="auto"/>
          </w:divBdr>
        </w:div>
        <w:div w:id="466437129">
          <w:marLeft w:val="640"/>
          <w:marRight w:val="0"/>
          <w:marTop w:val="0"/>
          <w:marBottom w:val="0"/>
          <w:divBdr>
            <w:top w:val="none" w:sz="0" w:space="0" w:color="auto"/>
            <w:left w:val="none" w:sz="0" w:space="0" w:color="auto"/>
            <w:bottom w:val="none" w:sz="0" w:space="0" w:color="auto"/>
            <w:right w:val="none" w:sz="0" w:space="0" w:color="auto"/>
          </w:divBdr>
        </w:div>
        <w:div w:id="495656327">
          <w:marLeft w:val="640"/>
          <w:marRight w:val="0"/>
          <w:marTop w:val="0"/>
          <w:marBottom w:val="0"/>
          <w:divBdr>
            <w:top w:val="none" w:sz="0" w:space="0" w:color="auto"/>
            <w:left w:val="none" w:sz="0" w:space="0" w:color="auto"/>
            <w:bottom w:val="none" w:sz="0" w:space="0" w:color="auto"/>
            <w:right w:val="none" w:sz="0" w:space="0" w:color="auto"/>
          </w:divBdr>
        </w:div>
        <w:div w:id="517624481">
          <w:marLeft w:val="640"/>
          <w:marRight w:val="0"/>
          <w:marTop w:val="0"/>
          <w:marBottom w:val="0"/>
          <w:divBdr>
            <w:top w:val="none" w:sz="0" w:space="0" w:color="auto"/>
            <w:left w:val="none" w:sz="0" w:space="0" w:color="auto"/>
            <w:bottom w:val="none" w:sz="0" w:space="0" w:color="auto"/>
            <w:right w:val="none" w:sz="0" w:space="0" w:color="auto"/>
          </w:divBdr>
        </w:div>
        <w:div w:id="740325376">
          <w:marLeft w:val="640"/>
          <w:marRight w:val="0"/>
          <w:marTop w:val="0"/>
          <w:marBottom w:val="0"/>
          <w:divBdr>
            <w:top w:val="none" w:sz="0" w:space="0" w:color="auto"/>
            <w:left w:val="none" w:sz="0" w:space="0" w:color="auto"/>
            <w:bottom w:val="none" w:sz="0" w:space="0" w:color="auto"/>
            <w:right w:val="none" w:sz="0" w:space="0" w:color="auto"/>
          </w:divBdr>
        </w:div>
        <w:div w:id="750201417">
          <w:marLeft w:val="640"/>
          <w:marRight w:val="0"/>
          <w:marTop w:val="0"/>
          <w:marBottom w:val="0"/>
          <w:divBdr>
            <w:top w:val="none" w:sz="0" w:space="0" w:color="auto"/>
            <w:left w:val="none" w:sz="0" w:space="0" w:color="auto"/>
            <w:bottom w:val="none" w:sz="0" w:space="0" w:color="auto"/>
            <w:right w:val="none" w:sz="0" w:space="0" w:color="auto"/>
          </w:divBdr>
        </w:div>
        <w:div w:id="759061549">
          <w:marLeft w:val="640"/>
          <w:marRight w:val="0"/>
          <w:marTop w:val="0"/>
          <w:marBottom w:val="0"/>
          <w:divBdr>
            <w:top w:val="none" w:sz="0" w:space="0" w:color="auto"/>
            <w:left w:val="none" w:sz="0" w:space="0" w:color="auto"/>
            <w:bottom w:val="none" w:sz="0" w:space="0" w:color="auto"/>
            <w:right w:val="none" w:sz="0" w:space="0" w:color="auto"/>
          </w:divBdr>
        </w:div>
        <w:div w:id="798105703">
          <w:marLeft w:val="640"/>
          <w:marRight w:val="0"/>
          <w:marTop w:val="0"/>
          <w:marBottom w:val="0"/>
          <w:divBdr>
            <w:top w:val="none" w:sz="0" w:space="0" w:color="auto"/>
            <w:left w:val="none" w:sz="0" w:space="0" w:color="auto"/>
            <w:bottom w:val="none" w:sz="0" w:space="0" w:color="auto"/>
            <w:right w:val="none" w:sz="0" w:space="0" w:color="auto"/>
          </w:divBdr>
        </w:div>
        <w:div w:id="807167058">
          <w:marLeft w:val="640"/>
          <w:marRight w:val="0"/>
          <w:marTop w:val="0"/>
          <w:marBottom w:val="0"/>
          <w:divBdr>
            <w:top w:val="none" w:sz="0" w:space="0" w:color="auto"/>
            <w:left w:val="none" w:sz="0" w:space="0" w:color="auto"/>
            <w:bottom w:val="none" w:sz="0" w:space="0" w:color="auto"/>
            <w:right w:val="none" w:sz="0" w:space="0" w:color="auto"/>
          </w:divBdr>
        </w:div>
        <w:div w:id="825322416">
          <w:marLeft w:val="640"/>
          <w:marRight w:val="0"/>
          <w:marTop w:val="0"/>
          <w:marBottom w:val="0"/>
          <w:divBdr>
            <w:top w:val="none" w:sz="0" w:space="0" w:color="auto"/>
            <w:left w:val="none" w:sz="0" w:space="0" w:color="auto"/>
            <w:bottom w:val="none" w:sz="0" w:space="0" w:color="auto"/>
            <w:right w:val="none" w:sz="0" w:space="0" w:color="auto"/>
          </w:divBdr>
        </w:div>
        <w:div w:id="829249181">
          <w:marLeft w:val="640"/>
          <w:marRight w:val="0"/>
          <w:marTop w:val="0"/>
          <w:marBottom w:val="0"/>
          <w:divBdr>
            <w:top w:val="none" w:sz="0" w:space="0" w:color="auto"/>
            <w:left w:val="none" w:sz="0" w:space="0" w:color="auto"/>
            <w:bottom w:val="none" w:sz="0" w:space="0" w:color="auto"/>
            <w:right w:val="none" w:sz="0" w:space="0" w:color="auto"/>
          </w:divBdr>
        </w:div>
        <w:div w:id="842628047">
          <w:marLeft w:val="640"/>
          <w:marRight w:val="0"/>
          <w:marTop w:val="0"/>
          <w:marBottom w:val="0"/>
          <w:divBdr>
            <w:top w:val="none" w:sz="0" w:space="0" w:color="auto"/>
            <w:left w:val="none" w:sz="0" w:space="0" w:color="auto"/>
            <w:bottom w:val="none" w:sz="0" w:space="0" w:color="auto"/>
            <w:right w:val="none" w:sz="0" w:space="0" w:color="auto"/>
          </w:divBdr>
        </w:div>
        <w:div w:id="855995371">
          <w:marLeft w:val="640"/>
          <w:marRight w:val="0"/>
          <w:marTop w:val="0"/>
          <w:marBottom w:val="0"/>
          <w:divBdr>
            <w:top w:val="none" w:sz="0" w:space="0" w:color="auto"/>
            <w:left w:val="none" w:sz="0" w:space="0" w:color="auto"/>
            <w:bottom w:val="none" w:sz="0" w:space="0" w:color="auto"/>
            <w:right w:val="none" w:sz="0" w:space="0" w:color="auto"/>
          </w:divBdr>
        </w:div>
        <w:div w:id="891233065">
          <w:marLeft w:val="640"/>
          <w:marRight w:val="0"/>
          <w:marTop w:val="0"/>
          <w:marBottom w:val="0"/>
          <w:divBdr>
            <w:top w:val="none" w:sz="0" w:space="0" w:color="auto"/>
            <w:left w:val="none" w:sz="0" w:space="0" w:color="auto"/>
            <w:bottom w:val="none" w:sz="0" w:space="0" w:color="auto"/>
            <w:right w:val="none" w:sz="0" w:space="0" w:color="auto"/>
          </w:divBdr>
        </w:div>
        <w:div w:id="891767039">
          <w:marLeft w:val="640"/>
          <w:marRight w:val="0"/>
          <w:marTop w:val="0"/>
          <w:marBottom w:val="0"/>
          <w:divBdr>
            <w:top w:val="none" w:sz="0" w:space="0" w:color="auto"/>
            <w:left w:val="none" w:sz="0" w:space="0" w:color="auto"/>
            <w:bottom w:val="none" w:sz="0" w:space="0" w:color="auto"/>
            <w:right w:val="none" w:sz="0" w:space="0" w:color="auto"/>
          </w:divBdr>
        </w:div>
        <w:div w:id="928929080">
          <w:marLeft w:val="640"/>
          <w:marRight w:val="0"/>
          <w:marTop w:val="0"/>
          <w:marBottom w:val="0"/>
          <w:divBdr>
            <w:top w:val="none" w:sz="0" w:space="0" w:color="auto"/>
            <w:left w:val="none" w:sz="0" w:space="0" w:color="auto"/>
            <w:bottom w:val="none" w:sz="0" w:space="0" w:color="auto"/>
            <w:right w:val="none" w:sz="0" w:space="0" w:color="auto"/>
          </w:divBdr>
        </w:div>
        <w:div w:id="932739017">
          <w:marLeft w:val="640"/>
          <w:marRight w:val="0"/>
          <w:marTop w:val="0"/>
          <w:marBottom w:val="0"/>
          <w:divBdr>
            <w:top w:val="none" w:sz="0" w:space="0" w:color="auto"/>
            <w:left w:val="none" w:sz="0" w:space="0" w:color="auto"/>
            <w:bottom w:val="none" w:sz="0" w:space="0" w:color="auto"/>
            <w:right w:val="none" w:sz="0" w:space="0" w:color="auto"/>
          </w:divBdr>
        </w:div>
        <w:div w:id="1008867118">
          <w:marLeft w:val="640"/>
          <w:marRight w:val="0"/>
          <w:marTop w:val="0"/>
          <w:marBottom w:val="0"/>
          <w:divBdr>
            <w:top w:val="none" w:sz="0" w:space="0" w:color="auto"/>
            <w:left w:val="none" w:sz="0" w:space="0" w:color="auto"/>
            <w:bottom w:val="none" w:sz="0" w:space="0" w:color="auto"/>
            <w:right w:val="none" w:sz="0" w:space="0" w:color="auto"/>
          </w:divBdr>
        </w:div>
        <w:div w:id="1020350222">
          <w:marLeft w:val="640"/>
          <w:marRight w:val="0"/>
          <w:marTop w:val="0"/>
          <w:marBottom w:val="0"/>
          <w:divBdr>
            <w:top w:val="none" w:sz="0" w:space="0" w:color="auto"/>
            <w:left w:val="none" w:sz="0" w:space="0" w:color="auto"/>
            <w:bottom w:val="none" w:sz="0" w:space="0" w:color="auto"/>
            <w:right w:val="none" w:sz="0" w:space="0" w:color="auto"/>
          </w:divBdr>
        </w:div>
        <w:div w:id="1073431719">
          <w:marLeft w:val="640"/>
          <w:marRight w:val="0"/>
          <w:marTop w:val="0"/>
          <w:marBottom w:val="0"/>
          <w:divBdr>
            <w:top w:val="none" w:sz="0" w:space="0" w:color="auto"/>
            <w:left w:val="none" w:sz="0" w:space="0" w:color="auto"/>
            <w:bottom w:val="none" w:sz="0" w:space="0" w:color="auto"/>
            <w:right w:val="none" w:sz="0" w:space="0" w:color="auto"/>
          </w:divBdr>
        </w:div>
        <w:div w:id="1075977347">
          <w:marLeft w:val="640"/>
          <w:marRight w:val="0"/>
          <w:marTop w:val="0"/>
          <w:marBottom w:val="0"/>
          <w:divBdr>
            <w:top w:val="none" w:sz="0" w:space="0" w:color="auto"/>
            <w:left w:val="none" w:sz="0" w:space="0" w:color="auto"/>
            <w:bottom w:val="none" w:sz="0" w:space="0" w:color="auto"/>
            <w:right w:val="none" w:sz="0" w:space="0" w:color="auto"/>
          </w:divBdr>
        </w:div>
        <w:div w:id="1121193796">
          <w:marLeft w:val="640"/>
          <w:marRight w:val="0"/>
          <w:marTop w:val="0"/>
          <w:marBottom w:val="0"/>
          <w:divBdr>
            <w:top w:val="none" w:sz="0" w:space="0" w:color="auto"/>
            <w:left w:val="none" w:sz="0" w:space="0" w:color="auto"/>
            <w:bottom w:val="none" w:sz="0" w:space="0" w:color="auto"/>
            <w:right w:val="none" w:sz="0" w:space="0" w:color="auto"/>
          </w:divBdr>
        </w:div>
        <w:div w:id="1128470691">
          <w:marLeft w:val="640"/>
          <w:marRight w:val="0"/>
          <w:marTop w:val="0"/>
          <w:marBottom w:val="0"/>
          <w:divBdr>
            <w:top w:val="none" w:sz="0" w:space="0" w:color="auto"/>
            <w:left w:val="none" w:sz="0" w:space="0" w:color="auto"/>
            <w:bottom w:val="none" w:sz="0" w:space="0" w:color="auto"/>
            <w:right w:val="none" w:sz="0" w:space="0" w:color="auto"/>
          </w:divBdr>
        </w:div>
        <w:div w:id="1166290465">
          <w:marLeft w:val="640"/>
          <w:marRight w:val="0"/>
          <w:marTop w:val="0"/>
          <w:marBottom w:val="0"/>
          <w:divBdr>
            <w:top w:val="none" w:sz="0" w:space="0" w:color="auto"/>
            <w:left w:val="none" w:sz="0" w:space="0" w:color="auto"/>
            <w:bottom w:val="none" w:sz="0" w:space="0" w:color="auto"/>
            <w:right w:val="none" w:sz="0" w:space="0" w:color="auto"/>
          </w:divBdr>
        </w:div>
        <w:div w:id="1171261920">
          <w:marLeft w:val="640"/>
          <w:marRight w:val="0"/>
          <w:marTop w:val="0"/>
          <w:marBottom w:val="0"/>
          <w:divBdr>
            <w:top w:val="none" w:sz="0" w:space="0" w:color="auto"/>
            <w:left w:val="none" w:sz="0" w:space="0" w:color="auto"/>
            <w:bottom w:val="none" w:sz="0" w:space="0" w:color="auto"/>
            <w:right w:val="none" w:sz="0" w:space="0" w:color="auto"/>
          </w:divBdr>
        </w:div>
        <w:div w:id="1297177564">
          <w:marLeft w:val="640"/>
          <w:marRight w:val="0"/>
          <w:marTop w:val="0"/>
          <w:marBottom w:val="0"/>
          <w:divBdr>
            <w:top w:val="none" w:sz="0" w:space="0" w:color="auto"/>
            <w:left w:val="none" w:sz="0" w:space="0" w:color="auto"/>
            <w:bottom w:val="none" w:sz="0" w:space="0" w:color="auto"/>
            <w:right w:val="none" w:sz="0" w:space="0" w:color="auto"/>
          </w:divBdr>
        </w:div>
        <w:div w:id="1309899122">
          <w:marLeft w:val="640"/>
          <w:marRight w:val="0"/>
          <w:marTop w:val="0"/>
          <w:marBottom w:val="0"/>
          <w:divBdr>
            <w:top w:val="none" w:sz="0" w:space="0" w:color="auto"/>
            <w:left w:val="none" w:sz="0" w:space="0" w:color="auto"/>
            <w:bottom w:val="none" w:sz="0" w:space="0" w:color="auto"/>
            <w:right w:val="none" w:sz="0" w:space="0" w:color="auto"/>
          </w:divBdr>
        </w:div>
        <w:div w:id="1355695528">
          <w:marLeft w:val="640"/>
          <w:marRight w:val="0"/>
          <w:marTop w:val="0"/>
          <w:marBottom w:val="0"/>
          <w:divBdr>
            <w:top w:val="none" w:sz="0" w:space="0" w:color="auto"/>
            <w:left w:val="none" w:sz="0" w:space="0" w:color="auto"/>
            <w:bottom w:val="none" w:sz="0" w:space="0" w:color="auto"/>
            <w:right w:val="none" w:sz="0" w:space="0" w:color="auto"/>
          </w:divBdr>
        </w:div>
        <w:div w:id="1377505573">
          <w:marLeft w:val="640"/>
          <w:marRight w:val="0"/>
          <w:marTop w:val="0"/>
          <w:marBottom w:val="0"/>
          <w:divBdr>
            <w:top w:val="none" w:sz="0" w:space="0" w:color="auto"/>
            <w:left w:val="none" w:sz="0" w:space="0" w:color="auto"/>
            <w:bottom w:val="none" w:sz="0" w:space="0" w:color="auto"/>
            <w:right w:val="none" w:sz="0" w:space="0" w:color="auto"/>
          </w:divBdr>
        </w:div>
        <w:div w:id="1381854663">
          <w:marLeft w:val="640"/>
          <w:marRight w:val="0"/>
          <w:marTop w:val="0"/>
          <w:marBottom w:val="0"/>
          <w:divBdr>
            <w:top w:val="none" w:sz="0" w:space="0" w:color="auto"/>
            <w:left w:val="none" w:sz="0" w:space="0" w:color="auto"/>
            <w:bottom w:val="none" w:sz="0" w:space="0" w:color="auto"/>
            <w:right w:val="none" w:sz="0" w:space="0" w:color="auto"/>
          </w:divBdr>
        </w:div>
        <w:div w:id="1436905597">
          <w:marLeft w:val="640"/>
          <w:marRight w:val="0"/>
          <w:marTop w:val="0"/>
          <w:marBottom w:val="0"/>
          <w:divBdr>
            <w:top w:val="none" w:sz="0" w:space="0" w:color="auto"/>
            <w:left w:val="none" w:sz="0" w:space="0" w:color="auto"/>
            <w:bottom w:val="none" w:sz="0" w:space="0" w:color="auto"/>
            <w:right w:val="none" w:sz="0" w:space="0" w:color="auto"/>
          </w:divBdr>
        </w:div>
        <w:div w:id="1442610026">
          <w:marLeft w:val="640"/>
          <w:marRight w:val="0"/>
          <w:marTop w:val="0"/>
          <w:marBottom w:val="0"/>
          <w:divBdr>
            <w:top w:val="none" w:sz="0" w:space="0" w:color="auto"/>
            <w:left w:val="none" w:sz="0" w:space="0" w:color="auto"/>
            <w:bottom w:val="none" w:sz="0" w:space="0" w:color="auto"/>
            <w:right w:val="none" w:sz="0" w:space="0" w:color="auto"/>
          </w:divBdr>
        </w:div>
        <w:div w:id="1504975259">
          <w:marLeft w:val="640"/>
          <w:marRight w:val="0"/>
          <w:marTop w:val="0"/>
          <w:marBottom w:val="0"/>
          <w:divBdr>
            <w:top w:val="none" w:sz="0" w:space="0" w:color="auto"/>
            <w:left w:val="none" w:sz="0" w:space="0" w:color="auto"/>
            <w:bottom w:val="none" w:sz="0" w:space="0" w:color="auto"/>
            <w:right w:val="none" w:sz="0" w:space="0" w:color="auto"/>
          </w:divBdr>
        </w:div>
        <w:div w:id="1505973498">
          <w:marLeft w:val="640"/>
          <w:marRight w:val="0"/>
          <w:marTop w:val="0"/>
          <w:marBottom w:val="0"/>
          <w:divBdr>
            <w:top w:val="none" w:sz="0" w:space="0" w:color="auto"/>
            <w:left w:val="none" w:sz="0" w:space="0" w:color="auto"/>
            <w:bottom w:val="none" w:sz="0" w:space="0" w:color="auto"/>
            <w:right w:val="none" w:sz="0" w:space="0" w:color="auto"/>
          </w:divBdr>
        </w:div>
        <w:div w:id="1515530257">
          <w:marLeft w:val="640"/>
          <w:marRight w:val="0"/>
          <w:marTop w:val="0"/>
          <w:marBottom w:val="0"/>
          <w:divBdr>
            <w:top w:val="none" w:sz="0" w:space="0" w:color="auto"/>
            <w:left w:val="none" w:sz="0" w:space="0" w:color="auto"/>
            <w:bottom w:val="none" w:sz="0" w:space="0" w:color="auto"/>
            <w:right w:val="none" w:sz="0" w:space="0" w:color="auto"/>
          </w:divBdr>
        </w:div>
        <w:div w:id="1538203096">
          <w:marLeft w:val="640"/>
          <w:marRight w:val="0"/>
          <w:marTop w:val="0"/>
          <w:marBottom w:val="0"/>
          <w:divBdr>
            <w:top w:val="none" w:sz="0" w:space="0" w:color="auto"/>
            <w:left w:val="none" w:sz="0" w:space="0" w:color="auto"/>
            <w:bottom w:val="none" w:sz="0" w:space="0" w:color="auto"/>
            <w:right w:val="none" w:sz="0" w:space="0" w:color="auto"/>
          </w:divBdr>
        </w:div>
        <w:div w:id="1545097188">
          <w:marLeft w:val="640"/>
          <w:marRight w:val="0"/>
          <w:marTop w:val="0"/>
          <w:marBottom w:val="0"/>
          <w:divBdr>
            <w:top w:val="none" w:sz="0" w:space="0" w:color="auto"/>
            <w:left w:val="none" w:sz="0" w:space="0" w:color="auto"/>
            <w:bottom w:val="none" w:sz="0" w:space="0" w:color="auto"/>
            <w:right w:val="none" w:sz="0" w:space="0" w:color="auto"/>
          </w:divBdr>
        </w:div>
        <w:div w:id="1560634014">
          <w:marLeft w:val="640"/>
          <w:marRight w:val="0"/>
          <w:marTop w:val="0"/>
          <w:marBottom w:val="0"/>
          <w:divBdr>
            <w:top w:val="none" w:sz="0" w:space="0" w:color="auto"/>
            <w:left w:val="none" w:sz="0" w:space="0" w:color="auto"/>
            <w:bottom w:val="none" w:sz="0" w:space="0" w:color="auto"/>
            <w:right w:val="none" w:sz="0" w:space="0" w:color="auto"/>
          </w:divBdr>
        </w:div>
        <w:div w:id="1590038151">
          <w:marLeft w:val="640"/>
          <w:marRight w:val="0"/>
          <w:marTop w:val="0"/>
          <w:marBottom w:val="0"/>
          <w:divBdr>
            <w:top w:val="none" w:sz="0" w:space="0" w:color="auto"/>
            <w:left w:val="none" w:sz="0" w:space="0" w:color="auto"/>
            <w:bottom w:val="none" w:sz="0" w:space="0" w:color="auto"/>
            <w:right w:val="none" w:sz="0" w:space="0" w:color="auto"/>
          </w:divBdr>
        </w:div>
        <w:div w:id="1599948283">
          <w:marLeft w:val="640"/>
          <w:marRight w:val="0"/>
          <w:marTop w:val="0"/>
          <w:marBottom w:val="0"/>
          <w:divBdr>
            <w:top w:val="none" w:sz="0" w:space="0" w:color="auto"/>
            <w:left w:val="none" w:sz="0" w:space="0" w:color="auto"/>
            <w:bottom w:val="none" w:sz="0" w:space="0" w:color="auto"/>
            <w:right w:val="none" w:sz="0" w:space="0" w:color="auto"/>
          </w:divBdr>
        </w:div>
        <w:div w:id="1619990258">
          <w:marLeft w:val="640"/>
          <w:marRight w:val="0"/>
          <w:marTop w:val="0"/>
          <w:marBottom w:val="0"/>
          <w:divBdr>
            <w:top w:val="none" w:sz="0" w:space="0" w:color="auto"/>
            <w:left w:val="none" w:sz="0" w:space="0" w:color="auto"/>
            <w:bottom w:val="none" w:sz="0" w:space="0" w:color="auto"/>
            <w:right w:val="none" w:sz="0" w:space="0" w:color="auto"/>
          </w:divBdr>
        </w:div>
        <w:div w:id="1641229136">
          <w:marLeft w:val="640"/>
          <w:marRight w:val="0"/>
          <w:marTop w:val="0"/>
          <w:marBottom w:val="0"/>
          <w:divBdr>
            <w:top w:val="none" w:sz="0" w:space="0" w:color="auto"/>
            <w:left w:val="none" w:sz="0" w:space="0" w:color="auto"/>
            <w:bottom w:val="none" w:sz="0" w:space="0" w:color="auto"/>
            <w:right w:val="none" w:sz="0" w:space="0" w:color="auto"/>
          </w:divBdr>
        </w:div>
        <w:div w:id="1749041088">
          <w:marLeft w:val="640"/>
          <w:marRight w:val="0"/>
          <w:marTop w:val="0"/>
          <w:marBottom w:val="0"/>
          <w:divBdr>
            <w:top w:val="none" w:sz="0" w:space="0" w:color="auto"/>
            <w:left w:val="none" w:sz="0" w:space="0" w:color="auto"/>
            <w:bottom w:val="none" w:sz="0" w:space="0" w:color="auto"/>
            <w:right w:val="none" w:sz="0" w:space="0" w:color="auto"/>
          </w:divBdr>
        </w:div>
        <w:div w:id="1755587030">
          <w:marLeft w:val="640"/>
          <w:marRight w:val="0"/>
          <w:marTop w:val="0"/>
          <w:marBottom w:val="0"/>
          <w:divBdr>
            <w:top w:val="none" w:sz="0" w:space="0" w:color="auto"/>
            <w:left w:val="none" w:sz="0" w:space="0" w:color="auto"/>
            <w:bottom w:val="none" w:sz="0" w:space="0" w:color="auto"/>
            <w:right w:val="none" w:sz="0" w:space="0" w:color="auto"/>
          </w:divBdr>
        </w:div>
        <w:div w:id="1755735598">
          <w:marLeft w:val="640"/>
          <w:marRight w:val="0"/>
          <w:marTop w:val="0"/>
          <w:marBottom w:val="0"/>
          <w:divBdr>
            <w:top w:val="none" w:sz="0" w:space="0" w:color="auto"/>
            <w:left w:val="none" w:sz="0" w:space="0" w:color="auto"/>
            <w:bottom w:val="none" w:sz="0" w:space="0" w:color="auto"/>
            <w:right w:val="none" w:sz="0" w:space="0" w:color="auto"/>
          </w:divBdr>
        </w:div>
        <w:div w:id="1866213302">
          <w:marLeft w:val="640"/>
          <w:marRight w:val="0"/>
          <w:marTop w:val="0"/>
          <w:marBottom w:val="0"/>
          <w:divBdr>
            <w:top w:val="none" w:sz="0" w:space="0" w:color="auto"/>
            <w:left w:val="none" w:sz="0" w:space="0" w:color="auto"/>
            <w:bottom w:val="none" w:sz="0" w:space="0" w:color="auto"/>
            <w:right w:val="none" w:sz="0" w:space="0" w:color="auto"/>
          </w:divBdr>
        </w:div>
        <w:div w:id="1873112872">
          <w:marLeft w:val="640"/>
          <w:marRight w:val="0"/>
          <w:marTop w:val="0"/>
          <w:marBottom w:val="0"/>
          <w:divBdr>
            <w:top w:val="none" w:sz="0" w:space="0" w:color="auto"/>
            <w:left w:val="none" w:sz="0" w:space="0" w:color="auto"/>
            <w:bottom w:val="none" w:sz="0" w:space="0" w:color="auto"/>
            <w:right w:val="none" w:sz="0" w:space="0" w:color="auto"/>
          </w:divBdr>
        </w:div>
        <w:div w:id="1949044766">
          <w:marLeft w:val="640"/>
          <w:marRight w:val="0"/>
          <w:marTop w:val="0"/>
          <w:marBottom w:val="0"/>
          <w:divBdr>
            <w:top w:val="none" w:sz="0" w:space="0" w:color="auto"/>
            <w:left w:val="none" w:sz="0" w:space="0" w:color="auto"/>
            <w:bottom w:val="none" w:sz="0" w:space="0" w:color="auto"/>
            <w:right w:val="none" w:sz="0" w:space="0" w:color="auto"/>
          </w:divBdr>
        </w:div>
        <w:div w:id="1972438496">
          <w:marLeft w:val="640"/>
          <w:marRight w:val="0"/>
          <w:marTop w:val="0"/>
          <w:marBottom w:val="0"/>
          <w:divBdr>
            <w:top w:val="none" w:sz="0" w:space="0" w:color="auto"/>
            <w:left w:val="none" w:sz="0" w:space="0" w:color="auto"/>
            <w:bottom w:val="none" w:sz="0" w:space="0" w:color="auto"/>
            <w:right w:val="none" w:sz="0" w:space="0" w:color="auto"/>
          </w:divBdr>
        </w:div>
        <w:div w:id="1972588830">
          <w:marLeft w:val="640"/>
          <w:marRight w:val="0"/>
          <w:marTop w:val="0"/>
          <w:marBottom w:val="0"/>
          <w:divBdr>
            <w:top w:val="none" w:sz="0" w:space="0" w:color="auto"/>
            <w:left w:val="none" w:sz="0" w:space="0" w:color="auto"/>
            <w:bottom w:val="none" w:sz="0" w:space="0" w:color="auto"/>
            <w:right w:val="none" w:sz="0" w:space="0" w:color="auto"/>
          </w:divBdr>
        </w:div>
        <w:div w:id="2028435533">
          <w:marLeft w:val="640"/>
          <w:marRight w:val="0"/>
          <w:marTop w:val="0"/>
          <w:marBottom w:val="0"/>
          <w:divBdr>
            <w:top w:val="none" w:sz="0" w:space="0" w:color="auto"/>
            <w:left w:val="none" w:sz="0" w:space="0" w:color="auto"/>
            <w:bottom w:val="none" w:sz="0" w:space="0" w:color="auto"/>
            <w:right w:val="none" w:sz="0" w:space="0" w:color="auto"/>
          </w:divBdr>
        </w:div>
        <w:div w:id="2039970441">
          <w:marLeft w:val="640"/>
          <w:marRight w:val="0"/>
          <w:marTop w:val="0"/>
          <w:marBottom w:val="0"/>
          <w:divBdr>
            <w:top w:val="none" w:sz="0" w:space="0" w:color="auto"/>
            <w:left w:val="none" w:sz="0" w:space="0" w:color="auto"/>
            <w:bottom w:val="none" w:sz="0" w:space="0" w:color="auto"/>
            <w:right w:val="none" w:sz="0" w:space="0" w:color="auto"/>
          </w:divBdr>
        </w:div>
        <w:div w:id="2050958230">
          <w:marLeft w:val="640"/>
          <w:marRight w:val="0"/>
          <w:marTop w:val="0"/>
          <w:marBottom w:val="0"/>
          <w:divBdr>
            <w:top w:val="none" w:sz="0" w:space="0" w:color="auto"/>
            <w:left w:val="none" w:sz="0" w:space="0" w:color="auto"/>
            <w:bottom w:val="none" w:sz="0" w:space="0" w:color="auto"/>
            <w:right w:val="none" w:sz="0" w:space="0" w:color="auto"/>
          </w:divBdr>
        </w:div>
        <w:div w:id="2054309462">
          <w:marLeft w:val="640"/>
          <w:marRight w:val="0"/>
          <w:marTop w:val="0"/>
          <w:marBottom w:val="0"/>
          <w:divBdr>
            <w:top w:val="none" w:sz="0" w:space="0" w:color="auto"/>
            <w:left w:val="none" w:sz="0" w:space="0" w:color="auto"/>
            <w:bottom w:val="none" w:sz="0" w:space="0" w:color="auto"/>
            <w:right w:val="none" w:sz="0" w:space="0" w:color="auto"/>
          </w:divBdr>
        </w:div>
        <w:div w:id="2068648894">
          <w:marLeft w:val="640"/>
          <w:marRight w:val="0"/>
          <w:marTop w:val="0"/>
          <w:marBottom w:val="0"/>
          <w:divBdr>
            <w:top w:val="none" w:sz="0" w:space="0" w:color="auto"/>
            <w:left w:val="none" w:sz="0" w:space="0" w:color="auto"/>
            <w:bottom w:val="none" w:sz="0" w:space="0" w:color="auto"/>
            <w:right w:val="none" w:sz="0" w:space="0" w:color="auto"/>
          </w:divBdr>
        </w:div>
        <w:div w:id="2114857555">
          <w:marLeft w:val="640"/>
          <w:marRight w:val="0"/>
          <w:marTop w:val="0"/>
          <w:marBottom w:val="0"/>
          <w:divBdr>
            <w:top w:val="none" w:sz="0" w:space="0" w:color="auto"/>
            <w:left w:val="none" w:sz="0" w:space="0" w:color="auto"/>
            <w:bottom w:val="none" w:sz="0" w:space="0" w:color="auto"/>
            <w:right w:val="none" w:sz="0" w:space="0" w:color="auto"/>
          </w:divBdr>
        </w:div>
        <w:div w:id="2131048570">
          <w:marLeft w:val="640"/>
          <w:marRight w:val="0"/>
          <w:marTop w:val="0"/>
          <w:marBottom w:val="0"/>
          <w:divBdr>
            <w:top w:val="none" w:sz="0" w:space="0" w:color="auto"/>
            <w:left w:val="none" w:sz="0" w:space="0" w:color="auto"/>
            <w:bottom w:val="none" w:sz="0" w:space="0" w:color="auto"/>
            <w:right w:val="none" w:sz="0" w:space="0" w:color="auto"/>
          </w:divBdr>
        </w:div>
      </w:divsChild>
    </w:div>
    <w:div w:id="700741596">
      <w:bodyDiv w:val="1"/>
      <w:marLeft w:val="0"/>
      <w:marRight w:val="0"/>
      <w:marTop w:val="0"/>
      <w:marBottom w:val="0"/>
      <w:divBdr>
        <w:top w:val="none" w:sz="0" w:space="0" w:color="auto"/>
        <w:left w:val="none" w:sz="0" w:space="0" w:color="auto"/>
        <w:bottom w:val="none" w:sz="0" w:space="0" w:color="auto"/>
        <w:right w:val="none" w:sz="0" w:space="0" w:color="auto"/>
      </w:divBdr>
    </w:div>
    <w:div w:id="719865450">
      <w:bodyDiv w:val="1"/>
      <w:marLeft w:val="0"/>
      <w:marRight w:val="0"/>
      <w:marTop w:val="0"/>
      <w:marBottom w:val="0"/>
      <w:divBdr>
        <w:top w:val="none" w:sz="0" w:space="0" w:color="auto"/>
        <w:left w:val="none" w:sz="0" w:space="0" w:color="auto"/>
        <w:bottom w:val="none" w:sz="0" w:space="0" w:color="auto"/>
        <w:right w:val="none" w:sz="0" w:space="0" w:color="auto"/>
      </w:divBdr>
      <w:divsChild>
        <w:div w:id="105780082">
          <w:marLeft w:val="640"/>
          <w:marRight w:val="0"/>
          <w:marTop w:val="0"/>
          <w:marBottom w:val="0"/>
          <w:divBdr>
            <w:top w:val="none" w:sz="0" w:space="0" w:color="auto"/>
            <w:left w:val="none" w:sz="0" w:space="0" w:color="auto"/>
            <w:bottom w:val="none" w:sz="0" w:space="0" w:color="auto"/>
            <w:right w:val="none" w:sz="0" w:space="0" w:color="auto"/>
          </w:divBdr>
        </w:div>
        <w:div w:id="108748432">
          <w:marLeft w:val="640"/>
          <w:marRight w:val="0"/>
          <w:marTop w:val="0"/>
          <w:marBottom w:val="0"/>
          <w:divBdr>
            <w:top w:val="none" w:sz="0" w:space="0" w:color="auto"/>
            <w:left w:val="none" w:sz="0" w:space="0" w:color="auto"/>
            <w:bottom w:val="none" w:sz="0" w:space="0" w:color="auto"/>
            <w:right w:val="none" w:sz="0" w:space="0" w:color="auto"/>
          </w:divBdr>
        </w:div>
        <w:div w:id="114257855">
          <w:marLeft w:val="640"/>
          <w:marRight w:val="0"/>
          <w:marTop w:val="0"/>
          <w:marBottom w:val="0"/>
          <w:divBdr>
            <w:top w:val="none" w:sz="0" w:space="0" w:color="auto"/>
            <w:left w:val="none" w:sz="0" w:space="0" w:color="auto"/>
            <w:bottom w:val="none" w:sz="0" w:space="0" w:color="auto"/>
            <w:right w:val="none" w:sz="0" w:space="0" w:color="auto"/>
          </w:divBdr>
        </w:div>
        <w:div w:id="279847318">
          <w:marLeft w:val="640"/>
          <w:marRight w:val="0"/>
          <w:marTop w:val="0"/>
          <w:marBottom w:val="0"/>
          <w:divBdr>
            <w:top w:val="none" w:sz="0" w:space="0" w:color="auto"/>
            <w:left w:val="none" w:sz="0" w:space="0" w:color="auto"/>
            <w:bottom w:val="none" w:sz="0" w:space="0" w:color="auto"/>
            <w:right w:val="none" w:sz="0" w:space="0" w:color="auto"/>
          </w:divBdr>
        </w:div>
        <w:div w:id="279920473">
          <w:marLeft w:val="640"/>
          <w:marRight w:val="0"/>
          <w:marTop w:val="0"/>
          <w:marBottom w:val="0"/>
          <w:divBdr>
            <w:top w:val="none" w:sz="0" w:space="0" w:color="auto"/>
            <w:left w:val="none" w:sz="0" w:space="0" w:color="auto"/>
            <w:bottom w:val="none" w:sz="0" w:space="0" w:color="auto"/>
            <w:right w:val="none" w:sz="0" w:space="0" w:color="auto"/>
          </w:divBdr>
        </w:div>
        <w:div w:id="355696411">
          <w:marLeft w:val="640"/>
          <w:marRight w:val="0"/>
          <w:marTop w:val="0"/>
          <w:marBottom w:val="0"/>
          <w:divBdr>
            <w:top w:val="none" w:sz="0" w:space="0" w:color="auto"/>
            <w:left w:val="none" w:sz="0" w:space="0" w:color="auto"/>
            <w:bottom w:val="none" w:sz="0" w:space="0" w:color="auto"/>
            <w:right w:val="none" w:sz="0" w:space="0" w:color="auto"/>
          </w:divBdr>
        </w:div>
        <w:div w:id="366176881">
          <w:marLeft w:val="640"/>
          <w:marRight w:val="0"/>
          <w:marTop w:val="0"/>
          <w:marBottom w:val="0"/>
          <w:divBdr>
            <w:top w:val="none" w:sz="0" w:space="0" w:color="auto"/>
            <w:left w:val="none" w:sz="0" w:space="0" w:color="auto"/>
            <w:bottom w:val="none" w:sz="0" w:space="0" w:color="auto"/>
            <w:right w:val="none" w:sz="0" w:space="0" w:color="auto"/>
          </w:divBdr>
        </w:div>
        <w:div w:id="387384212">
          <w:marLeft w:val="640"/>
          <w:marRight w:val="0"/>
          <w:marTop w:val="0"/>
          <w:marBottom w:val="0"/>
          <w:divBdr>
            <w:top w:val="none" w:sz="0" w:space="0" w:color="auto"/>
            <w:left w:val="none" w:sz="0" w:space="0" w:color="auto"/>
            <w:bottom w:val="none" w:sz="0" w:space="0" w:color="auto"/>
            <w:right w:val="none" w:sz="0" w:space="0" w:color="auto"/>
          </w:divBdr>
        </w:div>
        <w:div w:id="417095482">
          <w:marLeft w:val="640"/>
          <w:marRight w:val="0"/>
          <w:marTop w:val="0"/>
          <w:marBottom w:val="0"/>
          <w:divBdr>
            <w:top w:val="none" w:sz="0" w:space="0" w:color="auto"/>
            <w:left w:val="none" w:sz="0" w:space="0" w:color="auto"/>
            <w:bottom w:val="none" w:sz="0" w:space="0" w:color="auto"/>
            <w:right w:val="none" w:sz="0" w:space="0" w:color="auto"/>
          </w:divBdr>
        </w:div>
        <w:div w:id="428161874">
          <w:marLeft w:val="640"/>
          <w:marRight w:val="0"/>
          <w:marTop w:val="0"/>
          <w:marBottom w:val="0"/>
          <w:divBdr>
            <w:top w:val="none" w:sz="0" w:space="0" w:color="auto"/>
            <w:left w:val="none" w:sz="0" w:space="0" w:color="auto"/>
            <w:bottom w:val="none" w:sz="0" w:space="0" w:color="auto"/>
            <w:right w:val="none" w:sz="0" w:space="0" w:color="auto"/>
          </w:divBdr>
        </w:div>
        <w:div w:id="476264290">
          <w:marLeft w:val="640"/>
          <w:marRight w:val="0"/>
          <w:marTop w:val="0"/>
          <w:marBottom w:val="0"/>
          <w:divBdr>
            <w:top w:val="none" w:sz="0" w:space="0" w:color="auto"/>
            <w:left w:val="none" w:sz="0" w:space="0" w:color="auto"/>
            <w:bottom w:val="none" w:sz="0" w:space="0" w:color="auto"/>
            <w:right w:val="none" w:sz="0" w:space="0" w:color="auto"/>
          </w:divBdr>
        </w:div>
        <w:div w:id="485244554">
          <w:marLeft w:val="640"/>
          <w:marRight w:val="0"/>
          <w:marTop w:val="0"/>
          <w:marBottom w:val="0"/>
          <w:divBdr>
            <w:top w:val="none" w:sz="0" w:space="0" w:color="auto"/>
            <w:left w:val="none" w:sz="0" w:space="0" w:color="auto"/>
            <w:bottom w:val="none" w:sz="0" w:space="0" w:color="auto"/>
            <w:right w:val="none" w:sz="0" w:space="0" w:color="auto"/>
          </w:divBdr>
        </w:div>
        <w:div w:id="535773610">
          <w:marLeft w:val="640"/>
          <w:marRight w:val="0"/>
          <w:marTop w:val="0"/>
          <w:marBottom w:val="0"/>
          <w:divBdr>
            <w:top w:val="none" w:sz="0" w:space="0" w:color="auto"/>
            <w:left w:val="none" w:sz="0" w:space="0" w:color="auto"/>
            <w:bottom w:val="none" w:sz="0" w:space="0" w:color="auto"/>
            <w:right w:val="none" w:sz="0" w:space="0" w:color="auto"/>
          </w:divBdr>
        </w:div>
        <w:div w:id="557475915">
          <w:marLeft w:val="640"/>
          <w:marRight w:val="0"/>
          <w:marTop w:val="0"/>
          <w:marBottom w:val="0"/>
          <w:divBdr>
            <w:top w:val="none" w:sz="0" w:space="0" w:color="auto"/>
            <w:left w:val="none" w:sz="0" w:space="0" w:color="auto"/>
            <w:bottom w:val="none" w:sz="0" w:space="0" w:color="auto"/>
            <w:right w:val="none" w:sz="0" w:space="0" w:color="auto"/>
          </w:divBdr>
        </w:div>
        <w:div w:id="592517230">
          <w:marLeft w:val="640"/>
          <w:marRight w:val="0"/>
          <w:marTop w:val="0"/>
          <w:marBottom w:val="0"/>
          <w:divBdr>
            <w:top w:val="none" w:sz="0" w:space="0" w:color="auto"/>
            <w:left w:val="none" w:sz="0" w:space="0" w:color="auto"/>
            <w:bottom w:val="none" w:sz="0" w:space="0" w:color="auto"/>
            <w:right w:val="none" w:sz="0" w:space="0" w:color="auto"/>
          </w:divBdr>
        </w:div>
        <w:div w:id="600261668">
          <w:marLeft w:val="640"/>
          <w:marRight w:val="0"/>
          <w:marTop w:val="0"/>
          <w:marBottom w:val="0"/>
          <w:divBdr>
            <w:top w:val="none" w:sz="0" w:space="0" w:color="auto"/>
            <w:left w:val="none" w:sz="0" w:space="0" w:color="auto"/>
            <w:bottom w:val="none" w:sz="0" w:space="0" w:color="auto"/>
            <w:right w:val="none" w:sz="0" w:space="0" w:color="auto"/>
          </w:divBdr>
        </w:div>
        <w:div w:id="604196943">
          <w:marLeft w:val="640"/>
          <w:marRight w:val="0"/>
          <w:marTop w:val="0"/>
          <w:marBottom w:val="0"/>
          <w:divBdr>
            <w:top w:val="none" w:sz="0" w:space="0" w:color="auto"/>
            <w:left w:val="none" w:sz="0" w:space="0" w:color="auto"/>
            <w:bottom w:val="none" w:sz="0" w:space="0" w:color="auto"/>
            <w:right w:val="none" w:sz="0" w:space="0" w:color="auto"/>
          </w:divBdr>
        </w:div>
        <w:div w:id="651370193">
          <w:marLeft w:val="640"/>
          <w:marRight w:val="0"/>
          <w:marTop w:val="0"/>
          <w:marBottom w:val="0"/>
          <w:divBdr>
            <w:top w:val="none" w:sz="0" w:space="0" w:color="auto"/>
            <w:left w:val="none" w:sz="0" w:space="0" w:color="auto"/>
            <w:bottom w:val="none" w:sz="0" w:space="0" w:color="auto"/>
            <w:right w:val="none" w:sz="0" w:space="0" w:color="auto"/>
          </w:divBdr>
        </w:div>
        <w:div w:id="716050686">
          <w:marLeft w:val="640"/>
          <w:marRight w:val="0"/>
          <w:marTop w:val="0"/>
          <w:marBottom w:val="0"/>
          <w:divBdr>
            <w:top w:val="none" w:sz="0" w:space="0" w:color="auto"/>
            <w:left w:val="none" w:sz="0" w:space="0" w:color="auto"/>
            <w:bottom w:val="none" w:sz="0" w:space="0" w:color="auto"/>
            <w:right w:val="none" w:sz="0" w:space="0" w:color="auto"/>
          </w:divBdr>
        </w:div>
        <w:div w:id="719017818">
          <w:marLeft w:val="640"/>
          <w:marRight w:val="0"/>
          <w:marTop w:val="0"/>
          <w:marBottom w:val="0"/>
          <w:divBdr>
            <w:top w:val="none" w:sz="0" w:space="0" w:color="auto"/>
            <w:left w:val="none" w:sz="0" w:space="0" w:color="auto"/>
            <w:bottom w:val="none" w:sz="0" w:space="0" w:color="auto"/>
            <w:right w:val="none" w:sz="0" w:space="0" w:color="auto"/>
          </w:divBdr>
        </w:div>
        <w:div w:id="721370466">
          <w:marLeft w:val="640"/>
          <w:marRight w:val="0"/>
          <w:marTop w:val="0"/>
          <w:marBottom w:val="0"/>
          <w:divBdr>
            <w:top w:val="none" w:sz="0" w:space="0" w:color="auto"/>
            <w:left w:val="none" w:sz="0" w:space="0" w:color="auto"/>
            <w:bottom w:val="none" w:sz="0" w:space="0" w:color="auto"/>
            <w:right w:val="none" w:sz="0" w:space="0" w:color="auto"/>
          </w:divBdr>
        </w:div>
        <w:div w:id="730814151">
          <w:marLeft w:val="640"/>
          <w:marRight w:val="0"/>
          <w:marTop w:val="0"/>
          <w:marBottom w:val="0"/>
          <w:divBdr>
            <w:top w:val="none" w:sz="0" w:space="0" w:color="auto"/>
            <w:left w:val="none" w:sz="0" w:space="0" w:color="auto"/>
            <w:bottom w:val="none" w:sz="0" w:space="0" w:color="auto"/>
            <w:right w:val="none" w:sz="0" w:space="0" w:color="auto"/>
          </w:divBdr>
        </w:div>
        <w:div w:id="735324060">
          <w:marLeft w:val="640"/>
          <w:marRight w:val="0"/>
          <w:marTop w:val="0"/>
          <w:marBottom w:val="0"/>
          <w:divBdr>
            <w:top w:val="none" w:sz="0" w:space="0" w:color="auto"/>
            <w:left w:val="none" w:sz="0" w:space="0" w:color="auto"/>
            <w:bottom w:val="none" w:sz="0" w:space="0" w:color="auto"/>
            <w:right w:val="none" w:sz="0" w:space="0" w:color="auto"/>
          </w:divBdr>
        </w:div>
        <w:div w:id="786000427">
          <w:marLeft w:val="640"/>
          <w:marRight w:val="0"/>
          <w:marTop w:val="0"/>
          <w:marBottom w:val="0"/>
          <w:divBdr>
            <w:top w:val="none" w:sz="0" w:space="0" w:color="auto"/>
            <w:left w:val="none" w:sz="0" w:space="0" w:color="auto"/>
            <w:bottom w:val="none" w:sz="0" w:space="0" w:color="auto"/>
            <w:right w:val="none" w:sz="0" w:space="0" w:color="auto"/>
          </w:divBdr>
        </w:div>
        <w:div w:id="812406592">
          <w:marLeft w:val="640"/>
          <w:marRight w:val="0"/>
          <w:marTop w:val="0"/>
          <w:marBottom w:val="0"/>
          <w:divBdr>
            <w:top w:val="none" w:sz="0" w:space="0" w:color="auto"/>
            <w:left w:val="none" w:sz="0" w:space="0" w:color="auto"/>
            <w:bottom w:val="none" w:sz="0" w:space="0" w:color="auto"/>
            <w:right w:val="none" w:sz="0" w:space="0" w:color="auto"/>
          </w:divBdr>
        </w:div>
        <w:div w:id="827398911">
          <w:marLeft w:val="640"/>
          <w:marRight w:val="0"/>
          <w:marTop w:val="0"/>
          <w:marBottom w:val="0"/>
          <w:divBdr>
            <w:top w:val="none" w:sz="0" w:space="0" w:color="auto"/>
            <w:left w:val="none" w:sz="0" w:space="0" w:color="auto"/>
            <w:bottom w:val="none" w:sz="0" w:space="0" w:color="auto"/>
            <w:right w:val="none" w:sz="0" w:space="0" w:color="auto"/>
          </w:divBdr>
        </w:div>
        <w:div w:id="842427712">
          <w:marLeft w:val="640"/>
          <w:marRight w:val="0"/>
          <w:marTop w:val="0"/>
          <w:marBottom w:val="0"/>
          <w:divBdr>
            <w:top w:val="none" w:sz="0" w:space="0" w:color="auto"/>
            <w:left w:val="none" w:sz="0" w:space="0" w:color="auto"/>
            <w:bottom w:val="none" w:sz="0" w:space="0" w:color="auto"/>
            <w:right w:val="none" w:sz="0" w:space="0" w:color="auto"/>
          </w:divBdr>
        </w:div>
        <w:div w:id="917178102">
          <w:marLeft w:val="640"/>
          <w:marRight w:val="0"/>
          <w:marTop w:val="0"/>
          <w:marBottom w:val="0"/>
          <w:divBdr>
            <w:top w:val="none" w:sz="0" w:space="0" w:color="auto"/>
            <w:left w:val="none" w:sz="0" w:space="0" w:color="auto"/>
            <w:bottom w:val="none" w:sz="0" w:space="0" w:color="auto"/>
            <w:right w:val="none" w:sz="0" w:space="0" w:color="auto"/>
          </w:divBdr>
        </w:div>
        <w:div w:id="954139246">
          <w:marLeft w:val="640"/>
          <w:marRight w:val="0"/>
          <w:marTop w:val="0"/>
          <w:marBottom w:val="0"/>
          <w:divBdr>
            <w:top w:val="none" w:sz="0" w:space="0" w:color="auto"/>
            <w:left w:val="none" w:sz="0" w:space="0" w:color="auto"/>
            <w:bottom w:val="none" w:sz="0" w:space="0" w:color="auto"/>
            <w:right w:val="none" w:sz="0" w:space="0" w:color="auto"/>
          </w:divBdr>
        </w:div>
        <w:div w:id="983238964">
          <w:marLeft w:val="640"/>
          <w:marRight w:val="0"/>
          <w:marTop w:val="0"/>
          <w:marBottom w:val="0"/>
          <w:divBdr>
            <w:top w:val="none" w:sz="0" w:space="0" w:color="auto"/>
            <w:left w:val="none" w:sz="0" w:space="0" w:color="auto"/>
            <w:bottom w:val="none" w:sz="0" w:space="0" w:color="auto"/>
            <w:right w:val="none" w:sz="0" w:space="0" w:color="auto"/>
          </w:divBdr>
        </w:div>
        <w:div w:id="996492168">
          <w:marLeft w:val="640"/>
          <w:marRight w:val="0"/>
          <w:marTop w:val="0"/>
          <w:marBottom w:val="0"/>
          <w:divBdr>
            <w:top w:val="none" w:sz="0" w:space="0" w:color="auto"/>
            <w:left w:val="none" w:sz="0" w:space="0" w:color="auto"/>
            <w:bottom w:val="none" w:sz="0" w:space="0" w:color="auto"/>
            <w:right w:val="none" w:sz="0" w:space="0" w:color="auto"/>
          </w:divBdr>
        </w:div>
        <w:div w:id="1013147833">
          <w:marLeft w:val="640"/>
          <w:marRight w:val="0"/>
          <w:marTop w:val="0"/>
          <w:marBottom w:val="0"/>
          <w:divBdr>
            <w:top w:val="none" w:sz="0" w:space="0" w:color="auto"/>
            <w:left w:val="none" w:sz="0" w:space="0" w:color="auto"/>
            <w:bottom w:val="none" w:sz="0" w:space="0" w:color="auto"/>
            <w:right w:val="none" w:sz="0" w:space="0" w:color="auto"/>
          </w:divBdr>
        </w:div>
        <w:div w:id="1134834347">
          <w:marLeft w:val="640"/>
          <w:marRight w:val="0"/>
          <w:marTop w:val="0"/>
          <w:marBottom w:val="0"/>
          <w:divBdr>
            <w:top w:val="none" w:sz="0" w:space="0" w:color="auto"/>
            <w:left w:val="none" w:sz="0" w:space="0" w:color="auto"/>
            <w:bottom w:val="none" w:sz="0" w:space="0" w:color="auto"/>
            <w:right w:val="none" w:sz="0" w:space="0" w:color="auto"/>
          </w:divBdr>
        </w:div>
        <w:div w:id="1200974934">
          <w:marLeft w:val="640"/>
          <w:marRight w:val="0"/>
          <w:marTop w:val="0"/>
          <w:marBottom w:val="0"/>
          <w:divBdr>
            <w:top w:val="none" w:sz="0" w:space="0" w:color="auto"/>
            <w:left w:val="none" w:sz="0" w:space="0" w:color="auto"/>
            <w:bottom w:val="none" w:sz="0" w:space="0" w:color="auto"/>
            <w:right w:val="none" w:sz="0" w:space="0" w:color="auto"/>
          </w:divBdr>
        </w:div>
        <w:div w:id="1213229481">
          <w:marLeft w:val="640"/>
          <w:marRight w:val="0"/>
          <w:marTop w:val="0"/>
          <w:marBottom w:val="0"/>
          <w:divBdr>
            <w:top w:val="none" w:sz="0" w:space="0" w:color="auto"/>
            <w:left w:val="none" w:sz="0" w:space="0" w:color="auto"/>
            <w:bottom w:val="none" w:sz="0" w:space="0" w:color="auto"/>
            <w:right w:val="none" w:sz="0" w:space="0" w:color="auto"/>
          </w:divBdr>
        </w:div>
        <w:div w:id="1232548136">
          <w:marLeft w:val="640"/>
          <w:marRight w:val="0"/>
          <w:marTop w:val="0"/>
          <w:marBottom w:val="0"/>
          <w:divBdr>
            <w:top w:val="none" w:sz="0" w:space="0" w:color="auto"/>
            <w:left w:val="none" w:sz="0" w:space="0" w:color="auto"/>
            <w:bottom w:val="none" w:sz="0" w:space="0" w:color="auto"/>
            <w:right w:val="none" w:sz="0" w:space="0" w:color="auto"/>
          </w:divBdr>
        </w:div>
        <w:div w:id="1270508228">
          <w:marLeft w:val="640"/>
          <w:marRight w:val="0"/>
          <w:marTop w:val="0"/>
          <w:marBottom w:val="0"/>
          <w:divBdr>
            <w:top w:val="none" w:sz="0" w:space="0" w:color="auto"/>
            <w:left w:val="none" w:sz="0" w:space="0" w:color="auto"/>
            <w:bottom w:val="none" w:sz="0" w:space="0" w:color="auto"/>
            <w:right w:val="none" w:sz="0" w:space="0" w:color="auto"/>
          </w:divBdr>
        </w:div>
        <w:div w:id="1277062695">
          <w:marLeft w:val="640"/>
          <w:marRight w:val="0"/>
          <w:marTop w:val="0"/>
          <w:marBottom w:val="0"/>
          <w:divBdr>
            <w:top w:val="none" w:sz="0" w:space="0" w:color="auto"/>
            <w:left w:val="none" w:sz="0" w:space="0" w:color="auto"/>
            <w:bottom w:val="none" w:sz="0" w:space="0" w:color="auto"/>
            <w:right w:val="none" w:sz="0" w:space="0" w:color="auto"/>
          </w:divBdr>
        </w:div>
        <w:div w:id="1306350539">
          <w:marLeft w:val="640"/>
          <w:marRight w:val="0"/>
          <w:marTop w:val="0"/>
          <w:marBottom w:val="0"/>
          <w:divBdr>
            <w:top w:val="none" w:sz="0" w:space="0" w:color="auto"/>
            <w:left w:val="none" w:sz="0" w:space="0" w:color="auto"/>
            <w:bottom w:val="none" w:sz="0" w:space="0" w:color="auto"/>
            <w:right w:val="none" w:sz="0" w:space="0" w:color="auto"/>
          </w:divBdr>
        </w:div>
        <w:div w:id="1312517625">
          <w:marLeft w:val="640"/>
          <w:marRight w:val="0"/>
          <w:marTop w:val="0"/>
          <w:marBottom w:val="0"/>
          <w:divBdr>
            <w:top w:val="none" w:sz="0" w:space="0" w:color="auto"/>
            <w:left w:val="none" w:sz="0" w:space="0" w:color="auto"/>
            <w:bottom w:val="none" w:sz="0" w:space="0" w:color="auto"/>
            <w:right w:val="none" w:sz="0" w:space="0" w:color="auto"/>
          </w:divBdr>
        </w:div>
        <w:div w:id="1315379723">
          <w:marLeft w:val="640"/>
          <w:marRight w:val="0"/>
          <w:marTop w:val="0"/>
          <w:marBottom w:val="0"/>
          <w:divBdr>
            <w:top w:val="none" w:sz="0" w:space="0" w:color="auto"/>
            <w:left w:val="none" w:sz="0" w:space="0" w:color="auto"/>
            <w:bottom w:val="none" w:sz="0" w:space="0" w:color="auto"/>
            <w:right w:val="none" w:sz="0" w:space="0" w:color="auto"/>
          </w:divBdr>
        </w:div>
        <w:div w:id="1320769941">
          <w:marLeft w:val="640"/>
          <w:marRight w:val="0"/>
          <w:marTop w:val="0"/>
          <w:marBottom w:val="0"/>
          <w:divBdr>
            <w:top w:val="none" w:sz="0" w:space="0" w:color="auto"/>
            <w:left w:val="none" w:sz="0" w:space="0" w:color="auto"/>
            <w:bottom w:val="none" w:sz="0" w:space="0" w:color="auto"/>
            <w:right w:val="none" w:sz="0" w:space="0" w:color="auto"/>
          </w:divBdr>
        </w:div>
        <w:div w:id="1347557668">
          <w:marLeft w:val="640"/>
          <w:marRight w:val="0"/>
          <w:marTop w:val="0"/>
          <w:marBottom w:val="0"/>
          <w:divBdr>
            <w:top w:val="none" w:sz="0" w:space="0" w:color="auto"/>
            <w:left w:val="none" w:sz="0" w:space="0" w:color="auto"/>
            <w:bottom w:val="none" w:sz="0" w:space="0" w:color="auto"/>
            <w:right w:val="none" w:sz="0" w:space="0" w:color="auto"/>
          </w:divBdr>
        </w:div>
        <w:div w:id="1354571836">
          <w:marLeft w:val="640"/>
          <w:marRight w:val="0"/>
          <w:marTop w:val="0"/>
          <w:marBottom w:val="0"/>
          <w:divBdr>
            <w:top w:val="none" w:sz="0" w:space="0" w:color="auto"/>
            <w:left w:val="none" w:sz="0" w:space="0" w:color="auto"/>
            <w:bottom w:val="none" w:sz="0" w:space="0" w:color="auto"/>
            <w:right w:val="none" w:sz="0" w:space="0" w:color="auto"/>
          </w:divBdr>
        </w:div>
        <w:div w:id="1357385374">
          <w:marLeft w:val="640"/>
          <w:marRight w:val="0"/>
          <w:marTop w:val="0"/>
          <w:marBottom w:val="0"/>
          <w:divBdr>
            <w:top w:val="none" w:sz="0" w:space="0" w:color="auto"/>
            <w:left w:val="none" w:sz="0" w:space="0" w:color="auto"/>
            <w:bottom w:val="none" w:sz="0" w:space="0" w:color="auto"/>
            <w:right w:val="none" w:sz="0" w:space="0" w:color="auto"/>
          </w:divBdr>
        </w:div>
        <w:div w:id="1358316202">
          <w:marLeft w:val="640"/>
          <w:marRight w:val="0"/>
          <w:marTop w:val="0"/>
          <w:marBottom w:val="0"/>
          <w:divBdr>
            <w:top w:val="none" w:sz="0" w:space="0" w:color="auto"/>
            <w:left w:val="none" w:sz="0" w:space="0" w:color="auto"/>
            <w:bottom w:val="none" w:sz="0" w:space="0" w:color="auto"/>
            <w:right w:val="none" w:sz="0" w:space="0" w:color="auto"/>
          </w:divBdr>
        </w:div>
        <w:div w:id="1408960183">
          <w:marLeft w:val="640"/>
          <w:marRight w:val="0"/>
          <w:marTop w:val="0"/>
          <w:marBottom w:val="0"/>
          <w:divBdr>
            <w:top w:val="none" w:sz="0" w:space="0" w:color="auto"/>
            <w:left w:val="none" w:sz="0" w:space="0" w:color="auto"/>
            <w:bottom w:val="none" w:sz="0" w:space="0" w:color="auto"/>
            <w:right w:val="none" w:sz="0" w:space="0" w:color="auto"/>
          </w:divBdr>
        </w:div>
        <w:div w:id="1448888298">
          <w:marLeft w:val="640"/>
          <w:marRight w:val="0"/>
          <w:marTop w:val="0"/>
          <w:marBottom w:val="0"/>
          <w:divBdr>
            <w:top w:val="none" w:sz="0" w:space="0" w:color="auto"/>
            <w:left w:val="none" w:sz="0" w:space="0" w:color="auto"/>
            <w:bottom w:val="none" w:sz="0" w:space="0" w:color="auto"/>
            <w:right w:val="none" w:sz="0" w:space="0" w:color="auto"/>
          </w:divBdr>
        </w:div>
        <w:div w:id="1467317726">
          <w:marLeft w:val="640"/>
          <w:marRight w:val="0"/>
          <w:marTop w:val="0"/>
          <w:marBottom w:val="0"/>
          <w:divBdr>
            <w:top w:val="none" w:sz="0" w:space="0" w:color="auto"/>
            <w:left w:val="none" w:sz="0" w:space="0" w:color="auto"/>
            <w:bottom w:val="none" w:sz="0" w:space="0" w:color="auto"/>
            <w:right w:val="none" w:sz="0" w:space="0" w:color="auto"/>
          </w:divBdr>
        </w:div>
        <w:div w:id="1499343928">
          <w:marLeft w:val="640"/>
          <w:marRight w:val="0"/>
          <w:marTop w:val="0"/>
          <w:marBottom w:val="0"/>
          <w:divBdr>
            <w:top w:val="none" w:sz="0" w:space="0" w:color="auto"/>
            <w:left w:val="none" w:sz="0" w:space="0" w:color="auto"/>
            <w:bottom w:val="none" w:sz="0" w:space="0" w:color="auto"/>
            <w:right w:val="none" w:sz="0" w:space="0" w:color="auto"/>
          </w:divBdr>
        </w:div>
        <w:div w:id="1553152267">
          <w:marLeft w:val="640"/>
          <w:marRight w:val="0"/>
          <w:marTop w:val="0"/>
          <w:marBottom w:val="0"/>
          <w:divBdr>
            <w:top w:val="none" w:sz="0" w:space="0" w:color="auto"/>
            <w:left w:val="none" w:sz="0" w:space="0" w:color="auto"/>
            <w:bottom w:val="none" w:sz="0" w:space="0" w:color="auto"/>
            <w:right w:val="none" w:sz="0" w:space="0" w:color="auto"/>
          </w:divBdr>
        </w:div>
        <w:div w:id="1574583908">
          <w:marLeft w:val="640"/>
          <w:marRight w:val="0"/>
          <w:marTop w:val="0"/>
          <w:marBottom w:val="0"/>
          <w:divBdr>
            <w:top w:val="none" w:sz="0" w:space="0" w:color="auto"/>
            <w:left w:val="none" w:sz="0" w:space="0" w:color="auto"/>
            <w:bottom w:val="none" w:sz="0" w:space="0" w:color="auto"/>
            <w:right w:val="none" w:sz="0" w:space="0" w:color="auto"/>
          </w:divBdr>
        </w:div>
        <w:div w:id="1612861055">
          <w:marLeft w:val="640"/>
          <w:marRight w:val="0"/>
          <w:marTop w:val="0"/>
          <w:marBottom w:val="0"/>
          <w:divBdr>
            <w:top w:val="none" w:sz="0" w:space="0" w:color="auto"/>
            <w:left w:val="none" w:sz="0" w:space="0" w:color="auto"/>
            <w:bottom w:val="none" w:sz="0" w:space="0" w:color="auto"/>
            <w:right w:val="none" w:sz="0" w:space="0" w:color="auto"/>
          </w:divBdr>
        </w:div>
        <w:div w:id="1656839852">
          <w:marLeft w:val="640"/>
          <w:marRight w:val="0"/>
          <w:marTop w:val="0"/>
          <w:marBottom w:val="0"/>
          <w:divBdr>
            <w:top w:val="none" w:sz="0" w:space="0" w:color="auto"/>
            <w:left w:val="none" w:sz="0" w:space="0" w:color="auto"/>
            <w:bottom w:val="none" w:sz="0" w:space="0" w:color="auto"/>
            <w:right w:val="none" w:sz="0" w:space="0" w:color="auto"/>
          </w:divBdr>
        </w:div>
        <w:div w:id="1745951183">
          <w:marLeft w:val="640"/>
          <w:marRight w:val="0"/>
          <w:marTop w:val="0"/>
          <w:marBottom w:val="0"/>
          <w:divBdr>
            <w:top w:val="none" w:sz="0" w:space="0" w:color="auto"/>
            <w:left w:val="none" w:sz="0" w:space="0" w:color="auto"/>
            <w:bottom w:val="none" w:sz="0" w:space="0" w:color="auto"/>
            <w:right w:val="none" w:sz="0" w:space="0" w:color="auto"/>
          </w:divBdr>
        </w:div>
        <w:div w:id="1761825987">
          <w:marLeft w:val="640"/>
          <w:marRight w:val="0"/>
          <w:marTop w:val="0"/>
          <w:marBottom w:val="0"/>
          <w:divBdr>
            <w:top w:val="none" w:sz="0" w:space="0" w:color="auto"/>
            <w:left w:val="none" w:sz="0" w:space="0" w:color="auto"/>
            <w:bottom w:val="none" w:sz="0" w:space="0" w:color="auto"/>
            <w:right w:val="none" w:sz="0" w:space="0" w:color="auto"/>
          </w:divBdr>
        </w:div>
        <w:div w:id="1832870956">
          <w:marLeft w:val="640"/>
          <w:marRight w:val="0"/>
          <w:marTop w:val="0"/>
          <w:marBottom w:val="0"/>
          <w:divBdr>
            <w:top w:val="none" w:sz="0" w:space="0" w:color="auto"/>
            <w:left w:val="none" w:sz="0" w:space="0" w:color="auto"/>
            <w:bottom w:val="none" w:sz="0" w:space="0" w:color="auto"/>
            <w:right w:val="none" w:sz="0" w:space="0" w:color="auto"/>
          </w:divBdr>
        </w:div>
        <w:div w:id="1834223632">
          <w:marLeft w:val="640"/>
          <w:marRight w:val="0"/>
          <w:marTop w:val="0"/>
          <w:marBottom w:val="0"/>
          <w:divBdr>
            <w:top w:val="none" w:sz="0" w:space="0" w:color="auto"/>
            <w:left w:val="none" w:sz="0" w:space="0" w:color="auto"/>
            <w:bottom w:val="none" w:sz="0" w:space="0" w:color="auto"/>
            <w:right w:val="none" w:sz="0" w:space="0" w:color="auto"/>
          </w:divBdr>
        </w:div>
        <w:div w:id="1846629823">
          <w:marLeft w:val="640"/>
          <w:marRight w:val="0"/>
          <w:marTop w:val="0"/>
          <w:marBottom w:val="0"/>
          <w:divBdr>
            <w:top w:val="none" w:sz="0" w:space="0" w:color="auto"/>
            <w:left w:val="none" w:sz="0" w:space="0" w:color="auto"/>
            <w:bottom w:val="none" w:sz="0" w:space="0" w:color="auto"/>
            <w:right w:val="none" w:sz="0" w:space="0" w:color="auto"/>
          </w:divBdr>
        </w:div>
        <w:div w:id="1875538832">
          <w:marLeft w:val="640"/>
          <w:marRight w:val="0"/>
          <w:marTop w:val="0"/>
          <w:marBottom w:val="0"/>
          <w:divBdr>
            <w:top w:val="none" w:sz="0" w:space="0" w:color="auto"/>
            <w:left w:val="none" w:sz="0" w:space="0" w:color="auto"/>
            <w:bottom w:val="none" w:sz="0" w:space="0" w:color="auto"/>
            <w:right w:val="none" w:sz="0" w:space="0" w:color="auto"/>
          </w:divBdr>
        </w:div>
        <w:div w:id="1908880529">
          <w:marLeft w:val="640"/>
          <w:marRight w:val="0"/>
          <w:marTop w:val="0"/>
          <w:marBottom w:val="0"/>
          <w:divBdr>
            <w:top w:val="none" w:sz="0" w:space="0" w:color="auto"/>
            <w:left w:val="none" w:sz="0" w:space="0" w:color="auto"/>
            <w:bottom w:val="none" w:sz="0" w:space="0" w:color="auto"/>
            <w:right w:val="none" w:sz="0" w:space="0" w:color="auto"/>
          </w:divBdr>
        </w:div>
        <w:div w:id="1976911327">
          <w:marLeft w:val="640"/>
          <w:marRight w:val="0"/>
          <w:marTop w:val="0"/>
          <w:marBottom w:val="0"/>
          <w:divBdr>
            <w:top w:val="none" w:sz="0" w:space="0" w:color="auto"/>
            <w:left w:val="none" w:sz="0" w:space="0" w:color="auto"/>
            <w:bottom w:val="none" w:sz="0" w:space="0" w:color="auto"/>
            <w:right w:val="none" w:sz="0" w:space="0" w:color="auto"/>
          </w:divBdr>
        </w:div>
        <w:div w:id="1984312340">
          <w:marLeft w:val="640"/>
          <w:marRight w:val="0"/>
          <w:marTop w:val="0"/>
          <w:marBottom w:val="0"/>
          <w:divBdr>
            <w:top w:val="none" w:sz="0" w:space="0" w:color="auto"/>
            <w:left w:val="none" w:sz="0" w:space="0" w:color="auto"/>
            <w:bottom w:val="none" w:sz="0" w:space="0" w:color="auto"/>
            <w:right w:val="none" w:sz="0" w:space="0" w:color="auto"/>
          </w:divBdr>
        </w:div>
        <w:div w:id="2093040756">
          <w:marLeft w:val="640"/>
          <w:marRight w:val="0"/>
          <w:marTop w:val="0"/>
          <w:marBottom w:val="0"/>
          <w:divBdr>
            <w:top w:val="none" w:sz="0" w:space="0" w:color="auto"/>
            <w:left w:val="none" w:sz="0" w:space="0" w:color="auto"/>
            <w:bottom w:val="none" w:sz="0" w:space="0" w:color="auto"/>
            <w:right w:val="none" w:sz="0" w:space="0" w:color="auto"/>
          </w:divBdr>
        </w:div>
        <w:div w:id="2117171934">
          <w:marLeft w:val="640"/>
          <w:marRight w:val="0"/>
          <w:marTop w:val="0"/>
          <w:marBottom w:val="0"/>
          <w:divBdr>
            <w:top w:val="none" w:sz="0" w:space="0" w:color="auto"/>
            <w:left w:val="none" w:sz="0" w:space="0" w:color="auto"/>
            <w:bottom w:val="none" w:sz="0" w:space="0" w:color="auto"/>
            <w:right w:val="none" w:sz="0" w:space="0" w:color="auto"/>
          </w:divBdr>
        </w:div>
        <w:div w:id="2145852753">
          <w:marLeft w:val="640"/>
          <w:marRight w:val="0"/>
          <w:marTop w:val="0"/>
          <w:marBottom w:val="0"/>
          <w:divBdr>
            <w:top w:val="none" w:sz="0" w:space="0" w:color="auto"/>
            <w:left w:val="none" w:sz="0" w:space="0" w:color="auto"/>
            <w:bottom w:val="none" w:sz="0" w:space="0" w:color="auto"/>
            <w:right w:val="none" w:sz="0" w:space="0" w:color="auto"/>
          </w:divBdr>
        </w:div>
      </w:divsChild>
    </w:div>
    <w:div w:id="747073929">
      <w:bodyDiv w:val="1"/>
      <w:marLeft w:val="0"/>
      <w:marRight w:val="0"/>
      <w:marTop w:val="0"/>
      <w:marBottom w:val="0"/>
      <w:divBdr>
        <w:top w:val="none" w:sz="0" w:space="0" w:color="auto"/>
        <w:left w:val="none" w:sz="0" w:space="0" w:color="auto"/>
        <w:bottom w:val="none" w:sz="0" w:space="0" w:color="auto"/>
        <w:right w:val="none" w:sz="0" w:space="0" w:color="auto"/>
      </w:divBdr>
      <w:divsChild>
        <w:div w:id="1021711191">
          <w:marLeft w:val="480"/>
          <w:marRight w:val="0"/>
          <w:marTop w:val="0"/>
          <w:marBottom w:val="0"/>
          <w:divBdr>
            <w:top w:val="none" w:sz="0" w:space="0" w:color="auto"/>
            <w:left w:val="none" w:sz="0" w:space="0" w:color="auto"/>
            <w:bottom w:val="none" w:sz="0" w:space="0" w:color="auto"/>
            <w:right w:val="none" w:sz="0" w:space="0" w:color="auto"/>
          </w:divBdr>
        </w:div>
        <w:div w:id="195511360">
          <w:marLeft w:val="480"/>
          <w:marRight w:val="0"/>
          <w:marTop w:val="0"/>
          <w:marBottom w:val="0"/>
          <w:divBdr>
            <w:top w:val="none" w:sz="0" w:space="0" w:color="auto"/>
            <w:left w:val="none" w:sz="0" w:space="0" w:color="auto"/>
            <w:bottom w:val="none" w:sz="0" w:space="0" w:color="auto"/>
            <w:right w:val="none" w:sz="0" w:space="0" w:color="auto"/>
          </w:divBdr>
        </w:div>
        <w:div w:id="1468670582">
          <w:marLeft w:val="480"/>
          <w:marRight w:val="0"/>
          <w:marTop w:val="0"/>
          <w:marBottom w:val="0"/>
          <w:divBdr>
            <w:top w:val="none" w:sz="0" w:space="0" w:color="auto"/>
            <w:left w:val="none" w:sz="0" w:space="0" w:color="auto"/>
            <w:bottom w:val="none" w:sz="0" w:space="0" w:color="auto"/>
            <w:right w:val="none" w:sz="0" w:space="0" w:color="auto"/>
          </w:divBdr>
        </w:div>
        <w:div w:id="584728966">
          <w:marLeft w:val="480"/>
          <w:marRight w:val="0"/>
          <w:marTop w:val="0"/>
          <w:marBottom w:val="0"/>
          <w:divBdr>
            <w:top w:val="none" w:sz="0" w:space="0" w:color="auto"/>
            <w:left w:val="none" w:sz="0" w:space="0" w:color="auto"/>
            <w:bottom w:val="none" w:sz="0" w:space="0" w:color="auto"/>
            <w:right w:val="none" w:sz="0" w:space="0" w:color="auto"/>
          </w:divBdr>
        </w:div>
        <w:div w:id="1086148651">
          <w:marLeft w:val="480"/>
          <w:marRight w:val="0"/>
          <w:marTop w:val="0"/>
          <w:marBottom w:val="0"/>
          <w:divBdr>
            <w:top w:val="none" w:sz="0" w:space="0" w:color="auto"/>
            <w:left w:val="none" w:sz="0" w:space="0" w:color="auto"/>
            <w:bottom w:val="none" w:sz="0" w:space="0" w:color="auto"/>
            <w:right w:val="none" w:sz="0" w:space="0" w:color="auto"/>
          </w:divBdr>
        </w:div>
        <w:div w:id="476652689">
          <w:marLeft w:val="480"/>
          <w:marRight w:val="0"/>
          <w:marTop w:val="0"/>
          <w:marBottom w:val="0"/>
          <w:divBdr>
            <w:top w:val="none" w:sz="0" w:space="0" w:color="auto"/>
            <w:left w:val="none" w:sz="0" w:space="0" w:color="auto"/>
            <w:bottom w:val="none" w:sz="0" w:space="0" w:color="auto"/>
            <w:right w:val="none" w:sz="0" w:space="0" w:color="auto"/>
          </w:divBdr>
        </w:div>
        <w:div w:id="1534460472">
          <w:marLeft w:val="480"/>
          <w:marRight w:val="0"/>
          <w:marTop w:val="0"/>
          <w:marBottom w:val="0"/>
          <w:divBdr>
            <w:top w:val="none" w:sz="0" w:space="0" w:color="auto"/>
            <w:left w:val="none" w:sz="0" w:space="0" w:color="auto"/>
            <w:bottom w:val="none" w:sz="0" w:space="0" w:color="auto"/>
            <w:right w:val="none" w:sz="0" w:space="0" w:color="auto"/>
          </w:divBdr>
        </w:div>
        <w:div w:id="779225410">
          <w:marLeft w:val="480"/>
          <w:marRight w:val="0"/>
          <w:marTop w:val="0"/>
          <w:marBottom w:val="0"/>
          <w:divBdr>
            <w:top w:val="none" w:sz="0" w:space="0" w:color="auto"/>
            <w:left w:val="none" w:sz="0" w:space="0" w:color="auto"/>
            <w:bottom w:val="none" w:sz="0" w:space="0" w:color="auto"/>
            <w:right w:val="none" w:sz="0" w:space="0" w:color="auto"/>
          </w:divBdr>
        </w:div>
      </w:divsChild>
    </w:div>
    <w:div w:id="748621546">
      <w:bodyDiv w:val="1"/>
      <w:marLeft w:val="0"/>
      <w:marRight w:val="0"/>
      <w:marTop w:val="0"/>
      <w:marBottom w:val="0"/>
      <w:divBdr>
        <w:top w:val="none" w:sz="0" w:space="0" w:color="auto"/>
        <w:left w:val="none" w:sz="0" w:space="0" w:color="auto"/>
        <w:bottom w:val="none" w:sz="0" w:space="0" w:color="auto"/>
        <w:right w:val="none" w:sz="0" w:space="0" w:color="auto"/>
      </w:divBdr>
    </w:div>
    <w:div w:id="767695359">
      <w:bodyDiv w:val="1"/>
      <w:marLeft w:val="0"/>
      <w:marRight w:val="0"/>
      <w:marTop w:val="0"/>
      <w:marBottom w:val="0"/>
      <w:divBdr>
        <w:top w:val="none" w:sz="0" w:space="0" w:color="auto"/>
        <w:left w:val="none" w:sz="0" w:space="0" w:color="auto"/>
        <w:bottom w:val="none" w:sz="0" w:space="0" w:color="auto"/>
        <w:right w:val="none" w:sz="0" w:space="0" w:color="auto"/>
      </w:divBdr>
    </w:div>
    <w:div w:id="769862530">
      <w:bodyDiv w:val="1"/>
      <w:marLeft w:val="0"/>
      <w:marRight w:val="0"/>
      <w:marTop w:val="0"/>
      <w:marBottom w:val="0"/>
      <w:divBdr>
        <w:top w:val="none" w:sz="0" w:space="0" w:color="auto"/>
        <w:left w:val="none" w:sz="0" w:space="0" w:color="auto"/>
        <w:bottom w:val="none" w:sz="0" w:space="0" w:color="auto"/>
        <w:right w:val="none" w:sz="0" w:space="0" w:color="auto"/>
      </w:divBdr>
      <w:divsChild>
        <w:div w:id="430005185">
          <w:marLeft w:val="480"/>
          <w:marRight w:val="0"/>
          <w:marTop w:val="0"/>
          <w:marBottom w:val="0"/>
          <w:divBdr>
            <w:top w:val="none" w:sz="0" w:space="0" w:color="auto"/>
            <w:left w:val="none" w:sz="0" w:space="0" w:color="auto"/>
            <w:bottom w:val="none" w:sz="0" w:space="0" w:color="auto"/>
            <w:right w:val="none" w:sz="0" w:space="0" w:color="auto"/>
          </w:divBdr>
        </w:div>
        <w:div w:id="420416827">
          <w:marLeft w:val="480"/>
          <w:marRight w:val="0"/>
          <w:marTop w:val="0"/>
          <w:marBottom w:val="0"/>
          <w:divBdr>
            <w:top w:val="none" w:sz="0" w:space="0" w:color="auto"/>
            <w:left w:val="none" w:sz="0" w:space="0" w:color="auto"/>
            <w:bottom w:val="none" w:sz="0" w:space="0" w:color="auto"/>
            <w:right w:val="none" w:sz="0" w:space="0" w:color="auto"/>
          </w:divBdr>
        </w:div>
      </w:divsChild>
    </w:div>
    <w:div w:id="807210005">
      <w:bodyDiv w:val="1"/>
      <w:marLeft w:val="0"/>
      <w:marRight w:val="0"/>
      <w:marTop w:val="0"/>
      <w:marBottom w:val="0"/>
      <w:divBdr>
        <w:top w:val="none" w:sz="0" w:space="0" w:color="auto"/>
        <w:left w:val="none" w:sz="0" w:space="0" w:color="auto"/>
        <w:bottom w:val="none" w:sz="0" w:space="0" w:color="auto"/>
        <w:right w:val="none" w:sz="0" w:space="0" w:color="auto"/>
      </w:divBdr>
      <w:divsChild>
        <w:div w:id="1855263164">
          <w:marLeft w:val="480"/>
          <w:marRight w:val="0"/>
          <w:marTop w:val="0"/>
          <w:marBottom w:val="0"/>
          <w:divBdr>
            <w:top w:val="none" w:sz="0" w:space="0" w:color="auto"/>
            <w:left w:val="none" w:sz="0" w:space="0" w:color="auto"/>
            <w:bottom w:val="none" w:sz="0" w:space="0" w:color="auto"/>
            <w:right w:val="none" w:sz="0" w:space="0" w:color="auto"/>
          </w:divBdr>
        </w:div>
        <w:div w:id="1692755418">
          <w:marLeft w:val="480"/>
          <w:marRight w:val="0"/>
          <w:marTop w:val="0"/>
          <w:marBottom w:val="0"/>
          <w:divBdr>
            <w:top w:val="none" w:sz="0" w:space="0" w:color="auto"/>
            <w:left w:val="none" w:sz="0" w:space="0" w:color="auto"/>
            <w:bottom w:val="none" w:sz="0" w:space="0" w:color="auto"/>
            <w:right w:val="none" w:sz="0" w:space="0" w:color="auto"/>
          </w:divBdr>
        </w:div>
        <w:div w:id="147989546">
          <w:marLeft w:val="480"/>
          <w:marRight w:val="0"/>
          <w:marTop w:val="0"/>
          <w:marBottom w:val="0"/>
          <w:divBdr>
            <w:top w:val="none" w:sz="0" w:space="0" w:color="auto"/>
            <w:left w:val="none" w:sz="0" w:space="0" w:color="auto"/>
            <w:bottom w:val="none" w:sz="0" w:space="0" w:color="auto"/>
            <w:right w:val="none" w:sz="0" w:space="0" w:color="auto"/>
          </w:divBdr>
        </w:div>
        <w:div w:id="1905990653">
          <w:marLeft w:val="480"/>
          <w:marRight w:val="0"/>
          <w:marTop w:val="0"/>
          <w:marBottom w:val="0"/>
          <w:divBdr>
            <w:top w:val="none" w:sz="0" w:space="0" w:color="auto"/>
            <w:left w:val="none" w:sz="0" w:space="0" w:color="auto"/>
            <w:bottom w:val="none" w:sz="0" w:space="0" w:color="auto"/>
            <w:right w:val="none" w:sz="0" w:space="0" w:color="auto"/>
          </w:divBdr>
        </w:div>
        <w:div w:id="1111053956">
          <w:marLeft w:val="480"/>
          <w:marRight w:val="0"/>
          <w:marTop w:val="0"/>
          <w:marBottom w:val="0"/>
          <w:divBdr>
            <w:top w:val="none" w:sz="0" w:space="0" w:color="auto"/>
            <w:left w:val="none" w:sz="0" w:space="0" w:color="auto"/>
            <w:bottom w:val="none" w:sz="0" w:space="0" w:color="auto"/>
            <w:right w:val="none" w:sz="0" w:space="0" w:color="auto"/>
          </w:divBdr>
        </w:div>
      </w:divsChild>
    </w:div>
    <w:div w:id="819074254">
      <w:bodyDiv w:val="1"/>
      <w:marLeft w:val="0"/>
      <w:marRight w:val="0"/>
      <w:marTop w:val="0"/>
      <w:marBottom w:val="0"/>
      <w:divBdr>
        <w:top w:val="none" w:sz="0" w:space="0" w:color="auto"/>
        <w:left w:val="none" w:sz="0" w:space="0" w:color="auto"/>
        <w:bottom w:val="none" w:sz="0" w:space="0" w:color="auto"/>
        <w:right w:val="none" w:sz="0" w:space="0" w:color="auto"/>
      </w:divBdr>
    </w:div>
    <w:div w:id="820344277">
      <w:bodyDiv w:val="1"/>
      <w:marLeft w:val="0"/>
      <w:marRight w:val="0"/>
      <w:marTop w:val="0"/>
      <w:marBottom w:val="0"/>
      <w:divBdr>
        <w:top w:val="none" w:sz="0" w:space="0" w:color="auto"/>
        <w:left w:val="none" w:sz="0" w:space="0" w:color="auto"/>
        <w:bottom w:val="none" w:sz="0" w:space="0" w:color="auto"/>
        <w:right w:val="none" w:sz="0" w:space="0" w:color="auto"/>
      </w:divBdr>
      <w:divsChild>
        <w:div w:id="2056656327">
          <w:marLeft w:val="480"/>
          <w:marRight w:val="0"/>
          <w:marTop w:val="0"/>
          <w:marBottom w:val="0"/>
          <w:divBdr>
            <w:top w:val="none" w:sz="0" w:space="0" w:color="auto"/>
            <w:left w:val="none" w:sz="0" w:space="0" w:color="auto"/>
            <w:bottom w:val="none" w:sz="0" w:space="0" w:color="auto"/>
            <w:right w:val="none" w:sz="0" w:space="0" w:color="auto"/>
          </w:divBdr>
        </w:div>
        <w:div w:id="54669845">
          <w:marLeft w:val="480"/>
          <w:marRight w:val="0"/>
          <w:marTop w:val="0"/>
          <w:marBottom w:val="0"/>
          <w:divBdr>
            <w:top w:val="none" w:sz="0" w:space="0" w:color="auto"/>
            <w:left w:val="none" w:sz="0" w:space="0" w:color="auto"/>
            <w:bottom w:val="none" w:sz="0" w:space="0" w:color="auto"/>
            <w:right w:val="none" w:sz="0" w:space="0" w:color="auto"/>
          </w:divBdr>
        </w:div>
        <w:div w:id="1612979719">
          <w:marLeft w:val="480"/>
          <w:marRight w:val="0"/>
          <w:marTop w:val="0"/>
          <w:marBottom w:val="0"/>
          <w:divBdr>
            <w:top w:val="none" w:sz="0" w:space="0" w:color="auto"/>
            <w:left w:val="none" w:sz="0" w:space="0" w:color="auto"/>
            <w:bottom w:val="none" w:sz="0" w:space="0" w:color="auto"/>
            <w:right w:val="none" w:sz="0" w:space="0" w:color="auto"/>
          </w:divBdr>
        </w:div>
        <w:div w:id="1991444077">
          <w:marLeft w:val="480"/>
          <w:marRight w:val="0"/>
          <w:marTop w:val="0"/>
          <w:marBottom w:val="0"/>
          <w:divBdr>
            <w:top w:val="none" w:sz="0" w:space="0" w:color="auto"/>
            <w:left w:val="none" w:sz="0" w:space="0" w:color="auto"/>
            <w:bottom w:val="none" w:sz="0" w:space="0" w:color="auto"/>
            <w:right w:val="none" w:sz="0" w:space="0" w:color="auto"/>
          </w:divBdr>
        </w:div>
        <w:div w:id="302661890">
          <w:marLeft w:val="480"/>
          <w:marRight w:val="0"/>
          <w:marTop w:val="0"/>
          <w:marBottom w:val="0"/>
          <w:divBdr>
            <w:top w:val="none" w:sz="0" w:space="0" w:color="auto"/>
            <w:left w:val="none" w:sz="0" w:space="0" w:color="auto"/>
            <w:bottom w:val="none" w:sz="0" w:space="0" w:color="auto"/>
            <w:right w:val="none" w:sz="0" w:space="0" w:color="auto"/>
          </w:divBdr>
        </w:div>
        <w:div w:id="145434575">
          <w:marLeft w:val="480"/>
          <w:marRight w:val="0"/>
          <w:marTop w:val="0"/>
          <w:marBottom w:val="0"/>
          <w:divBdr>
            <w:top w:val="none" w:sz="0" w:space="0" w:color="auto"/>
            <w:left w:val="none" w:sz="0" w:space="0" w:color="auto"/>
            <w:bottom w:val="none" w:sz="0" w:space="0" w:color="auto"/>
            <w:right w:val="none" w:sz="0" w:space="0" w:color="auto"/>
          </w:divBdr>
        </w:div>
      </w:divsChild>
    </w:div>
    <w:div w:id="822700822">
      <w:bodyDiv w:val="1"/>
      <w:marLeft w:val="0"/>
      <w:marRight w:val="0"/>
      <w:marTop w:val="0"/>
      <w:marBottom w:val="0"/>
      <w:divBdr>
        <w:top w:val="none" w:sz="0" w:space="0" w:color="auto"/>
        <w:left w:val="none" w:sz="0" w:space="0" w:color="auto"/>
        <w:bottom w:val="none" w:sz="0" w:space="0" w:color="auto"/>
        <w:right w:val="none" w:sz="0" w:space="0" w:color="auto"/>
      </w:divBdr>
      <w:divsChild>
        <w:div w:id="1798720390">
          <w:marLeft w:val="480"/>
          <w:marRight w:val="0"/>
          <w:marTop w:val="0"/>
          <w:marBottom w:val="0"/>
          <w:divBdr>
            <w:top w:val="none" w:sz="0" w:space="0" w:color="auto"/>
            <w:left w:val="none" w:sz="0" w:space="0" w:color="auto"/>
            <w:bottom w:val="none" w:sz="0" w:space="0" w:color="auto"/>
            <w:right w:val="none" w:sz="0" w:space="0" w:color="auto"/>
          </w:divBdr>
        </w:div>
        <w:div w:id="2011978109">
          <w:marLeft w:val="480"/>
          <w:marRight w:val="0"/>
          <w:marTop w:val="0"/>
          <w:marBottom w:val="0"/>
          <w:divBdr>
            <w:top w:val="none" w:sz="0" w:space="0" w:color="auto"/>
            <w:left w:val="none" w:sz="0" w:space="0" w:color="auto"/>
            <w:bottom w:val="none" w:sz="0" w:space="0" w:color="auto"/>
            <w:right w:val="none" w:sz="0" w:space="0" w:color="auto"/>
          </w:divBdr>
        </w:div>
        <w:div w:id="1147162886">
          <w:marLeft w:val="480"/>
          <w:marRight w:val="0"/>
          <w:marTop w:val="0"/>
          <w:marBottom w:val="0"/>
          <w:divBdr>
            <w:top w:val="none" w:sz="0" w:space="0" w:color="auto"/>
            <w:left w:val="none" w:sz="0" w:space="0" w:color="auto"/>
            <w:bottom w:val="none" w:sz="0" w:space="0" w:color="auto"/>
            <w:right w:val="none" w:sz="0" w:space="0" w:color="auto"/>
          </w:divBdr>
        </w:div>
        <w:div w:id="2052416814">
          <w:marLeft w:val="480"/>
          <w:marRight w:val="0"/>
          <w:marTop w:val="0"/>
          <w:marBottom w:val="0"/>
          <w:divBdr>
            <w:top w:val="none" w:sz="0" w:space="0" w:color="auto"/>
            <w:left w:val="none" w:sz="0" w:space="0" w:color="auto"/>
            <w:bottom w:val="none" w:sz="0" w:space="0" w:color="auto"/>
            <w:right w:val="none" w:sz="0" w:space="0" w:color="auto"/>
          </w:divBdr>
        </w:div>
        <w:div w:id="859078501">
          <w:marLeft w:val="480"/>
          <w:marRight w:val="0"/>
          <w:marTop w:val="0"/>
          <w:marBottom w:val="0"/>
          <w:divBdr>
            <w:top w:val="none" w:sz="0" w:space="0" w:color="auto"/>
            <w:left w:val="none" w:sz="0" w:space="0" w:color="auto"/>
            <w:bottom w:val="none" w:sz="0" w:space="0" w:color="auto"/>
            <w:right w:val="none" w:sz="0" w:space="0" w:color="auto"/>
          </w:divBdr>
        </w:div>
        <w:div w:id="1645893351">
          <w:marLeft w:val="480"/>
          <w:marRight w:val="0"/>
          <w:marTop w:val="0"/>
          <w:marBottom w:val="0"/>
          <w:divBdr>
            <w:top w:val="none" w:sz="0" w:space="0" w:color="auto"/>
            <w:left w:val="none" w:sz="0" w:space="0" w:color="auto"/>
            <w:bottom w:val="none" w:sz="0" w:space="0" w:color="auto"/>
            <w:right w:val="none" w:sz="0" w:space="0" w:color="auto"/>
          </w:divBdr>
        </w:div>
        <w:div w:id="1995328684">
          <w:marLeft w:val="480"/>
          <w:marRight w:val="0"/>
          <w:marTop w:val="0"/>
          <w:marBottom w:val="0"/>
          <w:divBdr>
            <w:top w:val="none" w:sz="0" w:space="0" w:color="auto"/>
            <w:left w:val="none" w:sz="0" w:space="0" w:color="auto"/>
            <w:bottom w:val="none" w:sz="0" w:space="0" w:color="auto"/>
            <w:right w:val="none" w:sz="0" w:space="0" w:color="auto"/>
          </w:divBdr>
        </w:div>
        <w:div w:id="2039155237">
          <w:marLeft w:val="480"/>
          <w:marRight w:val="0"/>
          <w:marTop w:val="0"/>
          <w:marBottom w:val="0"/>
          <w:divBdr>
            <w:top w:val="none" w:sz="0" w:space="0" w:color="auto"/>
            <w:left w:val="none" w:sz="0" w:space="0" w:color="auto"/>
            <w:bottom w:val="none" w:sz="0" w:space="0" w:color="auto"/>
            <w:right w:val="none" w:sz="0" w:space="0" w:color="auto"/>
          </w:divBdr>
        </w:div>
      </w:divsChild>
    </w:div>
    <w:div w:id="822890510">
      <w:bodyDiv w:val="1"/>
      <w:marLeft w:val="0"/>
      <w:marRight w:val="0"/>
      <w:marTop w:val="0"/>
      <w:marBottom w:val="0"/>
      <w:divBdr>
        <w:top w:val="none" w:sz="0" w:space="0" w:color="auto"/>
        <w:left w:val="none" w:sz="0" w:space="0" w:color="auto"/>
        <w:bottom w:val="none" w:sz="0" w:space="0" w:color="auto"/>
        <w:right w:val="none" w:sz="0" w:space="0" w:color="auto"/>
      </w:divBdr>
    </w:div>
    <w:div w:id="826895073">
      <w:bodyDiv w:val="1"/>
      <w:marLeft w:val="0"/>
      <w:marRight w:val="0"/>
      <w:marTop w:val="0"/>
      <w:marBottom w:val="0"/>
      <w:divBdr>
        <w:top w:val="none" w:sz="0" w:space="0" w:color="auto"/>
        <w:left w:val="none" w:sz="0" w:space="0" w:color="auto"/>
        <w:bottom w:val="none" w:sz="0" w:space="0" w:color="auto"/>
        <w:right w:val="none" w:sz="0" w:space="0" w:color="auto"/>
      </w:divBdr>
    </w:div>
    <w:div w:id="841312411">
      <w:bodyDiv w:val="1"/>
      <w:marLeft w:val="0"/>
      <w:marRight w:val="0"/>
      <w:marTop w:val="0"/>
      <w:marBottom w:val="0"/>
      <w:divBdr>
        <w:top w:val="none" w:sz="0" w:space="0" w:color="auto"/>
        <w:left w:val="none" w:sz="0" w:space="0" w:color="auto"/>
        <w:bottom w:val="none" w:sz="0" w:space="0" w:color="auto"/>
        <w:right w:val="none" w:sz="0" w:space="0" w:color="auto"/>
      </w:divBdr>
    </w:div>
    <w:div w:id="845945197">
      <w:bodyDiv w:val="1"/>
      <w:marLeft w:val="0"/>
      <w:marRight w:val="0"/>
      <w:marTop w:val="0"/>
      <w:marBottom w:val="0"/>
      <w:divBdr>
        <w:top w:val="none" w:sz="0" w:space="0" w:color="auto"/>
        <w:left w:val="none" w:sz="0" w:space="0" w:color="auto"/>
        <w:bottom w:val="none" w:sz="0" w:space="0" w:color="auto"/>
        <w:right w:val="none" w:sz="0" w:space="0" w:color="auto"/>
      </w:divBdr>
    </w:div>
    <w:div w:id="872696006">
      <w:bodyDiv w:val="1"/>
      <w:marLeft w:val="0"/>
      <w:marRight w:val="0"/>
      <w:marTop w:val="0"/>
      <w:marBottom w:val="0"/>
      <w:divBdr>
        <w:top w:val="none" w:sz="0" w:space="0" w:color="auto"/>
        <w:left w:val="none" w:sz="0" w:space="0" w:color="auto"/>
        <w:bottom w:val="none" w:sz="0" w:space="0" w:color="auto"/>
        <w:right w:val="none" w:sz="0" w:space="0" w:color="auto"/>
      </w:divBdr>
    </w:div>
    <w:div w:id="873345178">
      <w:bodyDiv w:val="1"/>
      <w:marLeft w:val="0"/>
      <w:marRight w:val="0"/>
      <w:marTop w:val="0"/>
      <w:marBottom w:val="0"/>
      <w:divBdr>
        <w:top w:val="none" w:sz="0" w:space="0" w:color="auto"/>
        <w:left w:val="none" w:sz="0" w:space="0" w:color="auto"/>
        <w:bottom w:val="none" w:sz="0" w:space="0" w:color="auto"/>
        <w:right w:val="none" w:sz="0" w:space="0" w:color="auto"/>
      </w:divBdr>
      <w:divsChild>
        <w:div w:id="1209950098">
          <w:marLeft w:val="480"/>
          <w:marRight w:val="0"/>
          <w:marTop w:val="0"/>
          <w:marBottom w:val="0"/>
          <w:divBdr>
            <w:top w:val="none" w:sz="0" w:space="0" w:color="auto"/>
            <w:left w:val="none" w:sz="0" w:space="0" w:color="auto"/>
            <w:bottom w:val="none" w:sz="0" w:space="0" w:color="auto"/>
            <w:right w:val="none" w:sz="0" w:space="0" w:color="auto"/>
          </w:divBdr>
        </w:div>
        <w:div w:id="279731124">
          <w:marLeft w:val="480"/>
          <w:marRight w:val="0"/>
          <w:marTop w:val="0"/>
          <w:marBottom w:val="0"/>
          <w:divBdr>
            <w:top w:val="none" w:sz="0" w:space="0" w:color="auto"/>
            <w:left w:val="none" w:sz="0" w:space="0" w:color="auto"/>
            <w:bottom w:val="none" w:sz="0" w:space="0" w:color="auto"/>
            <w:right w:val="none" w:sz="0" w:space="0" w:color="auto"/>
          </w:divBdr>
        </w:div>
        <w:div w:id="681973475">
          <w:marLeft w:val="480"/>
          <w:marRight w:val="0"/>
          <w:marTop w:val="0"/>
          <w:marBottom w:val="0"/>
          <w:divBdr>
            <w:top w:val="none" w:sz="0" w:space="0" w:color="auto"/>
            <w:left w:val="none" w:sz="0" w:space="0" w:color="auto"/>
            <w:bottom w:val="none" w:sz="0" w:space="0" w:color="auto"/>
            <w:right w:val="none" w:sz="0" w:space="0" w:color="auto"/>
          </w:divBdr>
        </w:div>
        <w:div w:id="403380966">
          <w:marLeft w:val="480"/>
          <w:marRight w:val="0"/>
          <w:marTop w:val="0"/>
          <w:marBottom w:val="0"/>
          <w:divBdr>
            <w:top w:val="none" w:sz="0" w:space="0" w:color="auto"/>
            <w:left w:val="none" w:sz="0" w:space="0" w:color="auto"/>
            <w:bottom w:val="none" w:sz="0" w:space="0" w:color="auto"/>
            <w:right w:val="none" w:sz="0" w:space="0" w:color="auto"/>
          </w:divBdr>
        </w:div>
        <w:div w:id="2118090483">
          <w:marLeft w:val="480"/>
          <w:marRight w:val="0"/>
          <w:marTop w:val="0"/>
          <w:marBottom w:val="0"/>
          <w:divBdr>
            <w:top w:val="none" w:sz="0" w:space="0" w:color="auto"/>
            <w:left w:val="none" w:sz="0" w:space="0" w:color="auto"/>
            <w:bottom w:val="none" w:sz="0" w:space="0" w:color="auto"/>
            <w:right w:val="none" w:sz="0" w:space="0" w:color="auto"/>
          </w:divBdr>
        </w:div>
        <w:div w:id="1832090837">
          <w:marLeft w:val="480"/>
          <w:marRight w:val="0"/>
          <w:marTop w:val="0"/>
          <w:marBottom w:val="0"/>
          <w:divBdr>
            <w:top w:val="none" w:sz="0" w:space="0" w:color="auto"/>
            <w:left w:val="none" w:sz="0" w:space="0" w:color="auto"/>
            <w:bottom w:val="none" w:sz="0" w:space="0" w:color="auto"/>
            <w:right w:val="none" w:sz="0" w:space="0" w:color="auto"/>
          </w:divBdr>
        </w:div>
      </w:divsChild>
    </w:div>
    <w:div w:id="896553855">
      <w:bodyDiv w:val="1"/>
      <w:marLeft w:val="0"/>
      <w:marRight w:val="0"/>
      <w:marTop w:val="0"/>
      <w:marBottom w:val="0"/>
      <w:divBdr>
        <w:top w:val="none" w:sz="0" w:space="0" w:color="auto"/>
        <w:left w:val="none" w:sz="0" w:space="0" w:color="auto"/>
        <w:bottom w:val="none" w:sz="0" w:space="0" w:color="auto"/>
        <w:right w:val="none" w:sz="0" w:space="0" w:color="auto"/>
      </w:divBdr>
      <w:divsChild>
        <w:div w:id="712509489">
          <w:marLeft w:val="480"/>
          <w:marRight w:val="0"/>
          <w:marTop w:val="0"/>
          <w:marBottom w:val="0"/>
          <w:divBdr>
            <w:top w:val="none" w:sz="0" w:space="0" w:color="auto"/>
            <w:left w:val="none" w:sz="0" w:space="0" w:color="auto"/>
            <w:bottom w:val="none" w:sz="0" w:space="0" w:color="auto"/>
            <w:right w:val="none" w:sz="0" w:space="0" w:color="auto"/>
          </w:divBdr>
        </w:div>
        <w:div w:id="1477524952">
          <w:marLeft w:val="480"/>
          <w:marRight w:val="0"/>
          <w:marTop w:val="0"/>
          <w:marBottom w:val="0"/>
          <w:divBdr>
            <w:top w:val="none" w:sz="0" w:space="0" w:color="auto"/>
            <w:left w:val="none" w:sz="0" w:space="0" w:color="auto"/>
            <w:bottom w:val="none" w:sz="0" w:space="0" w:color="auto"/>
            <w:right w:val="none" w:sz="0" w:space="0" w:color="auto"/>
          </w:divBdr>
        </w:div>
        <w:div w:id="495464467">
          <w:marLeft w:val="480"/>
          <w:marRight w:val="0"/>
          <w:marTop w:val="0"/>
          <w:marBottom w:val="0"/>
          <w:divBdr>
            <w:top w:val="none" w:sz="0" w:space="0" w:color="auto"/>
            <w:left w:val="none" w:sz="0" w:space="0" w:color="auto"/>
            <w:bottom w:val="none" w:sz="0" w:space="0" w:color="auto"/>
            <w:right w:val="none" w:sz="0" w:space="0" w:color="auto"/>
          </w:divBdr>
        </w:div>
        <w:div w:id="1381827003">
          <w:marLeft w:val="480"/>
          <w:marRight w:val="0"/>
          <w:marTop w:val="0"/>
          <w:marBottom w:val="0"/>
          <w:divBdr>
            <w:top w:val="none" w:sz="0" w:space="0" w:color="auto"/>
            <w:left w:val="none" w:sz="0" w:space="0" w:color="auto"/>
            <w:bottom w:val="none" w:sz="0" w:space="0" w:color="auto"/>
            <w:right w:val="none" w:sz="0" w:space="0" w:color="auto"/>
          </w:divBdr>
        </w:div>
        <w:div w:id="1630936187">
          <w:marLeft w:val="480"/>
          <w:marRight w:val="0"/>
          <w:marTop w:val="0"/>
          <w:marBottom w:val="0"/>
          <w:divBdr>
            <w:top w:val="none" w:sz="0" w:space="0" w:color="auto"/>
            <w:left w:val="none" w:sz="0" w:space="0" w:color="auto"/>
            <w:bottom w:val="none" w:sz="0" w:space="0" w:color="auto"/>
            <w:right w:val="none" w:sz="0" w:space="0" w:color="auto"/>
          </w:divBdr>
        </w:div>
        <w:div w:id="597908721">
          <w:marLeft w:val="480"/>
          <w:marRight w:val="0"/>
          <w:marTop w:val="0"/>
          <w:marBottom w:val="0"/>
          <w:divBdr>
            <w:top w:val="none" w:sz="0" w:space="0" w:color="auto"/>
            <w:left w:val="none" w:sz="0" w:space="0" w:color="auto"/>
            <w:bottom w:val="none" w:sz="0" w:space="0" w:color="auto"/>
            <w:right w:val="none" w:sz="0" w:space="0" w:color="auto"/>
          </w:divBdr>
        </w:div>
      </w:divsChild>
    </w:div>
    <w:div w:id="897015452">
      <w:bodyDiv w:val="1"/>
      <w:marLeft w:val="0"/>
      <w:marRight w:val="0"/>
      <w:marTop w:val="0"/>
      <w:marBottom w:val="0"/>
      <w:divBdr>
        <w:top w:val="none" w:sz="0" w:space="0" w:color="auto"/>
        <w:left w:val="none" w:sz="0" w:space="0" w:color="auto"/>
        <w:bottom w:val="none" w:sz="0" w:space="0" w:color="auto"/>
        <w:right w:val="none" w:sz="0" w:space="0" w:color="auto"/>
      </w:divBdr>
      <w:divsChild>
        <w:div w:id="45682703">
          <w:marLeft w:val="640"/>
          <w:marRight w:val="0"/>
          <w:marTop w:val="0"/>
          <w:marBottom w:val="0"/>
          <w:divBdr>
            <w:top w:val="none" w:sz="0" w:space="0" w:color="auto"/>
            <w:left w:val="none" w:sz="0" w:space="0" w:color="auto"/>
            <w:bottom w:val="none" w:sz="0" w:space="0" w:color="auto"/>
            <w:right w:val="none" w:sz="0" w:space="0" w:color="auto"/>
          </w:divBdr>
        </w:div>
        <w:div w:id="69474869">
          <w:marLeft w:val="640"/>
          <w:marRight w:val="0"/>
          <w:marTop w:val="0"/>
          <w:marBottom w:val="0"/>
          <w:divBdr>
            <w:top w:val="none" w:sz="0" w:space="0" w:color="auto"/>
            <w:left w:val="none" w:sz="0" w:space="0" w:color="auto"/>
            <w:bottom w:val="none" w:sz="0" w:space="0" w:color="auto"/>
            <w:right w:val="none" w:sz="0" w:space="0" w:color="auto"/>
          </w:divBdr>
        </w:div>
        <w:div w:id="157425291">
          <w:marLeft w:val="640"/>
          <w:marRight w:val="0"/>
          <w:marTop w:val="0"/>
          <w:marBottom w:val="0"/>
          <w:divBdr>
            <w:top w:val="none" w:sz="0" w:space="0" w:color="auto"/>
            <w:left w:val="none" w:sz="0" w:space="0" w:color="auto"/>
            <w:bottom w:val="none" w:sz="0" w:space="0" w:color="auto"/>
            <w:right w:val="none" w:sz="0" w:space="0" w:color="auto"/>
          </w:divBdr>
        </w:div>
        <w:div w:id="160123296">
          <w:marLeft w:val="640"/>
          <w:marRight w:val="0"/>
          <w:marTop w:val="0"/>
          <w:marBottom w:val="0"/>
          <w:divBdr>
            <w:top w:val="none" w:sz="0" w:space="0" w:color="auto"/>
            <w:left w:val="none" w:sz="0" w:space="0" w:color="auto"/>
            <w:bottom w:val="none" w:sz="0" w:space="0" w:color="auto"/>
            <w:right w:val="none" w:sz="0" w:space="0" w:color="auto"/>
          </w:divBdr>
        </w:div>
        <w:div w:id="167017774">
          <w:marLeft w:val="640"/>
          <w:marRight w:val="0"/>
          <w:marTop w:val="0"/>
          <w:marBottom w:val="0"/>
          <w:divBdr>
            <w:top w:val="none" w:sz="0" w:space="0" w:color="auto"/>
            <w:left w:val="none" w:sz="0" w:space="0" w:color="auto"/>
            <w:bottom w:val="none" w:sz="0" w:space="0" w:color="auto"/>
            <w:right w:val="none" w:sz="0" w:space="0" w:color="auto"/>
          </w:divBdr>
        </w:div>
        <w:div w:id="191112532">
          <w:marLeft w:val="640"/>
          <w:marRight w:val="0"/>
          <w:marTop w:val="0"/>
          <w:marBottom w:val="0"/>
          <w:divBdr>
            <w:top w:val="none" w:sz="0" w:space="0" w:color="auto"/>
            <w:left w:val="none" w:sz="0" w:space="0" w:color="auto"/>
            <w:bottom w:val="none" w:sz="0" w:space="0" w:color="auto"/>
            <w:right w:val="none" w:sz="0" w:space="0" w:color="auto"/>
          </w:divBdr>
        </w:div>
        <w:div w:id="204172967">
          <w:marLeft w:val="640"/>
          <w:marRight w:val="0"/>
          <w:marTop w:val="0"/>
          <w:marBottom w:val="0"/>
          <w:divBdr>
            <w:top w:val="none" w:sz="0" w:space="0" w:color="auto"/>
            <w:left w:val="none" w:sz="0" w:space="0" w:color="auto"/>
            <w:bottom w:val="none" w:sz="0" w:space="0" w:color="auto"/>
            <w:right w:val="none" w:sz="0" w:space="0" w:color="auto"/>
          </w:divBdr>
        </w:div>
        <w:div w:id="344942556">
          <w:marLeft w:val="640"/>
          <w:marRight w:val="0"/>
          <w:marTop w:val="0"/>
          <w:marBottom w:val="0"/>
          <w:divBdr>
            <w:top w:val="none" w:sz="0" w:space="0" w:color="auto"/>
            <w:left w:val="none" w:sz="0" w:space="0" w:color="auto"/>
            <w:bottom w:val="none" w:sz="0" w:space="0" w:color="auto"/>
            <w:right w:val="none" w:sz="0" w:space="0" w:color="auto"/>
          </w:divBdr>
        </w:div>
        <w:div w:id="397829549">
          <w:marLeft w:val="640"/>
          <w:marRight w:val="0"/>
          <w:marTop w:val="0"/>
          <w:marBottom w:val="0"/>
          <w:divBdr>
            <w:top w:val="none" w:sz="0" w:space="0" w:color="auto"/>
            <w:left w:val="none" w:sz="0" w:space="0" w:color="auto"/>
            <w:bottom w:val="none" w:sz="0" w:space="0" w:color="auto"/>
            <w:right w:val="none" w:sz="0" w:space="0" w:color="auto"/>
          </w:divBdr>
        </w:div>
        <w:div w:id="448283493">
          <w:marLeft w:val="640"/>
          <w:marRight w:val="0"/>
          <w:marTop w:val="0"/>
          <w:marBottom w:val="0"/>
          <w:divBdr>
            <w:top w:val="none" w:sz="0" w:space="0" w:color="auto"/>
            <w:left w:val="none" w:sz="0" w:space="0" w:color="auto"/>
            <w:bottom w:val="none" w:sz="0" w:space="0" w:color="auto"/>
            <w:right w:val="none" w:sz="0" w:space="0" w:color="auto"/>
          </w:divBdr>
        </w:div>
        <w:div w:id="463472729">
          <w:marLeft w:val="640"/>
          <w:marRight w:val="0"/>
          <w:marTop w:val="0"/>
          <w:marBottom w:val="0"/>
          <w:divBdr>
            <w:top w:val="none" w:sz="0" w:space="0" w:color="auto"/>
            <w:left w:val="none" w:sz="0" w:space="0" w:color="auto"/>
            <w:bottom w:val="none" w:sz="0" w:space="0" w:color="auto"/>
            <w:right w:val="none" w:sz="0" w:space="0" w:color="auto"/>
          </w:divBdr>
        </w:div>
        <w:div w:id="533537240">
          <w:marLeft w:val="640"/>
          <w:marRight w:val="0"/>
          <w:marTop w:val="0"/>
          <w:marBottom w:val="0"/>
          <w:divBdr>
            <w:top w:val="none" w:sz="0" w:space="0" w:color="auto"/>
            <w:left w:val="none" w:sz="0" w:space="0" w:color="auto"/>
            <w:bottom w:val="none" w:sz="0" w:space="0" w:color="auto"/>
            <w:right w:val="none" w:sz="0" w:space="0" w:color="auto"/>
          </w:divBdr>
        </w:div>
        <w:div w:id="566957448">
          <w:marLeft w:val="640"/>
          <w:marRight w:val="0"/>
          <w:marTop w:val="0"/>
          <w:marBottom w:val="0"/>
          <w:divBdr>
            <w:top w:val="none" w:sz="0" w:space="0" w:color="auto"/>
            <w:left w:val="none" w:sz="0" w:space="0" w:color="auto"/>
            <w:bottom w:val="none" w:sz="0" w:space="0" w:color="auto"/>
            <w:right w:val="none" w:sz="0" w:space="0" w:color="auto"/>
          </w:divBdr>
        </w:div>
        <w:div w:id="584073676">
          <w:marLeft w:val="640"/>
          <w:marRight w:val="0"/>
          <w:marTop w:val="0"/>
          <w:marBottom w:val="0"/>
          <w:divBdr>
            <w:top w:val="none" w:sz="0" w:space="0" w:color="auto"/>
            <w:left w:val="none" w:sz="0" w:space="0" w:color="auto"/>
            <w:bottom w:val="none" w:sz="0" w:space="0" w:color="auto"/>
            <w:right w:val="none" w:sz="0" w:space="0" w:color="auto"/>
          </w:divBdr>
        </w:div>
        <w:div w:id="598099060">
          <w:marLeft w:val="640"/>
          <w:marRight w:val="0"/>
          <w:marTop w:val="0"/>
          <w:marBottom w:val="0"/>
          <w:divBdr>
            <w:top w:val="none" w:sz="0" w:space="0" w:color="auto"/>
            <w:left w:val="none" w:sz="0" w:space="0" w:color="auto"/>
            <w:bottom w:val="none" w:sz="0" w:space="0" w:color="auto"/>
            <w:right w:val="none" w:sz="0" w:space="0" w:color="auto"/>
          </w:divBdr>
        </w:div>
        <w:div w:id="604308796">
          <w:marLeft w:val="640"/>
          <w:marRight w:val="0"/>
          <w:marTop w:val="0"/>
          <w:marBottom w:val="0"/>
          <w:divBdr>
            <w:top w:val="none" w:sz="0" w:space="0" w:color="auto"/>
            <w:left w:val="none" w:sz="0" w:space="0" w:color="auto"/>
            <w:bottom w:val="none" w:sz="0" w:space="0" w:color="auto"/>
            <w:right w:val="none" w:sz="0" w:space="0" w:color="auto"/>
          </w:divBdr>
        </w:div>
        <w:div w:id="627005302">
          <w:marLeft w:val="640"/>
          <w:marRight w:val="0"/>
          <w:marTop w:val="0"/>
          <w:marBottom w:val="0"/>
          <w:divBdr>
            <w:top w:val="none" w:sz="0" w:space="0" w:color="auto"/>
            <w:left w:val="none" w:sz="0" w:space="0" w:color="auto"/>
            <w:bottom w:val="none" w:sz="0" w:space="0" w:color="auto"/>
            <w:right w:val="none" w:sz="0" w:space="0" w:color="auto"/>
          </w:divBdr>
        </w:div>
        <w:div w:id="631716674">
          <w:marLeft w:val="640"/>
          <w:marRight w:val="0"/>
          <w:marTop w:val="0"/>
          <w:marBottom w:val="0"/>
          <w:divBdr>
            <w:top w:val="none" w:sz="0" w:space="0" w:color="auto"/>
            <w:left w:val="none" w:sz="0" w:space="0" w:color="auto"/>
            <w:bottom w:val="none" w:sz="0" w:space="0" w:color="auto"/>
            <w:right w:val="none" w:sz="0" w:space="0" w:color="auto"/>
          </w:divBdr>
        </w:div>
        <w:div w:id="633676826">
          <w:marLeft w:val="640"/>
          <w:marRight w:val="0"/>
          <w:marTop w:val="0"/>
          <w:marBottom w:val="0"/>
          <w:divBdr>
            <w:top w:val="none" w:sz="0" w:space="0" w:color="auto"/>
            <w:left w:val="none" w:sz="0" w:space="0" w:color="auto"/>
            <w:bottom w:val="none" w:sz="0" w:space="0" w:color="auto"/>
            <w:right w:val="none" w:sz="0" w:space="0" w:color="auto"/>
          </w:divBdr>
        </w:div>
        <w:div w:id="654144939">
          <w:marLeft w:val="640"/>
          <w:marRight w:val="0"/>
          <w:marTop w:val="0"/>
          <w:marBottom w:val="0"/>
          <w:divBdr>
            <w:top w:val="none" w:sz="0" w:space="0" w:color="auto"/>
            <w:left w:val="none" w:sz="0" w:space="0" w:color="auto"/>
            <w:bottom w:val="none" w:sz="0" w:space="0" w:color="auto"/>
            <w:right w:val="none" w:sz="0" w:space="0" w:color="auto"/>
          </w:divBdr>
        </w:div>
        <w:div w:id="699280478">
          <w:marLeft w:val="640"/>
          <w:marRight w:val="0"/>
          <w:marTop w:val="0"/>
          <w:marBottom w:val="0"/>
          <w:divBdr>
            <w:top w:val="none" w:sz="0" w:space="0" w:color="auto"/>
            <w:left w:val="none" w:sz="0" w:space="0" w:color="auto"/>
            <w:bottom w:val="none" w:sz="0" w:space="0" w:color="auto"/>
            <w:right w:val="none" w:sz="0" w:space="0" w:color="auto"/>
          </w:divBdr>
        </w:div>
        <w:div w:id="710883631">
          <w:marLeft w:val="640"/>
          <w:marRight w:val="0"/>
          <w:marTop w:val="0"/>
          <w:marBottom w:val="0"/>
          <w:divBdr>
            <w:top w:val="none" w:sz="0" w:space="0" w:color="auto"/>
            <w:left w:val="none" w:sz="0" w:space="0" w:color="auto"/>
            <w:bottom w:val="none" w:sz="0" w:space="0" w:color="auto"/>
            <w:right w:val="none" w:sz="0" w:space="0" w:color="auto"/>
          </w:divBdr>
        </w:div>
        <w:div w:id="761292094">
          <w:marLeft w:val="640"/>
          <w:marRight w:val="0"/>
          <w:marTop w:val="0"/>
          <w:marBottom w:val="0"/>
          <w:divBdr>
            <w:top w:val="none" w:sz="0" w:space="0" w:color="auto"/>
            <w:left w:val="none" w:sz="0" w:space="0" w:color="auto"/>
            <w:bottom w:val="none" w:sz="0" w:space="0" w:color="auto"/>
            <w:right w:val="none" w:sz="0" w:space="0" w:color="auto"/>
          </w:divBdr>
        </w:div>
        <w:div w:id="789471977">
          <w:marLeft w:val="640"/>
          <w:marRight w:val="0"/>
          <w:marTop w:val="0"/>
          <w:marBottom w:val="0"/>
          <w:divBdr>
            <w:top w:val="none" w:sz="0" w:space="0" w:color="auto"/>
            <w:left w:val="none" w:sz="0" w:space="0" w:color="auto"/>
            <w:bottom w:val="none" w:sz="0" w:space="0" w:color="auto"/>
            <w:right w:val="none" w:sz="0" w:space="0" w:color="auto"/>
          </w:divBdr>
        </w:div>
        <w:div w:id="808404564">
          <w:marLeft w:val="640"/>
          <w:marRight w:val="0"/>
          <w:marTop w:val="0"/>
          <w:marBottom w:val="0"/>
          <w:divBdr>
            <w:top w:val="none" w:sz="0" w:space="0" w:color="auto"/>
            <w:left w:val="none" w:sz="0" w:space="0" w:color="auto"/>
            <w:bottom w:val="none" w:sz="0" w:space="0" w:color="auto"/>
            <w:right w:val="none" w:sz="0" w:space="0" w:color="auto"/>
          </w:divBdr>
        </w:div>
        <w:div w:id="822701088">
          <w:marLeft w:val="640"/>
          <w:marRight w:val="0"/>
          <w:marTop w:val="0"/>
          <w:marBottom w:val="0"/>
          <w:divBdr>
            <w:top w:val="none" w:sz="0" w:space="0" w:color="auto"/>
            <w:left w:val="none" w:sz="0" w:space="0" w:color="auto"/>
            <w:bottom w:val="none" w:sz="0" w:space="0" w:color="auto"/>
            <w:right w:val="none" w:sz="0" w:space="0" w:color="auto"/>
          </w:divBdr>
        </w:div>
        <w:div w:id="850685388">
          <w:marLeft w:val="640"/>
          <w:marRight w:val="0"/>
          <w:marTop w:val="0"/>
          <w:marBottom w:val="0"/>
          <w:divBdr>
            <w:top w:val="none" w:sz="0" w:space="0" w:color="auto"/>
            <w:left w:val="none" w:sz="0" w:space="0" w:color="auto"/>
            <w:bottom w:val="none" w:sz="0" w:space="0" w:color="auto"/>
            <w:right w:val="none" w:sz="0" w:space="0" w:color="auto"/>
          </w:divBdr>
        </w:div>
        <w:div w:id="855077118">
          <w:marLeft w:val="640"/>
          <w:marRight w:val="0"/>
          <w:marTop w:val="0"/>
          <w:marBottom w:val="0"/>
          <w:divBdr>
            <w:top w:val="none" w:sz="0" w:space="0" w:color="auto"/>
            <w:left w:val="none" w:sz="0" w:space="0" w:color="auto"/>
            <w:bottom w:val="none" w:sz="0" w:space="0" w:color="auto"/>
            <w:right w:val="none" w:sz="0" w:space="0" w:color="auto"/>
          </w:divBdr>
        </w:div>
        <w:div w:id="902763873">
          <w:marLeft w:val="640"/>
          <w:marRight w:val="0"/>
          <w:marTop w:val="0"/>
          <w:marBottom w:val="0"/>
          <w:divBdr>
            <w:top w:val="none" w:sz="0" w:space="0" w:color="auto"/>
            <w:left w:val="none" w:sz="0" w:space="0" w:color="auto"/>
            <w:bottom w:val="none" w:sz="0" w:space="0" w:color="auto"/>
            <w:right w:val="none" w:sz="0" w:space="0" w:color="auto"/>
          </w:divBdr>
        </w:div>
        <w:div w:id="913781130">
          <w:marLeft w:val="640"/>
          <w:marRight w:val="0"/>
          <w:marTop w:val="0"/>
          <w:marBottom w:val="0"/>
          <w:divBdr>
            <w:top w:val="none" w:sz="0" w:space="0" w:color="auto"/>
            <w:left w:val="none" w:sz="0" w:space="0" w:color="auto"/>
            <w:bottom w:val="none" w:sz="0" w:space="0" w:color="auto"/>
            <w:right w:val="none" w:sz="0" w:space="0" w:color="auto"/>
          </w:divBdr>
        </w:div>
        <w:div w:id="915168401">
          <w:marLeft w:val="640"/>
          <w:marRight w:val="0"/>
          <w:marTop w:val="0"/>
          <w:marBottom w:val="0"/>
          <w:divBdr>
            <w:top w:val="none" w:sz="0" w:space="0" w:color="auto"/>
            <w:left w:val="none" w:sz="0" w:space="0" w:color="auto"/>
            <w:bottom w:val="none" w:sz="0" w:space="0" w:color="auto"/>
            <w:right w:val="none" w:sz="0" w:space="0" w:color="auto"/>
          </w:divBdr>
        </w:div>
        <w:div w:id="937760359">
          <w:marLeft w:val="640"/>
          <w:marRight w:val="0"/>
          <w:marTop w:val="0"/>
          <w:marBottom w:val="0"/>
          <w:divBdr>
            <w:top w:val="none" w:sz="0" w:space="0" w:color="auto"/>
            <w:left w:val="none" w:sz="0" w:space="0" w:color="auto"/>
            <w:bottom w:val="none" w:sz="0" w:space="0" w:color="auto"/>
            <w:right w:val="none" w:sz="0" w:space="0" w:color="auto"/>
          </w:divBdr>
        </w:div>
        <w:div w:id="957688729">
          <w:marLeft w:val="640"/>
          <w:marRight w:val="0"/>
          <w:marTop w:val="0"/>
          <w:marBottom w:val="0"/>
          <w:divBdr>
            <w:top w:val="none" w:sz="0" w:space="0" w:color="auto"/>
            <w:left w:val="none" w:sz="0" w:space="0" w:color="auto"/>
            <w:bottom w:val="none" w:sz="0" w:space="0" w:color="auto"/>
            <w:right w:val="none" w:sz="0" w:space="0" w:color="auto"/>
          </w:divBdr>
        </w:div>
        <w:div w:id="1026831612">
          <w:marLeft w:val="640"/>
          <w:marRight w:val="0"/>
          <w:marTop w:val="0"/>
          <w:marBottom w:val="0"/>
          <w:divBdr>
            <w:top w:val="none" w:sz="0" w:space="0" w:color="auto"/>
            <w:left w:val="none" w:sz="0" w:space="0" w:color="auto"/>
            <w:bottom w:val="none" w:sz="0" w:space="0" w:color="auto"/>
            <w:right w:val="none" w:sz="0" w:space="0" w:color="auto"/>
          </w:divBdr>
        </w:div>
        <w:div w:id="1043015019">
          <w:marLeft w:val="640"/>
          <w:marRight w:val="0"/>
          <w:marTop w:val="0"/>
          <w:marBottom w:val="0"/>
          <w:divBdr>
            <w:top w:val="none" w:sz="0" w:space="0" w:color="auto"/>
            <w:left w:val="none" w:sz="0" w:space="0" w:color="auto"/>
            <w:bottom w:val="none" w:sz="0" w:space="0" w:color="auto"/>
            <w:right w:val="none" w:sz="0" w:space="0" w:color="auto"/>
          </w:divBdr>
        </w:div>
        <w:div w:id="1058210681">
          <w:marLeft w:val="640"/>
          <w:marRight w:val="0"/>
          <w:marTop w:val="0"/>
          <w:marBottom w:val="0"/>
          <w:divBdr>
            <w:top w:val="none" w:sz="0" w:space="0" w:color="auto"/>
            <w:left w:val="none" w:sz="0" w:space="0" w:color="auto"/>
            <w:bottom w:val="none" w:sz="0" w:space="0" w:color="auto"/>
            <w:right w:val="none" w:sz="0" w:space="0" w:color="auto"/>
          </w:divBdr>
        </w:div>
        <w:div w:id="1071191658">
          <w:marLeft w:val="640"/>
          <w:marRight w:val="0"/>
          <w:marTop w:val="0"/>
          <w:marBottom w:val="0"/>
          <w:divBdr>
            <w:top w:val="none" w:sz="0" w:space="0" w:color="auto"/>
            <w:left w:val="none" w:sz="0" w:space="0" w:color="auto"/>
            <w:bottom w:val="none" w:sz="0" w:space="0" w:color="auto"/>
            <w:right w:val="none" w:sz="0" w:space="0" w:color="auto"/>
          </w:divBdr>
        </w:div>
        <w:div w:id="1080440984">
          <w:marLeft w:val="640"/>
          <w:marRight w:val="0"/>
          <w:marTop w:val="0"/>
          <w:marBottom w:val="0"/>
          <w:divBdr>
            <w:top w:val="none" w:sz="0" w:space="0" w:color="auto"/>
            <w:left w:val="none" w:sz="0" w:space="0" w:color="auto"/>
            <w:bottom w:val="none" w:sz="0" w:space="0" w:color="auto"/>
            <w:right w:val="none" w:sz="0" w:space="0" w:color="auto"/>
          </w:divBdr>
        </w:div>
        <w:div w:id="1085956696">
          <w:marLeft w:val="640"/>
          <w:marRight w:val="0"/>
          <w:marTop w:val="0"/>
          <w:marBottom w:val="0"/>
          <w:divBdr>
            <w:top w:val="none" w:sz="0" w:space="0" w:color="auto"/>
            <w:left w:val="none" w:sz="0" w:space="0" w:color="auto"/>
            <w:bottom w:val="none" w:sz="0" w:space="0" w:color="auto"/>
            <w:right w:val="none" w:sz="0" w:space="0" w:color="auto"/>
          </w:divBdr>
        </w:div>
        <w:div w:id="1138229555">
          <w:marLeft w:val="640"/>
          <w:marRight w:val="0"/>
          <w:marTop w:val="0"/>
          <w:marBottom w:val="0"/>
          <w:divBdr>
            <w:top w:val="none" w:sz="0" w:space="0" w:color="auto"/>
            <w:left w:val="none" w:sz="0" w:space="0" w:color="auto"/>
            <w:bottom w:val="none" w:sz="0" w:space="0" w:color="auto"/>
            <w:right w:val="none" w:sz="0" w:space="0" w:color="auto"/>
          </w:divBdr>
        </w:div>
        <w:div w:id="1146584664">
          <w:marLeft w:val="640"/>
          <w:marRight w:val="0"/>
          <w:marTop w:val="0"/>
          <w:marBottom w:val="0"/>
          <w:divBdr>
            <w:top w:val="none" w:sz="0" w:space="0" w:color="auto"/>
            <w:left w:val="none" w:sz="0" w:space="0" w:color="auto"/>
            <w:bottom w:val="none" w:sz="0" w:space="0" w:color="auto"/>
            <w:right w:val="none" w:sz="0" w:space="0" w:color="auto"/>
          </w:divBdr>
        </w:div>
        <w:div w:id="1148782910">
          <w:marLeft w:val="640"/>
          <w:marRight w:val="0"/>
          <w:marTop w:val="0"/>
          <w:marBottom w:val="0"/>
          <w:divBdr>
            <w:top w:val="none" w:sz="0" w:space="0" w:color="auto"/>
            <w:left w:val="none" w:sz="0" w:space="0" w:color="auto"/>
            <w:bottom w:val="none" w:sz="0" w:space="0" w:color="auto"/>
            <w:right w:val="none" w:sz="0" w:space="0" w:color="auto"/>
          </w:divBdr>
        </w:div>
        <w:div w:id="1154032404">
          <w:marLeft w:val="640"/>
          <w:marRight w:val="0"/>
          <w:marTop w:val="0"/>
          <w:marBottom w:val="0"/>
          <w:divBdr>
            <w:top w:val="none" w:sz="0" w:space="0" w:color="auto"/>
            <w:left w:val="none" w:sz="0" w:space="0" w:color="auto"/>
            <w:bottom w:val="none" w:sz="0" w:space="0" w:color="auto"/>
            <w:right w:val="none" w:sz="0" w:space="0" w:color="auto"/>
          </w:divBdr>
        </w:div>
        <w:div w:id="1159882695">
          <w:marLeft w:val="640"/>
          <w:marRight w:val="0"/>
          <w:marTop w:val="0"/>
          <w:marBottom w:val="0"/>
          <w:divBdr>
            <w:top w:val="none" w:sz="0" w:space="0" w:color="auto"/>
            <w:left w:val="none" w:sz="0" w:space="0" w:color="auto"/>
            <w:bottom w:val="none" w:sz="0" w:space="0" w:color="auto"/>
            <w:right w:val="none" w:sz="0" w:space="0" w:color="auto"/>
          </w:divBdr>
        </w:div>
        <w:div w:id="1178039690">
          <w:marLeft w:val="640"/>
          <w:marRight w:val="0"/>
          <w:marTop w:val="0"/>
          <w:marBottom w:val="0"/>
          <w:divBdr>
            <w:top w:val="none" w:sz="0" w:space="0" w:color="auto"/>
            <w:left w:val="none" w:sz="0" w:space="0" w:color="auto"/>
            <w:bottom w:val="none" w:sz="0" w:space="0" w:color="auto"/>
            <w:right w:val="none" w:sz="0" w:space="0" w:color="auto"/>
          </w:divBdr>
        </w:div>
        <w:div w:id="1213887839">
          <w:marLeft w:val="640"/>
          <w:marRight w:val="0"/>
          <w:marTop w:val="0"/>
          <w:marBottom w:val="0"/>
          <w:divBdr>
            <w:top w:val="none" w:sz="0" w:space="0" w:color="auto"/>
            <w:left w:val="none" w:sz="0" w:space="0" w:color="auto"/>
            <w:bottom w:val="none" w:sz="0" w:space="0" w:color="auto"/>
            <w:right w:val="none" w:sz="0" w:space="0" w:color="auto"/>
          </w:divBdr>
        </w:div>
        <w:div w:id="1219438708">
          <w:marLeft w:val="640"/>
          <w:marRight w:val="0"/>
          <w:marTop w:val="0"/>
          <w:marBottom w:val="0"/>
          <w:divBdr>
            <w:top w:val="none" w:sz="0" w:space="0" w:color="auto"/>
            <w:left w:val="none" w:sz="0" w:space="0" w:color="auto"/>
            <w:bottom w:val="none" w:sz="0" w:space="0" w:color="auto"/>
            <w:right w:val="none" w:sz="0" w:space="0" w:color="auto"/>
          </w:divBdr>
        </w:div>
        <w:div w:id="1223445930">
          <w:marLeft w:val="640"/>
          <w:marRight w:val="0"/>
          <w:marTop w:val="0"/>
          <w:marBottom w:val="0"/>
          <w:divBdr>
            <w:top w:val="none" w:sz="0" w:space="0" w:color="auto"/>
            <w:left w:val="none" w:sz="0" w:space="0" w:color="auto"/>
            <w:bottom w:val="none" w:sz="0" w:space="0" w:color="auto"/>
            <w:right w:val="none" w:sz="0" w:space="0" w:color="auto"/>
          </w:divBdr>
        </w:div>
        <w:div w:id="1380789293">
          <w:marLeft w:val="640"/>
          <w:marRight w:val="0"/>
          <w:marTop w:val="0"/>
          <w:marBottom w:val="0"/>
          <w:divBdr>
            <w:top w:val="none" w:sz="0" w:space="0" w:color="auto"/>
            <w:left w:val="none" w:sz="0" w:space="0" w:color="auto"/>
            <w:bottom w:val="none" w:sz="0" w:space="0" w:color="auto"/>
            <w:right w:val="none" w:sz="0" w:space="0" w:color="auto"/>
          </w:divBdr>
        </w:div>
        <w:div w:id="1429622774">
          <w:marLeft w:val="640"/>
          <w:marRight w:val="0"/>
          <w:marTop w:val="0"/>
          <w:marBottom w:val="0"/>
          <w:divBdr>
            <w:top w:val="none" w:sz="0" w:space="0" w:color="auto"/>
            <w:left w:val="none" w:sz="0" w:space="0" w:color="auto"/>
            <w:bottom w:val="none" w:sz="0" w:space="0" w:color="auto"/>
            <w:right w:val="none" w:sz="0" w:space="0" w:color="auto"/>
          </w:divBdr>
        </w:div>
        <w:div w:id="1455173174">
          <w:marLeft w:val="640"/>
          <w:marRight w:val="0"/>
          <w:marTop w:val="0"/>
          <w:marBottom w:val="0"/>
          <w:divBdr>
            <w:top w:val="none" w:sz="0" w:space="0" w:color="auto"/>
            <w:left w:val="none" w:sz="0" w:space="0" w:color="auto"/>
            <w:bottom w:val="none" w:sz="0" w:space="0" w:color="auto"/>
            <w:right w:val="none" w:sz="0" w:space="0" w:color="auto"/>
          </w:divBdr>
        </w:div>
        <w:div w:id="1466310413">
          <w:marLeft w:val="640"/>
          <w:marRight w:val="0"/>
          <w:marTop w:val="0"/>
          <w:marBottom w:val="0"/>
          <w:divBdr>
            <w:top w:val="none" w:sz="0" w:space="0" w:color="auto"/>
            <w:left w:val="none" w:sz="0" w:space="0" w:color="auto"/>
            <w:bottom w:val="none" w:sz="0" w:space="0" w:color="auto"/>
            <w:right w:val="none" w:sz="0" w:space="0" w:color="auto"/>
          </w:divBdr>
        </w:div>
        <w:div w:id="1471292197">
          <w:marLeft w:val="640"/>
          <w:marRight w:val="0"/>
          <w:marTop w:val="0"/>
          <w:marBottom w:val="0"/>
          <w:divBdr>
            <w:top w:val="none" w:sz="0" w:space="0" w:color="auto"/>
            <w:left w:val="none" w:sz="0" w:space="0" w:color="auto"/>
            <w:bottom w:val="none" w:sz="0" w:space="0" w:color="auto"/>
            <w:right w:val="none" w:sz="0" w:space="0" w:color="auto"/>
          </w:divBdr>
        </w:div>
        <w:div w:id="1509949835">
          <w:marLeft w:val="640"/>
          <w:marRight w:val="0"/>
          <w:marTop w:val="0"/>
          <w:marBottom w:val="0"/>
          <w:divBdr>
            <w:top w:val="none" w:sz="0" w:space="0" w:color="auto"/>
            <w:left w:val="none" w:sz="0" w:space="0" w:color="auto"/>
            <w:bottom w:val="none" w:sz="0" w:space="0" w:color="auto"/>
            <w:right w:val="none" w:sz="0" w:space="0" w:color="auto"/>
          </w:divBdr>
        </w:div>
        <w:div w:id="1545828899">
          <w:marLeft w:val="640"/>
          <w:marRight w:val="0"/>
          <w:marTop w:val="0"/>
          <w:marBottom w:val="0"/>
          <w:divBdr>
            <w:top w:val="none" w:sz="0" w:space="0" w:color="auto"/>
            <w:left w:val="none" w:sz="0" w:space="0" w:color="auto"/>
            <w:bottom w:val="none" w:sz="0" w:space="0" w:color="auto"/>
            <w:right w:val="none" w:sz="0" w:space="0" w:color="auto"/>
          </w:divBdr>
        </w:div>
        <w:div w:id="1560898876">
          <w:marLeft w:val="640"/>
          <w:marRight w:val="0"/>
          <w:marTop w:val="0"/>
          <w:marBottom w:val="0"/>
          <w:divBdr>
            <w:top w:val="none" w:sz="0" w:space="0" w:color="auto"/>
            <w:left w:val="none" w:sz="0" w:space="0" w:color="auto"/>
            <w:bottom w:val="none" w:sz="0" w:space="0" w:color="auto"/>
            <w:right w:val="none" w:sz="0" w:space="0" w:color="auto"/>
          </w:divBdr>
        </w:div>
        <w:div w:id="1566332372">
          <w:marLeft w:val="640"/>
          <w:marRight w:val="0"/>
          <w:marTop w:val="0"/>
          <w:marBottom w:val="0"/>
          <w:divBdr>
            <w:top w:val="none" w:sz="0" w:space="0" w:color="auto"/>
            <w:left w:val="none" w:sz="0" w:space="0" w:color="auto"/>
            <w:bottom w:val="none" w:sz="0" w:space="0" w:color="auto"/>
            <w:right w:val="none" w:sz="0" w:space="0" w:color="auto"/>
          </w:divBdr>
        </w:div>
        <w:div w:id="1593321712">
          <w:marLeft w:val="640"/>
          <w:marRight w:val="0"/>
          <w:marTop w:val="0"/>
          <w:marBottom w:val="0"/>
          <w:divBdr>
            <w:top w:val="none" w:sz="0" w:space="0" w:color="auto"/>
            <w:left w:val="none" w:sz="0" w:space="0" w:color="auto"/>
            <w:bottom w:val="none" w:sz="0" w:space="0" w:color="auto"/>
            <w:right w:val="none" w:sz="0" w:space="0" w:color="auto"/>
          </w:divBdr>
        </w:div>
        <w:div w:id="1630936521">
          <w:marLeft w:val="640"/>
          <w:marRight w:val="0"/>
          <w:marTop w:val="0"/>
          <w:marBottom w:val="0"/>
          <w:divBdr>
            <w:top w:val="none" w:sz="0" w:space="0" w:color="auto"/>
            <w:left w:val="none" w:sz="0" w:space="0" w:color="auto"/>
            <w:bottom w:val="none" w:sz="0" w:space="0" w:color="auto"/>
            <w:right w:val="none" w:sz="0" w:space="0" w:color="auto"/>
          </w:divBdr>
        </w:div>
        <w:div w:id="1725785662">
          <w:marLeft w:val="640"/>
          <w:marRight w:val="0"/>
          <w:marTop w:val="0"/>
          <w:marBottom w:val="0"/>
          <w:divBdr>
            <w:top w:val="none" w:sz="0" w:space="0" w:color="auto"/>
            <w:left w:val="none" w:sz="0" w:space="0" w:color="auto"/>
            <w:bottom w:val="none" w:sz="0" w:space="0" w:color="auto"/>
            <w:right w:val="none" w:sz="0" w:space="0" w:color="auto"/>
          </w:divBdr>
        </w:div>
        <w:div w:id="1890875973">
          <w:marLeft w:val="640"/>
          <w:marRight w:val="0"/>
          <w:marTop w:val="0"/>
          <w:marBottom w:val="0"/>
          <w:divBdr>
            <w:top w:val="none" w:sz="0" w:space="0" w:color="auto"/>
            <w:left w:val="none" w:sz="0" w:space="0" w:color="auto"/>
            <w:bottom w:val="none" w:sz="0" w:space="0" w:color="auto"/>
            <w:right w:val="none" w:sz="0" w:space="0" w:color="auto"/>
          </w:divBdr>
        </w:div>
        <w:div w:id="1957053800">
          <w:marLeft w:val="640"/>
          <w:marRight w:val="0"/>
          <w:marTop w:val="0"/>
          <w:marBottom w:val="0"/>
          <w:divBdr>
            <w:top w:val="none" w:sz="0" w:space="0" w:color="auto"/>
            <w:left w:val="none" w:sz="0" w:space="0" w:color="auto"/>
            <w:bottom w:val="none" w:sz="0" w:space="0" w:color="auto"/>
            <w:right w:val="none" w:sz="0" w:space="0" w:color="auto"/>
          </w:divBdr>
        </w:div>
        <w:div w:id="1964652513">
          <w:marLeft w:val="640"/>
          <w:marRight w:val="0"/>
          <w:marTop w:val="0"/>
          <w:marBottom w:val="0"/>
          <w:divBdr>
            <w:top w:val="none" w:sz="0" w:space="0" w:color="auto"/>
            <w:left w:val="none" w:sz="0" w:space="0" w:color="auto"/>
            <w:bottom w:val="none" w:sz="0" w:space="0" w:color="auto"/>
            <w:right w:val="none" w:sz="0" w:space="0" w:color="auto"/>
          </w:divBdr>
        </w:div>
        <w:div w:id="2001500656">
          <w:marLeft w:val="640"/>
          <w:marRight w:val="0"/>
          <w:marTop w:val="0"/>
          <w:marBottom w:val="0"/>
          <w:divBdr>
            <w:top w:val="none" w:sz="0" w:space="0" w:color="auto"/>
            <w:left w:val="none" w:sz="0" w:space="0" w:color="auto"/>
            <w:bottom w:val="none" w:sz="0" w:space="0" w:color="auto"/>
            <w:right w:val="none" w:sz="0" w:space="0" w:color="auto"/>
          </w:divBdr>
        </w:div>
        <w:div w:id="2005012891">
          <w:marLeft w:val="640"/>
          <w:marRight w:val="0"/>
          <w:marTop w:val="0"/>
          <w:marBottom w:val="0"/>
          <w:divBdr>
            <w:top w:val="none" w:sz="0" w:space="0" w:color="auto"/>
            <w:left w:val="none" w:sz="0" w:space="0" w:color="auto"/>
            <w:bottom w:val="none" w:sz="0" w:space="0" w:color="auto"/>
            <w:right w:val="none" w:sz="0" w:space="0" w:color="auto"/>
          </w:divBdr>
        </w:div>
        <w:div w:id="2041125284">
          <w:marLeft w:val="640"/>
          <w:marRight w:val="0"/>
          <w:marTop w:val="0"/>
          <w:marBottom w:val="0"/>
          <w:divBdr>
            <w:top w:val="none" w:sz="0" w:space="0" w:color="auto"/>
            <w:left w:val="none" w:sz="0" w:space="0" w:color="auto"/>
            <w:bottom w:val="none" w:sz="0" w:space="0" w:color="auto"/>
            <w:right w:val="none" w:sz="0" w:space="0" w:color="auto"/>
          </w:divBdr>
        </w:div>
        <w:div w:id="2051344989">
          <w:marLeft w:val="640"/>
          <w:marRight w:val="0"/>
          <w:marTop w:val="0"/>
          <w:marBottom w:val="0"/>
          <w:divBdr>
            <w:top w:val="none" w:sz="0" w:space="0" w:color="auto"/>
            <w:left w:val="none" w:sz="0" w:space="0" w:color="auto"/>
            <w:bottom w:val="none" w:sz="0" w:space="0" w:color="auto"/>
            <w:right w:val="none" w:sz="0" w:space="0" w:color="auto"/>
          </w:divBdr>
        </w:div>
        <w:div w:id="2057772212">
          <w:marLeft w:val="640"/>
          <w:marRight w:val="0"/>
          <w:marTop w:val="0"/>
          <w:marBottom w:val="0"/>
          <w:divBdr>
            <w:top w:val="none" w:sz="0" w:space="0" w:color="auto"/>
            <w:left w:val="none" w:sz="0" w:space="0" w:color="auto"/>
            <w:bottom w:val="none" w:sz="0" w:space="0" w:color="auto"/>
            <w:right w:val="none" w:sz="0" w:space="0" w:color="auto"/>
          </w:divBdr>
        </w:div>
        <w:div w:id="2088838738">
          <w:marLeft w:val="640"/>
          <w:marRight w:val="0"/>
          <w:marTop w:val="0"/>
          <w:marBottom w:val="0"/>
          <w:divBdr>
            <w:top w:val="none" w:sz="0" w:space="0" w:color="auto"/>
            <w:left w:val="none" w:sz="0" w:space="0" w:color="auto"/>
            <w:bottom w:val="none" w:sz="0" w:space="0" w:color="auto"/>
            <w:right w:val="none" w:sz="0" w:space="0" w:color="auto"/>
          </w:divBdr>
        </w:div>
      </w:divsChild>
    </w:div>
    <w:div w:id="903682287">
      <w:bodyDiv w:val="1"/>
      <w:marLeft w:val="0"/>
      <w:marRight w:val="0"/>
      <w:marTop w:val="0"/>
      <w:marBottom w:val="0"/>
      <w:divBdr>
        <w:top w:val="none" w:sz="0" w:space="0" w:color="auto"/>
        <w:left w:val="none" w:sz="0" w:space="0" w:color="auto"/>
        <w:bottom w:val="none" w:sz="0" w:space="0" w:color="auto"/>
        <w:right w:val="none" w:sz="0" w:space="0" w:color="auto"/>
      </w:divBdr>
    </w:div>
    <w:div w:id="904991858">
      <w:bodyDiv w:val="1"/>
      <w:marLeft w:val="0"/>
      <w:marRight w:val="0"/>
      <w:marTop w:val="0"/>
      <w:marBottom w:val="0"/>
      <w:divBdr>
        <w:top w:val="none" w:sz="0" w:space="0" w:color="auto"/>
        <w:left w:val="none" w:sz="0" w:space="0" w:color="auto"/>
        <w:bottom w:val="none" w:sz="0" w:space="0" w:color="auto"/>
        <w:right w:val="none" w:sz="0" w:space="0" w:color="auto"/>
      </w:divBdr>
      <w:divsChild>
        <w:div w:id="33312557">
          <w:marLeft w:val="640"/>
          <w:marRight w:val="0"/>
          <w:marTop w:val="0"/>
          <w:marBottom w:val="0"/>
          <w:divBdr>
            <w:top w:val="none" w:sz="0" w:space="0" w:color="auto"/>
            <w:left w:val="none" w:sz="0" w:space="0" w:color="auto"/>
            <w:bottom w:val="none" w:sz="0" w:space="0" w:color="auto"/>
            <w:right w:val="none" w:sz="0" w:space="0" w:color="auto"/>
          </w:divBdr>
        </w:div>
        <w:div w:id="36130794">
          <w:marLeft w:val="640"/>
          <w:marRight w:val="0"/>
          <w:marTop w:val="0"/>
          <w:marBottom w:val="0"/>
          <w:divBdr>
            <w:top w:val="none" w:sz="0" w:space="0" w:color="auto"/>
            <w:left w:val="none" w:sz="0" w:space="0" w:color="auto"/>
            <w:bottom w:val="none" w:sz="0" w:space="0" w:color="auto"/>
            <w:right w:val="none" w:sz="0" w:space="0" w:color="auto"/>
          </w:divBdr>
        </w:div>
        <w:div w:id="65610824">
          <w:marLeft w:val="640"/>
          <w:marRight w:val="0"/>
          <w:marTop w:val="0"/>
          <w:marBottom w:val="0"/>
          <w:divBdr>
            <w:top w:val="none" w:sz="0" w:space="0" w:color="auto"/>
            <w:left w:val="none" w:sz="0" w:space="0" w:color="auto"/>
            <w:bottom w:val="none" w:sz="0" w:space="0" w:color="auto"/>
            <w:right w:val="none" w:sz="0" w:space="0" w:color="auto"/>
          </w:divBdr>
        </w:div>
        <w:div w:id="71241433">
          <w:marLeft w:val="640"/>
          <w:marRight w:val="0"/>
          <w:marTop w:val="0"/>
          <w:marBottom w:val="0"/>
          <w:divBdr>
            <w:top w:val="none" w:sz="0" w:space="0" w:color="auto"/>
            <w:left w:val="none" w:sz="0" w:space="0" w:color="auto"/>
            <w:bottom w:val="none" w:sz="0" w:space="0" w:color="auto"/>
            <w:right w:val="none" w:sz="0" w:space="0" w:color="auto"/>
          </w:divBdr>
        </w:div>
        <w:div w:id="75589886">
          <w:marLeft w:val="640"/>
          <w:marRight w:val="0"/>
          <w:marTop w:val="0"/>
          <w:marBottom w:val="0"/>
          <w:divBdr>
            <w:top w:val="none" w:sz="0" w:space="0" w:color="auto"/>
            <w:left w:val="none" w:sz="0" w:space="0" w:color="auto"/>
            <w:bottom w:val="none" w:sz="0" w:space="0" w:color="auto"/>
            <w:right w:val="none" w:sz="0" w:space="0" w:color="auto"/>
          </w:divBdr>
        </w:div>
        <w:div w:id="108278783">
          <w:marLeft w:val="640"/>
          <w:marRight w:val="0"/>
          <w:marTop w:val="0"/>
          <w:marBottom w:val="0"/>
          <w:divBdr>
            <w:top w:val="none" w:sz="0" w:space="0" w:color="auto"/>
            <w:left w:val="none" w:sz="0" w:space="0" w:color="auto"/>
            <w:bottom w:val="none" w:sz="0" w:space="0" w:color="auto"/>
            <w:right w:val="none" w:sz="0" w:space="0" w:color="auto"/>
          </w:divBdr>
        </w:div>
        <w:div w:id="128324418">
          <w:marLeft w:val="640"/>
          <w:marRight w:val="0"/>
          <w:marTop w:val="0"/>
          <w:marBottom w:val="0"/>
          <w:divBdr>
            <w:top w:val="none" w:sz="0" w:space="0" w:color="auto"/>
            <w:left w:val="none" w:sz="0" w:space="0" w:color="auto"/>
            <w:bottom w:val="none" w:sz="0" w:space="0" w:color="auto"/>
            <w:right w:val="none" w:sz="0" w:space="0" w:color="auto"/>
          </w:divBdr>
        </w:div>
        <w:div w:id="131413420">
          <w:marLeft w:val="640"/>
          <w:marRight w:val="0"/>
          <w:marTop w:val="0"/>
          <w:marBottom w:val="0"/>
          <w:divBdr>
            <w:top w:val="none" w:sz="0" w:space="0" w:color="auto"/>
            <w:left w:val="none" w:sz="0" w:space="0" w:color="auto"/>
            <w:bottom w:val="none" w:sz="0" w:space="0" w:color="auto"/>
            <w:right w:val="none" w:sz="0" w:space="0" w:color="auto"/>
          </w:divBdr>
        </w:div>
        <w:div w:id="134689005">
          <w:marLeft w:val="640"/>
          <w:marRight w:val="0"/>
          <w:marTop w:val="0"/>
          <w:marBottom w:val="0"/>
          <w:divBdr>
            <w:top w:val="none" w:sz="0" w:space="0" w:color="auto"/>
            <w:left w:val="none" w:sz="0" w:space="0" w:color="auto"/>
            <w:bottom w:val="none" w:sz="0" w:space="0" w:color="auto"/>
            <w:right w:val="none" w:sz="0" w:space="0" w:color="auto"/>
          </w:divBdr>
        </w:div>
        <w:div w:id="155732019">
          <w:marLeft w:val="640"/>
          <w:marRight w:val="0"/>
          <w:marTop w:val="0"/>
          <w:marBottom w:val="0"/>
          <w:divBdr>
            <w:top w:val="none" w:sz="0" w:space="0" w:color="auto"/>
            <w:left w:val="none" w:sz="0" w:space="0" w:color="auto"/>
            <w:bottom w:val="none" w:sz="0" w:space="0" w:color="auto"/>
            <w:right w:val="none" w:sz="0" w:space="0" w:color="auto"/>
          </w:divBdr>
        </w:div>
        <w:div w:id="182667714">
          <w:marLeft w:val="640"/>
          <w:marRight w:val="0"/>
          <w:marTop w:val="0"/>
          <w:marBottom w:val="0"/>
          <w:divBdr>
            <w:top w:val="none" w:sz="0" w:space="0" w:color="auto"/>
            <w:left w:val="none" w:sz="0" w:space="0" w:color="auto"/>
            <w:bottom w:val="none" w:sz="0" w:space="0" w:color="auto"/>
            <w:right w:val="none" w:sz="0" w:space="0" w:color="auto"/>
          </w:divBdr>
        </w:div>
        <w:div w:id="184170907">
          <w:marLeft w:val="640"/>
          <w:marRight w:val="0"/>
          <w:marTop w:val="0"/>
          <w:marBottom w:val="0"/>
          <w:divBdr>
            <w:top w:val="none" w:sz="0" w:space="0" w:color="auto"/>
            <w:left w:val="none" w:sz="0" w:space="0" w:color="auto"/>
            <w:bottom w:val="none" w:sz="0" w:space="0" w:color="auto"/>
            <w:right w:val="none" w:sz="0" w:space="0" w:color="auto"/>
          </w:divBdr>
        </w:div>
        <w:div w:id="208539452">
          <w:marLeft w:val="640"/>
          <w:marRight w:val="0"/>
          <w:marTop w:val="0"/>
          <w:marBottom w:val="0"/>
          <w:divBdr>
            <w:top w:val="none" w:sz="0" w:space="0" w:color="auto"/>
            <w:left w:val="none" w:sz="0" w:space="0" w:color="auto"/>
            <w:bottom w:val="none" w:sz="0" w:space="0" w:color="auto"/>
            <w:right w:val="none" w:sz="0" w:space="0" w:color="auto"/>
          </w:divBdr>
        </w:div>
        <w:div w:id="210191072">
          <w:marLeft w:val="640"/>
          <w:marRight w:val="0"/>
          <w:marTop w:val="0"/>
          <w:marBottom w:val="0"/>
          <w:divBdr>
            <w:top w:val="none" w:sz="0" w:space="0" w:color="auto"/>
            <w:left w:val="none" w:sz="0" w:space="0" w:color="auto"/>
            <w:bottom w:val="none" w:sz="0" w:space="0" w:color="auto"/>
            <w:right w:val="none" w:sz="0" w:space="0" w:color="auto"/>
          </w:divBdr>
        </w:div>
        <w:div w:id="215552289">
          <w:marLeft w:val="640"/>
          <w:marRight w:val="0"/>
          <w:marTop w:val="0"/>
          <w:marBottom w:val="0"/>
          <w:divBdr>
            <w:top w:val="none" w:sz="0" w:space="0" w:color="auto"/>
            <w:left w:val="none" w:sz="0" w:space="0" w:color="auto"/>
            <w:bottom w:val="none" w:sz="0" w:space="0" w:color="auto"/>
            <w:right w:val="none" w:sz="0" w:space="0" w:color="auto"/>
          </w:divBdr>
        </w:div>
        <w:div w:id="222719656">
          <w:marLeft w:val="640"/>
          <w:marRight w:val="0"/>
          <w:marTop w:val="0"/>
          <w:marBottom w:val="0"/>
          <w:divBdr>
            <w:top w:val="none" w:sz="0" w:space="0" w:color="auto"/>
            <w:left w:val="none" w:sz="0" w:space="0" w:color="auto"/>
            <w:bottom w:val="none" w:sz="0" w:space="0" w:color="auto"/>
            <w:right w:val="none" w:sz="0" w:space="0" w:color="auto"/>
          </w:divBdr>
        </w:div>
        <w:div w:id="223177775">
          <w:marLeft w:val="640"/>
          <w:marRight w:val="0"/>
          <w:marTop w:val="0"/>
          <w:marBottom w:val="0"/>
          <w:divBdr>
            <w:top w:val="none" w:sz="0" w:space="0" w:color="auto"/>
            <w:left w:val="none" w:sz="0" w:space="0" w:color="auto"/>
            <w:bottom w:val="none" w:sz="0" w:space="0" w:color="auto"/>
            <w:right w:val="none" w:sz="0" w:space="0" w:color="auto"/>
          </w:divBdr>
        </w:div>
        <w:div w:id="236717773">
          <w:marLeft w:val="640"/>
          <w:marRight w:val="0"/>
          <w:marTop w:val="0"/>
          <w:marBottom w:val="0"/>
          <w:divBdr>
            <w:top w:val="none" w:sz="0" w:space="0" w:color="auto"/>
            <w:left w:val="none" w:sz="0" w:space="0" w:color="auto"/>
            <w:bottom w:val="none" w:sz="0" w:space="0" w:color="auto"/>
            <w:right w:val="none" w:sz="0" w:space="0" w:color="auto"/>
          </w:divBdr>
        </w:div>
        <w:div w:id="318000744">
          <w:marLeft w:val="640"/>
          <w:marRight w:val="0"/>
          <w:marTop w:val="0"/>
          <w:marBottom w:val="0"/>
          <w:divBdr>
            <w:top w:val="none" w:sz="0" w:space="0" w:color="auto"/>
            <w:left w:val="none" w:sz="0" w:space="0" w:color="auto"/>
            <w:bottom w:val="none" w:sz="0" w:space="0" w:color="auto"/>
            <w:right w:val="none" w:sz="0" w:space="0" w:color="auto"/>
          </w:divBdr>
        </w:div>
        <w:div w:id="331494623">
          <w:marLeft w:val="640"/>
          <w:marRight w:val="0"/>
          <w:marTop w:val="0"/>
          <w:marBottom w:val="0"/>
          <w:divBdr>
            <w:top w:val="none" w:sz="0" w:space="0" w:color="auto"/>
            <w:left w:val="none" w:sz="0" w:space="0" w:color="auto"/>
            <w:bottom w:val="none" w:sz="0" w:space="0" w:color="auto"/>
            <w:right w:val="none" w:sz="0" w:space="0" w:color="auto"/>
          </w:divBdr>
        </w:div>
        <w:div w:id="348412911">
          <w:marLeft w:val="640"/>
          <w:marRight w:val="0"/>
          <w:marTop w:val="0"/>
          <w:marBottom w:val="0"/>
          <w:divBdr>
            <w:top w:val="none" w:sz="0" w:space="0" w:color="auto"/>
            <w:left w:val="none" w:sz="0" w:space="0" w:color="auto"/>
            <w:bottom w:val="none" w:sz="0" w:space="0" w:color="auto"/>
            <w:right w:val="none" w:sz="0" w:space="0" w:color="auto"/>
          </w:divBdr>
        </w:div>
        <w:div w:id="377553638">
          <w:marLeft w:val="640"/>
          <w:marRight w:val="0"/>
          <w:marTop w:val="0"/>
          <w:marBottom w:val="0"/>
          <w:divBdr>
            <w:top w:val="none" w:sz="0" w:space="0" w:color="auto"/>
            <w:left w:val="none" w:sz="0" w:space="0" w:color="auto"/>
            <w:bottom w:val="none" w:sz="0" w:space="0" w:color="auto"/>
            <w:right w:val="none" w:sz="0" w:space="0" w:color="auto"/>
          </w:divBdr>
        </w:div>
        <w:div w:id="456292270">
          <w:marLeft w:val="640"/>
          <w:marRight w:val="0"/>
          <w:marTop w:val="0"/>
          <w:marBottom w:val="0"/>
          <w:divBdr>
            <w:top w:val="none" w:sz="0" w:space="0" w:color="auto"/>
            <w:left w:val="none" w:sz="0" w:space="0" w:color="auto"/>
            <w:bottom w:val="none" w:sz="0" w:space="0" w:color="auto"/>
            <w:right w:val="none" w:sz="0" w:space="0" w:color="auto"/>
          </w:divBdr>
        </w:div>
        <w:div w:id="509955956">
          <w:marLeft w:val="640"/>
          <w:marRight w:val="0"/>
          <w:marTop w:val="0"/>
          <w:marBottom w:val="0"/>
          <w:divBdr>
            <w:top w:val="none" w:sz="0" w:space="0" w:color="auto"/>
            <w:left w:val="none" w:sz="0" w:space="0" w:color="auto"/>
            <w:bottom w:val="none" w:sz="0" w:space="0" w:color="auto"/>
            <w:right w:val="none" w:sz="0" w:space="0" w:color="auto"/>
          </w:divBdr>
        </w:div>
        <w:div w:id="606960329">
          <w:marLeft w:val="640"/>
          <w:marRight w:val="0"/>
          <w:marTop w:val="0"/>
          <w:marBottom w:val="0"/>
          <w:divBdr>
            <w:top w:val="none" w:sz="0" w:space="0" w:color="auto"/>
            <w:left w:val="none" w:sz="0" w:space="0" w:color="auto"/>
            <w:bottom w:val="none" w:sz="0" w:space="0" w:color="auto"/>
            <w:right w:val="none" w:sz="0" w:space="0" w:color="auto"/>
          </w:divBdr>
        </w:div>
        <w:div w:id="625739516">
          <w:marLeft w:val="640"/>
          <w:marRight w:val="0"/>
          <w:marTop w:val="0"/>
          <w:marBottom w:val="0"/>
          <w:divBdr>
            <w:top w:val="none" w:sz="0" w:space="0" w:color="auto"/>
            <w:left w:val="none" w:sz="0" w:space="0" w:color="auto"/>
            <w:bottom w:val="none" w:sz="0" w:space="0" w:color="auto"/>
            <w:right w:val="none" w:sz="0" w:space="0" w:color="auto"/>
          </w:divBdr>
        </w:div>
        <w:div w:id="665206374">
          <w:marLeft w:val="640"/>
          <w:marRight w:val="0"/>
          <w:marTop w:val="0"/>
          <w:marBottom w:val="0"/>
          <w:divBdr>
            <w:top w:val="none" w:sz="0" w:space="0" w:color="auto"/>
            <w:left w:val="none" w:sz="0" w:space="0" w:color="auto"/>
            <w:bottom w:val="none" w:sz="0" w:space="0" w:color="auto"/>
            <w:right w:val="none" w:sz="0" w:space="0" w:color="auto"/>
          </w:divBdr>
        </w:div>
        <w:div w:id="694187162">
          <w:marLeft w:val="640"/>
          <w:marRight w:val="0"/>
          <w:marTop w:val="0"/>
          <w:marBottom w:val="0"/>
          <w:divBdr>
            <w:top w:val="none" w:sz="0" w:space="0" w:color="auto"/>
            <w:left w:val="none" w:sz="0" w:space="0" w:color="auto"/>
            <w:bottom w:val="none" w:sz="0" w:space="0" w:color="auto"/>
            <w:right w:val="none" w:sz="0" w:space="0" w:color="auto"/>
          </w:divBdr>
        </w:div>
        <w:div w:id="707726040">
          <w:marLeft w:val="640"/>
          <w:marRight w:val="0"/>
          <w:marTop w:val="0"/>
          <w:marBottom w:val="0"/>
          <w:divBdr>
            <w:top w:val="none" w:sz="0" w:space="0" w:color="auto"/>
            <w:left w:val="none" w:sz="0" w:space="0" w:color="auto"/>
            <w:bottom w:val="none" w:sz="0" w:space="0" w:color="auto"/>
            <w:right w:val="none" w:sz="0" w:space="0" w:color="auto"/>
          </w:divBdr>
        </w:div>
        <w:div w:id="756486060">
          <w:marLeft w:val="640"/>
          <w:marRight w:val="0"/>
          <w:marTop w:val="0"/>
          <w:marBottom w:val="0"/>
          <w:divBdr>
            <w:top w:val="none" w:sz="0" w:space="0" w:color="auto"/>
            <w:left w:val="none" w:sz="0" w:space="0" w:color="auto"/>
            <w:bottom w:val="none" w:sz="0" w:space="0" w:color="auto"/>
            <w:right w:val="none" w:sz="0" w:space="0" w:color="auto"/>
          </w:divBdr>
        </w:div>
        <w:div w:id="806165831">
          <w:marLeft w:val="640"/>
          <w:marRight w:val="0"/>
          <w:marTop w:val="0"/>
          <w:marBottom w:val="0"/>
          <w:divBdr>
            <w:top w:val="none" w:sz="0" w:space="0" w:color="auto"/>
            <w:left w:val="none" w:sz="0" w:space="0" w:color="auto"/>
            <w:bottom w:val="none" w:sz="0" w:space="0" w:color="auto"/>
            <w:right w:val="none" w:sz="0" w:space="0" w:color="auto"/>
          </w:divBdr>
        </w:div>
        <w:div w:id="831414399">
          <w:marLeft w:val="640"/>
          <w:marRight w:val="0"/>
          <w:marTop w:val="0"/>
          <w:marBottom w:val="0"/>
          <w:divBdr>
            <w:top w:val="none" w:sz="0" w:space="0" w:color="auto"/>
            <w:left w:val="none" w:sz="0" w:space="0" w:color="auto"/>
            <w:bottom w:val="none" w:sz="0" w:space="0" w:color="auto"/>
            <w:right w:val="none" w:sz="0" w:space="0" w:color="auto"/>
          </w:divBdr>
        </w:div>
        <w:div w:id="929774243">
          <w:marLeft w:val="640"/>
          <w:marRight w:val="0"/>
          <w:marTop w:val="0"/>
          <w:marBottom w:val="0"/>
          <w:divBdr>
            <w:top w:val="none" w:sz="0" w:space="0" w:color="auto"/>
            <w:left w:val="none" w:sz="0" w:space="0" w:color="auto"/>
            <w:bottom w:val="none" w:sz="0" w:space="0" w:color="auto"/>
            <w:right w:val="none" w:sz="0" w:space="0" w:color="auto"/>
          </w:divBdr>
        </w:div>
        <w:div w:id="970863552">
          <w:marLeft w:val="640"/>
          <w:marRight w:val="0"/>
          <w:marTop w:val="0"/>
          <w:marBottom w:val="0"/>
          <w:divBdr>
            <w:top w:val="none" w:sz="0" w:space="0" w:color="auto"/>
            <w:left w:val="none" w:sz="0" w:space="0" w:color="auto"/>
            <w:bottom w:val="none" w:sz="0" w:space="0" w:color="auto"/>
            <w:right w:val="none" w:sz="0" w:space="0" w:color="auto"/>
          </w:divBdr>
        </w:div>
        <w:div w:id="985626264">
          <w:marLeft w:val="640"/>
          <w:marRight w:val="0"/>
          <w:marTop w:val="0"/>
          <w:marBottom w:val="0"/>
          <w:divBdr>
            <w:top w:val="none" w:sz="0" w:space="0" w:color="auto"/>
            <w:left w:val="none" w:sz="0" w:space="0" w:color="auto"/>
            <w:bottom w:val="none" w:sz="0" w:space="0" w:color="auto"/>
            <w:right w:val="none" w:sz="0" w:space="0" w:color="auto"/>
          </w:divBdr>
        </w:div>
        <w:div w:id="1003631877">
          <w:marLeft w:val="640"/>
          <w:marRight w:val="0"/>
          <w:marTop w:val="0"/>
          <w:marBottom w:val="0"/>
          <w:divBdr>
            <w:top w:val="none" w:sz="0" w:space="0" w:color="auto"/>
            <w:left w:val="none" w:sz="0" w:space="0" w:color="auto"/>
            <w:bottom w:val="none" w:sz="0" w:space="0" w:color="auto"/>
            <w:right w:val="none" w:sz="0" w:space="0" w:color="auto"/>
          </w:divBdr>
        </w:div>
        <w:div w:id="1070810524">
          <w:marLeft w:val="640"/>
          <w:marRight w:val="0"/>
          <w:marTop w:val="0"/>
          <w:marBottom w:val="0"/>
          <w:divBdr>
            <w:top w:val="none" w:sz="0" w:space="0" w:color="auto"/>
            <w:left w:val="none" w:sz="0" w:space="0" w:color="auto"/>
            <w:bottom w:val="none" w:sz="0" w:space="0" w:color="auto"/>
            <w:right w:val="none" w:sz="0" w:space="0" w:color="auto"/>
          </w:divBdr>
        </w:div>
        <w:div w:id="1096636421">
          <w:marLeft w:val="640"/>
          <w:marRight w:val="0"/>
          <w:marTop w:val="0"/>
          <w:marBottom w:val="0"/>
          <w:divBdr>
            <w:top w:val="none" w:sz="0" w:space="0" w:color="auto"/>
            <w:left w:val="none" w:sz="0" w:space="0" w:color="auto"/>
            <w:bottom w:val="none" w:sz="0" w:space="0" w:color="auto"/>
            <w:right w:val="none" w:sz="0" w:space="0" w:color="auto"/>
          </w:divBdr>
        </w:div>
        <w:div w:id="1098909201">
          <w:marLeft w:val="640"/>
          <w:marRight w:val="0"/>
          <w:marTop w:val="0"/>
          <w:marBottom w:val="0"/>
          <w:divBdr>
            <w:top w:val="none" w:sz="0" w:space="0" w:color="auto"/>
            <w:left w:val="none" w:sz="0" w:space="0" w:color="auto"/>
            <w:bottom w:val="none" w:sz="0" w:space="0" w:color="auto"/>
            <w:right w:val="none" w:sz="0" w:space="0" w:color="auto"/>
          </w:divBdr>
        </w:div>
        <w:div w:id="1105690305">
          <w:marLeft w:val="640"/>
          <w:marRight w:val="0"/>
          <w:marTop w:val="0"/>
          <w:marBottom w:val="0"/>
          <w:divBdr>
            <w:top w:val="none" w:sz="0" w:space="0" w:color="auto"/>
            <w:left w:val="none" w:sz="0" w:space="0" w:color="auto"/>
            <w:bottom w:val="none" w:sz="0" w:space="0" w:color="auto"/>
            <w:right w:val="none" w:sz="0" w:space="0" w:color="auto"/>
          </w:divBdr>
        </w:div>
        <w:div w:id="1117068263">
          <w:marLeft w:val="640"/>
          <w:marRight w:val="0"/>
          <w:marTop w:val="0"/>
          <w:marBottom w:val="0"/>
          <w:divBdr>
            <w:top w:val="none" w:sz="0" w:space="0" w:color="auto"/>
            <w:left w:val="none" w:sz="0" w:space="0" w:color="auto"/>
            <w:bottom w:val="none" w:sz="0" w:space="0" w:color="auto"/>
            <w:right w:val="none" w:sz="0" w:space="0" w:color="auto"/>
          </w:divBdr>
        </w:div>
        <w:div w:id="1232153893">
          <w:marLeft w:val="640"/>
          <w:marRight w:val="0"/>
          <w:marTop w:val="0"/>
          <w:marBottom w:val="0"/>
          <w:divBdr>
            <w:top w:val="none" w:sz="0" w:space="0" w:color="auto"/>
            <w:left w:val="none" w:sz="0" w:space="0" w:color="auto"/>
            <w:bottom w:val="none" w:sz="0" w:space="0" w:color="auto"/>
            <w:right w:val="none" w:sz="0" w:space="0" w:color="auto"/>
          </w:divBdr>
        </w:div>
        <w:div w:id="1249996133">
          <w:marLeft w:val="640"/>
          <w:marRight w:val="0"/>
          <w:marTop w:val="0"/>
          <w:marBottom w:val="0"/>
          <w:divBdr>
            <w:top w:val="none" w:sz="0" w:space="0" w:color="auto"/>
            <w:left w:val="none" w:sz="0" w:space="0" w:color="auto"/>
            <w:bottom w:val="none" w:sz="0" w:space="0" w:color="auto"/>
            <w:right w:val="none" w:sz="0" w:space="0" w:color="auto"/>
          </w:divBdr>
        </w:div>
        <w:div w:id="1266961674">
          <w:marLeft w:val="640"/>
          <w:marRight w:val="0"/>
          <w:marTop w:val="0"/>
          <w:marBottom w:val="0"/>
          <w:divBdr>
            <w:top w:val="none" w:sz="0" w:space="0" w:color="auto"/>
            <w:left w:val="none" w:sz="0" w:space="0" w:color="auto"/>
            <w:bottom w:val="none" w:sz="0" w:space="0" w:color="auto"/>
            <w:right w:val="none" w:sz="0" w:space="0" w:color="auto"/>
          </w:divBdr>
        </w:div>
        <w:div w:id="1366370786">
          <w:marLeft w:val="640"/>
          <w:marRight w:val="0"/>
          <w:marTop w:val="0"/>
          <w:marBottom w:val="0"/>
          <w:divBdr>
            <w:top w:val="none" w:sz="0" w:space="0" w:color="auto"/>
            <w:left w:val="none" w:sz="0" w:space="0" w:color="auto"/>
            <w:bottom w:val="none" w:sz="0" w:space="0" w:color="auto"/>
            <w:right w:val="none" w:sz="0" w:space="0" w:color="auto"/>
          </w:divBdr>
        </w:div>
        <w:div w:id="1444836641">
          <w:marLeft w:val="640"/>
          <w:marRight w:val="0"/>
          <w:marTop w:val="0"/>
          <w:marBottom w:val="0"/>
          <w:divBdr>
            <w:top w:val="none" w:sz="0" w:space="0" w:color="auto"/>
            <w:left w:val="none" w:sz="0" w:space="0" w:color="auto"/>
            <w:bottom w:val="none" w:sz="0" w:space="0" w:color="auto"/>
            <w:right w:val="none" w:sz="0" w:space="0" w:color="auto"/>
          </w:divBdr>
        </w:div>
        <w:div w:id="1469325324">
          <w:marLeft w:val="640"/>
          <w:marRight w:val="0"/>
          <w:marTop w:val="0"/>
          <w:marBottom w:val="0"/>
          <w:divBdr>
            <w:top w:val="none" w:sz="0" w:space="0" w:color="auto"/>
            <w:left w:val="none" w:sz="0" w:space="0" w:color="auto"/>
            <w:bottom w:val="none" w:sz="0" w:space="0" w:color="auto"/>
            <w:right w:val="none" w:sz="0" w:space="0" w:color="auto"/>
          </w:divBdr>
        </w:div>
        <w:div w:id="1554854370">
          <w:marLeft w:val="640"/>
          <w:marRight w:val="0"/>
          <w:marTop w:val="0"/>
          <w:marBottom w:val="0"/>
          <w:divBdr>
            <w:top w:val="none" w:sz="0" w:space="0" w:color="auto"/>
            <w:left w:val="none" w:sz="0" w:space="0" w:color="auto"/>
            <w:bottom w:val="none" w:sz="0" w:space="0" w:color="auto"/>
            <w:right w:val="none" w:sz="0" w:space="0" w:color="auto"/>
          </w:divBdr>
        </w:div>
        <w:div w:id="1565675082">
          <w:marLeft w:val="640"/>
          <w:marRight w:val="0"/>
          <w:marTop w:val="0"/>
          <w:marBottom w:val="0"/>
          <w:divBdr>
            <w:top w:val="none" w:sz="0" w:space="0" w:color="auto"/>
            <w:left w:val="none" w:sz="0" w:space="0" w:color="auto"/>
            <w:bottom w:val="none" w:sz="0" w:space="0" w:color="auto"/>
            <w:right w:val="none" w:sz="0" w:space="0" w:color="auto"/>
          </w:divBdr>
        </w:div>
        <w:div w:id="1629239627">
          <w:marLeft w:val="640"/>
          <w:marRight w:val="0"/>
          <w:marTop w:val="0"/>
          <w:marBottom w:val="0"/>
          <w:divBdr>
            <w:top w:val="none" w:sz="0" w:space="0" w:color="auto"/>
            <w:left w:val="none" w:sz="0" w:space="0" w:color="auto"/>
            <w:bottom w:val="none" w:sz="0" w:space="0" w:color="auto"/>
            <w:right w:val="none" w:sz="0" w:space="0" w:color="auto"/>
          </w:divBdr>
        </w:div>
        <w:div w:id="1643382650">
          <w:marLeft w:val="640"/>
          <w:marRight w:val="0"/>
          <w:marTop w:val="0"/>
          <w:marBottom w:val="0"/>
          <w:divBdr>
            <w:top w:val="none" w:sz="0" w:space="0" w:color="auto"/>
            <w:left w:val="none" w:sz="0" w:space="0" w:color="auto"/>
            <w:bottom w:val="none" w:sz="0" w:space="0" w:color="auto"/>
            <w:right w:val="none" w:sz="0" w:space="0" w:color="auto"/>
          </w:divBdr>
        </w:div>
        <w:div w:id="1701666817">
          <w:marLeft w:val="640"/>
          <w:marRight w:val="0"/>
          <w:marTop w:val="0"/>
          <w:marBottom w:val="0"/>
          <w:divBdr>
            <w:top w:val="none" w:sz="0" w:space="0" w:color="auto"/>
            <w:left w:val="none" w:sz="0" w:space="0" w:color="auto"/>
            <w:bottom w:val="none" w:sz="0" w:space="0" w:color="auto"/>
            <w:right w:val="none" w:sz="0" w:space="0" w:color="auto"/>
          </w:divBdr>
        </w:div>
        <w:div w:id="1715929472">
          <w:marLeft w:val="640"/>
          <w:marRight w:val="0"/>
          <w:marTop w:val="0"/>
          <w:marBottom w:val="0"/>
          <w:divBdr>
            <w:top w:val="none" w:sz="0" w:space="0" w:color="auto"/>
            <w:left w:val="none" w:sz="0" w:space="0" w:color="auto"/>
            <w:bottom w:val="none" w:sz="0" w:space="0" w:color="auto"/>
            <w:right w:val="none" w:sz="0" w:space="0" w:color="auto"/>
          </w:divBdr>
        </w:div>
        <w:div w:id="1717775166">
          <w:marLeft w:val="640"/>
          <w:marRight w:val="0"/>
          <w:marTop w:val="0"/>
          <w:marBottom w:val="0"/>
          <w:divBdr>
            <w:top w:val="none" w:sz="0" w:space="0" w:color="auto"/>
            <w:left w:val="none" w:sz="0" w:space="0" w:color="auto"/>
            <w:bottom w:val="none" w:sz="0" w:space="0" w:color="auto"/>
            <w:right w:val="none" w:sz="0" w:space="0" w:color="auto"/>
          </w:divBdr>
        </w:div>
        <w:div w:id="1729382077">
          <w:marLeft w:val="640"/>
          <w:marRight w:val="0"/>
          <w:marTop w:val="0"/>
          <w:marBottom w:val="0"/>
          <w:divBdr>
            <w:top w:val="none" w:sz="0" w:space="0" w:color="auto"/>
            <w:left w:val="none" w:sz="0" w:space="0" w:color="auto"/>
            <w:bottom w:val="none" w:sz="0" w:space="0" w:color="auto"/>
            <w:right w:val="none" w:sz="0" w:space="0" w:color="auto"/>
          </w:divBdr>
        </w:div>
        <w:div w:id="1745224642">
          <w:marLeft w:val="640"/>
          <w:marRight w:val="0"/>
          <w:marTop w:val="0"/>
          <w:marBottom w:val="0"/>
          <w:divBdr>
            <w:top w:val="none" w:sz="0" w:space="0" w:color="auto"/>
            <w:left w:val="none" w:sz="0" w:space="0" w:color="auto"/>
            <w:bottom w:val="none" w:sz="0" w:space="0" w:color="auto"/>
            <w:right w:val="none" w:sz="0" w:space="0" w:color="auto"/>
          </w:divBdr>
        </w:div>
        <w:div w:id="1789813871">
          <w:marLeft w:val="640"/>
          <w:marRight w:val="0"/>
          <w:marTop w:val="0"/>
          <w:marBottom w:val="0"/>
          <w:divBdr>
            <w:top w:val="none" w:sz="0" w:space="0" w:color="auto"/>
            <w:left w:val="none" w:sz="0" w:space="0" w:color="auto"/>
            <w:bottom w:val="none" w:sz="0" w:space="0" w:color="auto"/>
            <w:right w:val="none" w:sz="0" w:space="0" w:color="auto"/>
          </w:divBdr>
        </w:div>
        <w:div w:id="1868370559">
          <w:marLeft w:val="640"/>
          <w:marRight w:val="0"/>
          <w:marTop w:val="0"/>
          <w:marBottom w:val="0"/>
          <w:divBdr>
            <w:top w:val="none" w:sz="0" w:space="0" w:color="auto"/>
            <w:left w:val="none" w:sz="0" w:space="0" w:color="auto"/>
            <w:bottom w:val="none" w:sz="0" w:space="0" w:color="auto"/>
            <w:right w:val="none" w:sz="0" w:space="0" w:color="auto"/>
          </w:divBdr>
        </w:div>
        <w:div w:id="1892694627">
          <w:marLeft w:val="640"/>
          <w:marRight w:val="0"/>
          <w:marTop w:val="0"/>
          <w:marBottom w:val="0"/>
          <w:divBdr>
            <w:top w:val="none" w:sz="0" w:space="0" w:color="auto"/>
            <w:left w:val="none" w:sz="0" w:space="0" w:color="auto"/>
            <w:bottom w:val="none" w:sz="0" w:space="0" w:color="auto"/>
            <w:right w:val="none" w:sz="0" w:space="0" w:color="auto"/>
          </w:divBdr>
        </w:div>
        <w:div w:id="1918318998">
          <w:marLeft w:val="640"/>
          <w:marRight w:val="0"/>
          <w:marTop w:val="0"/>
          <w:marBottom w:val="0"/>
          <w:divBdr>
            <w:top w:val="none" w:sz="0" w:space="0" w:color="auto"/>
            <w:left w:val="none" w:sz="0" w:space="0" w:color="auto"/>
            <w:bottom w:val="none" w:sz="0" w:space="0" w:color="auto"/>
            <w:right w:val="none" w:sz="0" w:space="0" w:color="auto"/>
          </w:divBdr>
        </w:div>
        <w:div w:id="1962765403">
          <w:marLeft w:val="640"/>
          <w:marRight w:val="0"/>
          <w:marTop w:val="0"/>
          <w:marBottom w:val="0"/>
          <w:divBdr>
            <w:top w:val="none" w:sz="0" w:space="0" w:color="auto"/>
            <w:left w:val="none" w:sz="0" w:space="0" w:color="auto"/>
            <w:bottom w:val="none" w:sz="0" w:space="0" w:color="auto"/>
            <w:right w:val="none" w:sz="0" w:space="0" w:color="auto"/>
          </w:divBdr>
        </w:div>
        <w:div w:id="1998342503">
          <w:marLeft w:val="640"/>
          <w:marRight w:val="0"/>
          <w:marTop w:val="0"/>
          <w:marBottom w:val="0"/>
          <w:divBdr>
            <w:top w:val="none" w:sz="0" w:space="0" w:color="auto"/>
            <w:left w:val="none" w:sz="0" w:space="0" w:color="auto"/>
            <w:bottom w:val="none" w:sz="0" w:space="0" w:color="auto"/>
            <w:right w:val="none" w:sz="0" w:space="0" w:color="auto"/>
          </w:divBdr>
        </w:div>
        <w:div w:id="2002926400">
          <w:marLeft w:val="640"/>
          <w:marRight w:val="0"/>
          <w:marTop w:val="0"/>
          <w:marBottom w:val="0"/>
          <w:divBdr>
            <w:top w:val="none" w:sz="0" w:space="0" w:color="auto"/>
            <w:left w:val="none" w:sz="0" w:space="0" w:color="auto"/>
            <w:bottom w:val="none" w:sz="0" w:space="0" w:color="auto"/>
            <w:right w:val="none" w:sz="0" w:space="0" w:color="auto"/>
          </w:divBdr>
        </w:div>
        <w:div w:id="2037191977">
          <w:marLeft w:val="640"/>
          <w:marRight w:val="0"/>
          <w:marTop w:val="0"/>
          <w:marBottom w:val="0"/>
          <w:divBdr>
            <w:top w:val="none" w:sz="0" w:space="0" w:color="auto"/>
            <w:left w:val="none" w:sz="0" w:space="0" w:color="auto"/>
            <w:bottom w:val="none" w:sz="0" w:space="0" w:color="auto"/>
            <w:right w:val="none" w:sz="0" w:space="0" w:color="auto"/>
          </w:divBdr>
        </w:div>
        <w:div w:id="2047679895">
          <w:marLeft w:val="640"/>
          <w:marRight w:val="0"/>
          <w:marTop w:val="0"/>
          <w:marBottom w:val="0"/>
          <w:divBdr>
            <w:top w:val="none" w:sz="0" w:space="0" w:color="auto"/>
            <w:left w:val="none" w:sz="0" w:space="0" w:color="auto"/>
            <w:bottom w:val="none" w:sz="0" w:space="0" w:color="auto"/>
            <w:right w:val="none" w:sz="0" w:space="0" w:color="auto"/>
          </w:divBdr>
        </w:div>
        <w:div w:id="2104494952">
          <w:marLeft w:val="640"/>
          <w:marRight w:val="0"/>
          <w:marTop w:val="0"/>
          <w:marBottom w:val="0"/>
          <w:divBdr>
            <w:top w:val="none" w:sz="0" w:space="0" w:color="auto"/>
            <w:left w:val="none" w:sz="0" w:space="0" w:color="auto"/>
            <w:bottom w:val="none" w:sz="0" w:space="0" w:color="auto"/>
            <w:right w:val="none" w:sz="0" w:space="0" w:color="auto"/>
          </w:divBdr>
        </w:div>
        <w:div w:id="2114352008">
          <w:marLeft w:val="640"/>
          <w:marRight w:val="0"/>
          <w:marTop w:val="0"/>
          <w:marBottom w:val="0"/>
          <w:divBdr>
            <w:top w:val="none" w:sz="0" w:space="0" w:color="auto"/>
            <w:left w:val="none" w:sz="0" w:space="0" w:color="auto"/>
            <w:bottom w:val="none" w:sz="0" w:space="0" w:color="auto"/>
            <w:right w:val="none" w:sz="0" w:space="0" w:color="auto"/>
          </w:divBdr>
        </w:div>
        <w:div w:id="2123257886">
          <w:marLeft w:val="640"/>
          <w:marRight w:val="0"/>
          <w:marTop w:val="0"/>
          <w:marBottom w:val="0"/>
          <w:divBdr>
            <w:top w:val="none" w:sz="0" w:space="0" w:color="auto"/>
            <w:left w:val="none" w:sz="0" w:space="0" w:color="auto"/>
            <w:bottom w:val="none" w:sz="0" w:space="0" w:color="auto"/>
            <w:right w:val="none" w:sz="0" w:space="0" w:color="auto"/>
          </w:divBdr>
        </w:div>
        <w:div w:id="2126730649">
          <w:marLeft w:val="640"/>
          <w:marRight w:val="0"/>
          <w:marTop w:val="0"/>
          <w:marBottom w:val="0"/>
          <w:divBdr>
            <w:top w:val="none" w:sz="0" w:space="0" w:color="auto"/>
            <w:left w:val="none" w:sz="0" w:space="0" w:color="auto"/>
            <w:bottom w:val="none" w:sz="0" w:space="0" w:color="auto"/>
            <w:right w:val="none" w:sz="0" w:space="0" w:color="auto"/>
          </w:divBdr>
        </w:div>
      </w:divsChild>
    </w:div>
    <w:div w:id="919829114">
      <w:bodyDiv w:val="1"/>
      <w:marLeft w:val="0"/>
      <w:marRight w:val="0"/>
      <w:marTop w:val="0"/>
      <w:marBottom w:val="0"/>
      <w:divBdr>
        <w:top w:val="none" w:sz="0" w:space="0" w:color="auto"/>
        <w:left w:val="none" w:sz="0" w:space="0" w:color="auto"/>
        <w:bottom w:val="none" w:sz="0" w:space="0" w:color="auto"/>
        <w:right w:val="none" w:sz="0" w:space="0" w:color="auto"/>
      </w:divBdr>
      <w:divsChild>
        <w:div w:id="1189371395">
          <w:marLeft w:val="0"/>
          <w:marRight w:val="0"/>
          <w:marTop w:val="240"/>
          <w:marBottom w:val="240"/>
          <w:divBdr>
            <w:top w:val="none" w:sz="0" w:space="0" w:color="auto"/>
            <w:left w:val="none" w:sz="0" w:space="0" w:color="auto"/>
            <w:bottom w:val="none" w:sz="0" w:space="0" w:color="auto"/>
            <w:right w:val="none" w:sz="0" w:space="0" w:color="auto"/>
          </w:divBdr>
        </w:div>
        <w:div w:id="1225995323">
          <w:marLeft w:val="0"/>
          <w:marRight w:val="0"/>
          <w:marTop w:val="240"/>
          <w:marBottom w:val="240"/>
          <w:divBdr>
            <w:top w:val="none" w:sz="0" w:space="0" w:color="auto"/>
            <w:left w:val="none" w:sz="0" w:space="0" w:color="auto"/>
            <w:bottom w:val="none" w:sz="0" w:space="0" w:color="auto"/>
            <w:right w:val="none" w:sz="0" w:space="0" w:color="auto"/>
          </w:divBdr>
        </w:div>
        <w:div w:id="1502233704">
          <w:marLeft w:val="0"/>
          <w:marRight w:val="0"/>
          <w:marTop w:val="240"/>
          <w:marBottom w:val="240"/>
          <w:divBdr>
            <w:top w:val="none" w:sz="0" w:space="0" w:color="auto"/>
            <w:left w:val="none" w:sz="0" w:space="0" w:color="auto"/>
            <w:bottom w:val="none" w:sz="0" w:space="0" w:color="auto"/>
            <w:right w:val="none" w:sz="0" w:space="0" w:color="auto"/>
          </w:divBdr>
        </w:div>
        <w:div w:id="1878158195">
          <w:marLeft w:val="0"/>
          <w:marRight w:val="0"/>
          <w:marTop w:val="240"/>
          <w:marBottom w:val="240"/>
          <w:divBdr>
            <w:top w:val="none" w:sz="0" w:space="0" w:color="auto"/>
            <w:left w:val="none" w:sz="0" w:space="0" w:color="auto"/>
            <w:bottom w:val="none" w:sz="0" w:space="0" w:color="auto"/>
            <w:right w:val="none" w:sz="0" w:space="0" w:color="auto"/>
          </w:divBdr>
        </w:div>
      </w:divsChild>
    </w:div>
    <w:div w:id="954558758">
      <w:bodyDiv w:val="1"/>
      <w:marLeft w:val="0"/>
      <w:marRight w:val="0"/>
      <w:marTop w:val="0"/>
      <w:marBottom w:val="0"/>
      <w:divBdr>
        <w:top w:val="none" w:sz="0" w:space="0" w:color="auto"/>
        <w:left w:val="none" w:sz="0" w:space="0" w:color="auto"/>
        <w:bottom w:val="none" w:sz="0" w:space="0" w:color="auto"/>
        <w:right w:val="none" w:sz="0" w:space="0" w:color="auto"/>
      </w:divBdr>
    </w:div>
    <w:div w:id="985738508">
      <w:bodyDiv w:val="1"/>
      <w:marLeft w:val="0"/>
      <w:marRight w:val="0"/>
      <w:marTop w:val="0"/>
      <w:marBottom w:val="0"/>
      <w:divBdr>
        <w:top w:val="none" w:sz="0" w:space="0" w:color="auto"/>
        <w:left w:val="none" w:sz="0" w:space="0" w:color="auto"/>
        <w:bottom w:val="none" w:sz="0" w:space="0" w:color="auto"/>
        <w:right w:val="none" w:sz="0" w:space="0" w:color="auto"/>
      </w:divBdr>
    </w:div>
    <w:div w:id="987056887">
      <w:bodyDiv w:val="1"/>
      <w:marLeft w:val="0"/>
      <w:marRight w:val="0"/>
      <w:marTop w:val="0"/>
      <w:marBottom w:val="0"/>
      <w:divBdr>
        <w:top w:val="none" w:sz="0" w:space="0" w:color="auto"/>
        <w:left w:val="none" w:sz="0" w:space="0" w:color="auto"/>
        <w:bottom w:val="none" w:sz="0" w:space="0" w:color="auto"/>
        <w:right w:val="none" w:sz="0" w:space="0" w:color="auto"/>
      </w:divBdr>
      <w:divsChild>
        <w:div w:id="889074200">
          <w:marLeft w:val="480"/>
          <w:marRight w:val="0"/>
          <w:marTop w:val="0"/>
          <w:marBottom w:val="0"/>
          <w:divBdr>
            <w:top w:val="none" w:sz="0" w:space="0" w:color="auto"/>
            <w:left w:val="none" w:sz="0" w:space="0" w:color="auto"/>
            <w:bottom w:val="none" w:sz="0" w:space="0" w:color="auto"/>
            <w:right w:val="none" w:sz="0" w:space="0" w:color="auto"/>
          </w:divBdr>
        </w:div>
        <w:div w:id="1543713539">
          <w:marLeft w:val="480"/>
          <w:marRight w:val="0"/>
          <w:marTop w:val="0"/>
          <w:marBottom w:val="0"/>
          <w:divBdr>
            <w:top w:val="none" w:sz="0" w:space="0" w:color="auto"/>
            <w:left w:val="none" w:sz="0" w:space="0" w:color="auto"/>
            <w:bottom w:val="none" w:sz="0" w:space="0" w:color="auto"/>
            <w:right w:val="none" w:sz="0" w:space="0" w:color="auto"/>
          </w:divBdr>
        </w:div>
        <w:div w:id="195124495">
          <w:marLeft w:val="480"/>
          <w:marRight w:val="0"/>
          <w:marTop w:val="0"/>
          <w:marBottom w:val="0"/>
          <w:divBdr>
            <w:top w:val="none" w:sz="0" w:space="0" w:color="auto"/>
            <w:left w:val="none" w:sz="0" w:space="0" w:color="auto"/>
            <w:bottom w:val="none" w:sz="0" w:space="0" w:color="auto"/>
            <w:right w:val="none" w:sz="0" w:space="0" w:color="auto"/>
          </w:divBdr>
        </w:div>
      </w:divsChild>
    </w:div>
    <w:div w:id="1005212111">
      <w:bodyDiv w:val="1"/>
      <w:marLeft w:val="0"/>
      <w:marRight w:val="0"/>
      <w:marTop w:val="0"/>
      <w:marBottom w:val="0"/>
      <w:divBdr>
        <w:top w:val="none" w:sz="0" w:space="0" w:color="auto"/>
        <w:left w:val="none" w:sz="0" w:space="0" w:color="auto"/>
        <w:bottom w:val="none" w:sz="0" w:space="0" w:color="auto"/>
        <w:right w:val="none" w:sz="0" w:space="0" w:color="auto"/>
      </w:divBdr>
    </w:div>
    <w:div w:id="1013647175">
      <w:bodyDiv w:val="1"/>
      <w:marLeft w:val="0"/>
      <w:marRight w:val="0"/>
      <w:marTop w:val="0"/>
      <w:marBottom w:val="0"/>
      <w:divBdr>
        <w:top w:val="none" w:sz="0" w:space="0" w:color="auto"/>
        <w:left w:val="none" w:sz="0" w:space="0" w:color="auto"/>
        <w:bottom w:val="none" w:sz="0" w:space="0" w:color="auto"/>
        <w:right w:val="none" w:sz="0" w:space="0" w:color="auto"/>
      </w:divBdr>
      <w:divsChild>
        <w:div w:id="1740053387">
          <w:marLeft w:val="0"/>
          <w:marRight w:val="0"/>
          <w:marTop w:val="0"/>
          <w:marBottom w:val="0"/>
          <w:divBdr>
            <w:top w:val="none" w:sz="0" w:space="0" w:color="auto"/>
            <w:left w:val="none" w:sz="0" w:space="0" w:color="auto"/>
            <w:bottom w:val="none" w:sz="0" w:space="0" w:color="auto"/>
            <w:right w:val="none" w:sz="0" w:space="0" w:color="auto"/>
          </w:divBdr>
          <w:divsChild>
            <w:div w:id="1834298857">
              <w:marLeft w:val="0"/>
              <w:marRight w:val="0"/>
              <w:marTop w:val="0"/>
              <w:marBottom w:val="0"/>
              <w:divBdr>
                <w:top w:val="none" w:sz="0" w:space="0" w:color="auto"/>
                <w:left w:val="none" w:sz="0" w:space="0" w:color="auto"/>
                <w:bottom w:val="none" w:sz="0" w:space="0" w:color="auto"/>
                <w:right w:val="none" w:sz="0" w:space="0" w:color="auto"/>
              </w:divBdr>
              <w:divsChild>
                <w:div w:id="1309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96114">
      <w:bodyDiv w:val="1"/>
      <w:marLeft w:val="0"/>
      <w:marRight w:val="0"/>
      <w:marTop w:val="0"/>
      <w:marBottom w:val="0"/>
      <w:divBdr>
        <w:top w:val="none" w:sz="0" w:space="0" w:color="auto"/>
        <w:left w:val="none" w:sz="0" w:space="0" w:color="auto"/>
        <w:bottom w:val="none" w:sz="0" w:space="0" w:color="auto"/>
        <w:right w:val="none" w:sz="0" w:space="0" w:color="auto"/>
      </w:divBdr>
    </w:div>
    <w:div w:id="1020282414">
      <w:bodyDiv w:val="1"/>
      <w:marLeft w:val="0"/>
      <w:marRight w:val="0"/>
      <w:marTop w:val="0"/>
      <w:marBottom w:val="0"/>
      <w:divBdr>
        <w:top w:val="none" w:sz="0" w:space="0" w:color="auto"/>
        <w:left w:val="none" w:sz="0" w:space="0" w:color="auto"/>
        <w:bottom w:val="none" w:sz="0" w:space="0" w:color="auto"/>
        <w:right w:val="none" w:sz="0" w:space="0" w:color="auto"/>
      </w:divBdr>
      <w:divsChild>
        <w:div w:id="2029403294">
          <w:marLeft w:val="480"/>
          <w:marRight w:val="0"/>
          <w:marTop w:val="0"/>
          <w:marBottom w:val="0"/>
          <w:divBdr>
            <w:top w:val="none" w:sz="0" w:space="0" w:color="auto"/>
            <w:left w:val="none" w:sz="0" w:space="0" w:color="auto"/>
            <w:bottom w:val="none" w:sz="0" w:space="0" w:color="auto"/>
            <w:right w:val="none" w:sz="0" w:space="0" w:color="auto"/>
          </w:divBdr>
        </w:div>
        <w:div w:id="513496085">
          <w:marLeft w:val="480"/>
          <w:marRight w:val="0"/>
          <w:marTop w:val="0"/>
          <w:marBottom w:val="0"/>
          <w:divBdr>
            <w:top w:val="none" w:sz="0" w:space="0" w:color="auto"/>
            <w:left w:val="none" w:sz="0" w:space="0" w:color="auto"/>
            <w:bottom w:val="none" w:sz="0" w:space="0" w:color="auto"/>
            <w:right w:val="none" w:sz="0" w:space="0" w:color="auto"/>
          </w:divBdr>
        </w:div>
        <w:div w:id="1096092306">
          <w:marLeft w:val="480"/>
          <w:marRight w:val="0"/>
          <w:marTop w:val="0"/>
          <w:marBottom w:val="0"/>
          <w:divBdr>
            <w:top w:val="none" w:sz="0" w:space="0" w:color="auto"/>
            <w:left w:val="none" w:sz="0" w:space="0" w:color="auto"/>
            <w:bottom w:val="none" w:sz="0" w:space="0" w:color="auto"/>
            <w:right w:val="none" w:sz="0" w:space="0" w:color="auto"/>
          </w:divBdr>
        </w:div>
        <w:div w:id="226306844">
          <w:marLeft w:val="480"/>
          <w:marRight w:val="0"/>
          <w:marTop w:val="0"/>
          <w:marBottom w:val="0"/>
          <w:divBdr>
            <w:top w:val="none" w:sz="0" w:space="0" w:color="auto"/>
            <w:left w:val="none" w:sz="0" w:space="0" w:color="auto"/>
            <w:bottom w:val="none" w:sz="0" w:space="0" w:color="auto"/>
            <w:right w:val="none" w:sz="0" w:space="0" w:color="auto"/>
          </w:divBdr>
        </w:div>
        <w:div w:id="1396705762">
          <w:marLeft w:val="480"/>
          <w:marRight w:val="0"/>
          <w:marTop w:val="0"/>
          <w:marBottom w:val="0"/>
          <w:divBdr>
            <w:top w:val="none" w:sz="0" w:space="0" w:color="auto"/>
            <w:left w:val="none" w:sz="0" w:space="0" w:color="auto"/>
            <w:bottom w:val="none" w:sz="0" w:space="0" w:color="auto"/>
            <w:right w:val="none" w:sz="0" w:space="0" w:color="auto"/>
          </w:divBdr>
        </w:div>
      </w:divsChild>
    </w:div>
    <w:div w:id="1038551594">
      <w:bodyDiv w:val="1"/>
      <w:marLeft w:val="0"/>
      <w:marRight w:val="0"/>
      <w:marTop w:val="0"/>
      <w:marBottom w:val="0"/>
      <w:divBdr>
        <w:top w:val="none" w:sz="0" w:space="0" w:color="auto"/>
        <w:left w:val="none" w:sz="0" w:space="0" w:color="auto"/>
        <w:bottom w:val="none" w:sz="0" w:space="0" w:color="auto"/>
        <w:right w:val="none" w:sz="0" w:space="0" w:color="auto"/>
      </w:divBdr>
    </w:div>
    <w:div w:id="1045838501">
      <w:bodyDiv w:val="1"/>
      <w:marLeft w:val="0"/>
      <w:marRight w:val="0"/>
      <w:marTop w:val="0"/>
      <w:marBottom w:val="0"/>
      <w:divBdr>
        <w:top w:val="none" w:sz="0" w:space="0" w:color="auto"/>
        <w:left w:val="none" w:sz="0" w:space="0" w:color="auto"/>
        <w:bottom w:val="none" w:sz="0" w:space="0" w:color="auto"/>
        <w:right w:val="none" w:sz="0" w:space="0" w:color="auto"/>
      </w:divBdr>
    </w:div>
    <w:div w:id="1049570687">
      <w:bodyDiv w:val="1"/>
      <w:marLeft w:val="0"/>
      <w:marRight w:val="0"/>
      <w:marTop w:val="0"/>
      <w:marBottom w:val="0"/>
      <w:divBdr>
        <w:top w:val="none" w:sz="0" w:space="0" w:color="auto"/>
        <w:left w:val="none" w:sz="0" w:space="0" w:color="auto"/>
        <w:bottom w:val="none" w:sz="0" w:space="0" w:color="auto"/>
        <w:right w:val="none" w:sz="0" w:space="0" w:color="auto"/>
      </w:divBdr>
    </w:div>
    <w:div w:id="1050614102">
      <w:bodyDiv w:val="1"/>
      <w:marLeft w:val="0"/>
      <w:marRight w:val="0"/>
      <w:marTop w:val="0"/>
      <w:marBottom w:val="0"/>
      <w:divBdr>
        <w:top w:val="none" w:sz="0" w:space="0" w:color="auto"/>
        <w:left w:val="none" w:sz="0" w:space="0" w:color="auto"/>
        <w:bottom w:val="none" w:sz="0" w:space="0" w:color="auto"/>
        <w:right w:val="none" w:sz="0" w:space="0" w:color="auto"/>
      </w:divBdr>
    </w:div>
    <w:div w:id="1053964224">
      <w:bodyDiv w:val="1"/>
      <w:marLeft w:val="0"/>
      <w:marRight w:val="0"/>
      <w:marTop w:val="0"/>
      <w:marBottom w:val="0"/>
      <w:divBdr>
        <w:top w:val="none" w:sz="0" w:space="0" w:color="auto"/>
        <w:left w:val="none" w:sz="0" w:space="0" w:color="auto"/>
        <w:bottom w:val="none" w:sz="0" w:space="0" w:color="auto"/>
        <w:right w:val="none" w:sz="0" w:space="0" w:color="auto"/>
      </w:divBdr>
      <w:divsChild>
        <w:div w:id="912815371">
          <w:marLeft w:val="480"/>
          <w:marRight w:val="0"/>
          <w:marTop w:val="0"/>
          <w:marBottom w:val="0"/>
          <w:divBdr>
            <w:top w:val="none" w:sz="0" w:space="0" w:color="auto"/>
            <w:left w:val="none" w:sz="0" w:space="0" w:color="auto"/>
            <w:bottom w:val="none" w:sz="0" w:space="0" w:color="auto"/>
            <w:right w:val="none" w:sz="0" w:space="0" w:color="auto"/>
          </w:divBdr>
        </w:div>
        <w:div w:id="1608385211">
          <w:marLeft w:val="480"/>
          <w:marRight w:val="0"/>
          <w:marTop w:val="0"/>
          <w:marBottom w:val="0"/>
          <w:divBdr>
            <w:top w:val="none" w:sz="0" w:space="0" w:color="auto"/>
            <w:left w:val="none" w:sz="0" w:space="0" w:color="auto"/>
            <w:bottom w:val="none" w:sz="0" w:space="0" w:color="auto"/>
            <w:right w:val="none" w:sz="0" w:space="0" w:color="auto"/>
          </w:divBdr>
        </w:div>
        <w:div w:id="1396776529">
          <w:marLeft w:val="480"/>
          <w:marRight w:val="0"/>
          <w:marTop w:val="0"/>
          <w:marBottom w:val="0"/>
          <w:divBdr>
            <w:top w:val="none" w:sz="0" w:space="0" w:color="auto"/>
            <w:left w:val="none" w:sz="0" w:space="0" w:color="auto"/>
            <w:bottom w:val="none" w:sz="0" w:space="0" w:color="auto"/>
            <w:right w:val="none" w:sz="0" w:space="0" w:color="auto"/>
          </w:divBdr>
        </w:div>
        <w:div w:id="356850886">
          <w:marLeft w:val="480"/>
          <w:marRight w:val="0"/>
          <w:marTop w:val="0"/>
          <w:marBottom w:val="0"/>
          <w:divBdr>
            <w:top w:val="none" w:sz="0" w:space="0" w:color="auto"/>
            <w:left w:val="none" w:sz="0" w:space="0" w:color="auto"/>
            <w:bottom w:val="none" w:sz="0" w:space="0" w:color="auto"/>
            <w:right w:val="none" w:sz="0" w:space="0" w:color="auto"/>
          </w:divBdr>
        </w:div>
        <w:div w:id="1593202461">
          <w:marLeft w:val="480"/>
          <w:marRight w:val="0"/>
          <w:marTop w:val="0"/>
          <w:marBottom w:val="0"/>
          <w:divBdr>
            <w:top w:val="none" w:sz="0" w:space="0" w:color="auto"/>
            <w:left w:val="none" w:sz="0" w:space="0" w:color="auto"/>
            <w:bottom w:val="none" w:sz="0" w:space="0" w:color="auto"/>
            <w:right w:val="none" w:sz="0" w:space="0" w:color="auto"/>
          </w:divBdr>
        </w:div>
        <w:div w:id="590938551">
          <w:marLeft w:val="480"/>
          <w:marRight w:val="0"/>
          <w:marTop w:val="0"/>
          <w:marBottom w:val="0"/>
          <w:divBdr>
            <w:top w:val="none" w:sz="0" w:space="0" w:color="auto"/>
            <w:left w:val="none" w:sz="0" w:space="0" w:color="auto"/>
            <w:bottom w:val="none" w:sz="0" w:space="0" w:color="auto"/>
            <w:right w:val="none" w:sz="0" w:space="0" w:color="auto"/>
          </w:divBdr>
        </w:div>
      </w:divsChild>
    </w:div>
    <w:div w:id="1067608070">
      <w:bodyDiv w:val="1"/>
      <w:marLeft w:val="0"/>
      <w:marRight w:val="0"/>
      <w:marTop w:val="0"/>
      <w:marBottom w:val="0"/>
      <w:divBdr>
        <w:top w:val="none" w:sz="0" w:space="0" w:color="auto"/>
        <w:left w:val="none" w:sz="0" w:space="0" w:color="auto"/>
        <w:bottom w:val="none" w:sz="0" w:space="0" w:color="auto"/>
        <w:right w:val="none" w:sz="0" w:space="0" w:color="auto"/>
      </w:divBdr>
      <w:divsChild>
        <w:div w:id="12344217">
          <w:marLeft w:val="640"/>
          <w:marRight w:val="0"/>
          <w:marTop w:val="0"/>
          <w:marBottom w:val="0"/>
          <w:divBdr>
            <w:top w:val="none" w:sz="0" w:space="0" w:color="auto"/>
            <w:left w:val="none" w:sz="0" w:space="0" w:color="auto"/>
            <w:bottom w:val="none" w:sz="0" w:space="0" w:color="auto"/>
            <w:right w:val="none" w:sz="0" w:space="0" w:color="auto"/>
          </w:divBdr>
        </w:div>
        <w:div w:id="35473553">
          <w:marLeft w:val="640"/>
          <w:marRight w:val="0"/>
          <w:marTop w:val="0"/>
          <w:marBottom w:val="0"/>
          <w:divBdr>
            <w:top w:val="none" w:sz="0" w:space="0" w:color="auto"/>
            <w:left w:val="none" w:sz="0" w:space="0" w:color="auto"/>
            <w:bottom w:val="none" w:sz="0" w:space="0" w:color="auto"/>
            <w:right w:val="none" w:sz="0" w:space="0" w:color="auto"/>
          </w:divBdr>
        </w:div>
        <w:div w:id="59258382">
          <w:marLeft w:val="640"/>
          <w:marRight w:val="0"/>
          <w:marTop w:val="0"/>
          <w:marBottom w:val="0"/>
          <w:divBdr>
            <w:top w:val="none" w:sz="0" w:space="0" w:color="auto"/>
            <w:left w:val="none" w:sz="0" w:space="0" w:color="auto"/>
            <w:bottom w:val="none" w:sz="0" w:space="0" w:color="auto"/>
            <w:right w:val="none" w:sz="0" w:space="0" w:color="auto"/>
          </w:divBdr>
        </w:div>
        <w:div w:id="98137383">
          <w:marLeft w:val="640"/>
          <w:marRight w:val="0"/>
          <w:marTop w:val="0"/>
          <w:marBottom w:val="0"/>
          <w:divBdr>
            <w:top w:val="none" w:sz="0" w:space="0" w:color="auto"/>
            <w:left w:val="none" w:sz="0" w:space="0" w:color="auto"/>
            <w:bottom w:val="none" w:sz="0" w:space="0" w:color="auto"/>
            <w:right w:val="none" w:sz="0" w:space="0" w:color="auto"/>
          </w:divBdr>
        </w:div>
        <w:div w:id="120156326">
          <w:marLeft w:val="640"/>
          <w:marRight w:val="0"/>
          <w:marTop w:val="0"/>
          <w:marBottom w:val="0"/>
          <w:divBdr>
            <w:top w:val="none" w:sz="0" w:space="0" w:color="auto"/>
            <w:left w:val="none" w:sz="0" w:space="0" w:color="auto"/>
            <w:bottom w:val="none" w:sz="0" w:space="0" w:color="auto"/>
            <w:right w:val="none" w:sz="0" w:space="0" w:color="auto"/>
          </w:divBdr>
        </w:div>
        <w:div w:id="201674376">
          <w:marLeft w:val="640"/>
          <w:marRight w:val="0"/>
          <w:marTop w:val="0"/>
          <w:marBottom w:val="0"/>
          <w:divBdr>
            <w:top w:val="none" w:sz="0" w:space="0" w:color="auto"/>
            <w:left w:val="none" w:sz="0" w:space="0" w:color="auto"/>
            <w:bottom w:val="none" w:sz="0" w:space="0" w:color="auto"/>
            <w:right w:val="none" w:sz="0" w:space="0" w:color="auto"/>
          </w:divBdr>
        </w:div>
        <w:div w:id="224338363">
          <w:marLeft w:val="640"/>
          <w:marRight w:val="0"/>
          <w:marTop w:val="0"/>
          <w:marBottom w:val="0"/>
          <w:divBdr>
            <w:top w:val="none" w:sz="0" w:space="0" w:color="auto"/>
            <w:left w:val="none" w:sz="0" w:space="0" w:color="auto"/>
            <w:bottom w:val="none" w:sz="0" w:space="0" w:color="auto"/>
            <w:right w:val="none" w:sz="0" w:space="0" w:color="auto"/>
          </w:divBdr>
        </w:div>
        <w:div w:id="269439097">
          <w:marLeft w:val="640"/>
          <w:marRight w:val="0"/>
          <w:marTop w:val="0"/>
          <w:marBottom w:val="0"/>
          <w:divBdr>
            <w:top w:val="none" w:sz="0" w:space="0" w:color="auto"/>
            <w:left w:val="none" w:sz="0" w:space="0" w:color="auto"/>
            <w:bottom w:val="none" w:sz="0" w:space="0" w:color="auto"/>
            <w:right w:val="none" w:sz="0" w:space="0" w:color="auto"/>
          </w:divBdr>
        </w:div>
        <w:div w:id="332270361">
          <w:marLeft w:val="640"/>
          <w:marRight w:val="0"/>
          <w:marTop w:val="0"/>
          <w:marBottom w:val="0"/>
          <w:divBdr>
            <w:top w:val="none" w:sz="0" w:space="0" w:color="auto"/>
            <w:left w:val="none" w:sz="0" w:space="0" w:color="auto"/>
            <w:bottom w:val="none" w:sz="0" w:space="0" w:color="auto"/>
            <w:right w:val="none" w:sz="0" w:space="0" w:color="auto"/>
          </w:divBdr>
        </w:div>
        <w:div w:id="383525059">
          <w:marLeft w:val="640"/>
          <w:marRight w:val="0"/>
          <w:marTop w:val="0"/>
          <w:marBottom w:val="0"/>
          <w:divBdr>
            <w:top w:val="none" w:sz="0" w:space="0" w:color="auto"/>
            <w:left w:val="none" w:sz="0" w:space="0" w:color="auto"/>
            <w:bottom w:val="none" w:sz="0" w:space="0" w:color="auto"/>
            <w:right w:val="none" w:sz="0" w:space="0" w:color="auto"/>
          </w:divBdr>
        </w:div>
        <w:div w:id="389963295">
          <w:marLeft w:val="640"/>
          <w:marRight w:val="0"/>
          <w:marTop w:val="0"/>
          <w:marBottom w:val="0"/>
          <w:divBdr>
            <w:top w:val="none" w:sz="0" w:space="0" w:color="auto"/>
            <w:left w:val="none" w:sz="0" w:space="0" w:color="auto"/>
            <w:bottom w:val="none" w:sz="0" w:space="0" w:color="auto"/>
            <w:right w:val="none" w:sz="0" w:space="0" w:color="auto"/>
          </w:divBdr>
        </w:div>
        <w:div w:id="395475150">
          <w:marLeft w:val="640"/>
          <w:marRight w:val="0"/>
          <w:marTop w:val="0"/>
          <w:marBottom w:val="0"/>
          <w:divBdr>
            <w:top w:val="none" w:sz="0" w:space="0" w:color="auto"/>
            <w:left w:val="none" w:sz="0" w:space="0" w:color="auto"/>
            <w:bottom w:val="none" w:sz="0" w:space="0" w:color="auto"/>
            <w:right w:val="none" w:sz="0" w:space="0" w:color="auto"/>
          </w:divBdr>
        </w:div>
        <w:div w:id="398136516">
          <w:marLeft w:val="640"/>
          <w:marRight w:val="0"/>
          <w:marTop w:val="0"/>
          <w:marBottom w:val="0"/>
          <w:divBdr>
            <w:top w:val="none" w:sz="0" w:space="0" w:color="auto"/>
            <w:left w:val="none" w:sz="0" w:space="0" w:color="auto"/>
            <w:bottom w:val="none" w:sz="0" w:space="0" w:color="auto"/>
            <w:right w:val="none" w:sz="0" w:space="0" w:color="auto"/>
          </w:divBdr>
        </w:div>
        <w:div w:id="425620207">
          <w:marLeft w:val="640"/>
          <w:marRight w:val="0"/>
          <w:marTop w:val="0"/>
          <w:marBottom w:val="0"/>
          <w:divBdr>
            <w:top w:val="none" w:sz="0" w:space="0" w:color="auto"/>
            <w:left w:val="none" w:sz="0" w:space="0" w:color="auto"/>
            <w:bottom w:val="none" w:sz="0" w:space="0" w:color="auto"/>
            <w:right w:val="none" w:sz="0" w:space="0" w:color="auto"/>
          </w:divBdr>
        </w:div>
        <w:div w:id="438720602">
          <w:marLeft w:val="640"/>
          <w:marRight w:val="0"/>
          <w:marTop w:val="0"/>
          <w:marBottom w:val="0"/>
          <w:divBdr>
            <w:top w:val="none" w:sz="0" w:space="0" w:color="auto"/>
            <w:left w:val="none" w:sz="0" w:space="0" w:color="auto"/>
            <w:bottom w:val="none" w:sz="0" w:space="0" w:color="auto"/>
            <w:right w:val="none" w:sz="0" w:space="0" w:color="auto"/>
          </w:divBdr>
        </w:div>
        <w:div w:id="467472717">
          <w:marLeft w:val="640"/>
          <w:marRight w:val="0"/>
          <w:marTop w:val="0"/>
          <w:marBottom w:val="0"/>
          <w:divBdr>
            <w:top w:val="none" w:sz="0" w:space="0" w:color="auto"/>
            <w:left w:val="none" w:sz="0" w:space="0" w:color="auto"/>
            <w:bottom w:val="none" w:sz="0" w:space="0" w:color="auto"/>
            <w:right w:val="none" w:sz="0" w:space="0" w:color="auto"/>
          </w:divBdr>
        </w:div>
        <w:div w:id="476921865">
          <w:marLeft w:val="640"/>
          <w:marRight w:val="0"/>
          <w:marTop w:val="0"/>
          <w:marBottom w:val="0"/>
          <w:divBdr>
            <w:top w:val="none" w:sz="0" w:space="0" w:color="auto"/>
            <w:left w:val="none" w:sz="0" w:space="0" w:color="auto"/>
            <w:bottom w:val="none" w:sz="0" w:space="0" w:color="auto"/>
            <w:right w:val="none" w:sz="0" w:space="0" w:color="auto"/>
          </w:divBdr>
        </w:div>
        <w:div w:id="492185379">
          <w:marLeft w:val="640"/>
          <w:marRight w:val="0"/>
          <w:marTop w:val="0"/>
          <w:marBottom w:val="0"/>
          <w:divBdr>
            <w:top w:val="none" w:sz="0" w:space="0" w:color="auto"/>
            <w:left w:val="none" w:sz="0" w:space="0" w:color="auto"/>
            <w:bottom w:val="none" w:sz="0" w:space="0" w:color="auto"/>
            <w:right w:val="none" w:sz="0" w:space="0" w:color="auto"/>
          </w:divBdr>
        </w:div>
        <w:div w:id="512114711">
          <w:marLeft w:val="640"/>
          <w:marRight w:val="0"/>
          <w:marTop w:val="0"/>
          <w:marBottom w:val="0"/>
          <w:divBdr>
            <w:top w:val="none" w:sz="0" w:space="0" w:color="auto"/>
            <w:left w:val="none" w:sz="0" w:space="0" w:color="auto"/>
            <w:bottom w:val="none" w:sz="0" w:space="0" w:color="auto"/>
            <w:right w:val="none" w:sz="0" w:space="0" w:color="auto"/>
          </w:divBdr>
        </w:div>
        <w:div w:id="517963443">
          <w:marLeft w:val="640"/>
          <w:marRight w:val="0"/>
          <w:marTop w:val="0"/>
          <w:marBottom w:val="0"/>
          <w:divBdr>
            <w:top w:val="none" w:sz="0" w:space="0" w:color="auto"/>
            <w:left w:val="none" w:sz="0" w:space="0" w:color="auto"/>
            <w:bottom w:val="none" w:sz="0" w:space="0" w:color="auto"/>
            <w:right w:val="none" w:sz="0" w:space="0" w:color="auto"/>
          </w:divBdr>
        </w:div>
        <w:div w:id="535849392">
          <w:marLeft w:val="640"/>
          <w:marRight w:val="0"/>
          <w:marTop w:val="0"/>
          <w:marBottom w:val="0"/>
          <w:divBdr>
            <w:top w:val="none" w:sz="0" w:space="0" w:color="auto"/>
            <w:left w:val="none" w:sz="0" w:space="0" w:color="auto"/>
            <w:bottom w:val="none" w:sz="0" w:space="0" w:color="auto"/>
            <w:right w:val="none" w:sz="0" w:space="0" w:color="auto"/>
          </w:divBdr>
        </w:div>
        <w:div w:id="536890190">
          <w:marLeft w:val="640"/>
          <w:marRight w:val="0"/>
          <w:marTop w:val="0"/>
          <w:marBottom w:val="0"/>
          <w:divBdr>
            <w:top w:val="none" w:sz="0" w:space="0" w:color="auto"/>
            <w:left w:val="none" w:sz="0" w:space="0" w:color="auto"/>
            <w:bottom w:val="none" w:sz="0" w:space="0" w:color="auto"/>
            <w:right w:val="none" w:sz="0" w:space="0" w:color="auto"/>
          </w:divBdr>
        </w:div>
        <w:div w:id="574635214">
          <w:marLeft w:val="640"/>
          <w:marRight w:val="0"/>
          <w:marTop w:val="0"/>
          <w:marBottom w:val="0"/>
          <w:divBdr>
            <w:top w:val="none" w:sz="0" w:space="0" w:color="auto"/>
            <w:left w:val="none" w:sz="0" w:space="0" w:color="auto"/>
            <w:bottom w:val="none" w:sz="0" w:space="0" w:color="auto"/>
            <w:right w:val="none" w:sz="0" w:space="0" w:color="auto"/>
          </w:divBdr>
        </w:div>
        <w:div w:id="634021292">
          <w:marLeft w:val="640"/>
          <w:marRight w:val="0"/>
          <w:marTop w:val="0"/>
          <w:marBottom w:val="0"/>
          <w:divBdr>
            <w:top w:val="none" w:sz="0" w:space="0" w:color="auto"/>
            <w:left w:val="none" w:sz="0" w:space="0" w:color="auto"/>
            <w:bottom w:val="none" w:sz="0" w:space="0" w:color="auto"/>
            <w:right w:val="none" w:sz="0" w:space="0" w:color="auto"/>
          </w:divBdr>
        </w:div>
        <w:div w:id="711273873">
          <w:marLeft w:val="640"/>
          <w:marRight w:val="0"/>
          <w:marTop w:val="0"/>
          <w:marBottom w:val="0"/>
          <w:divBdr>
            <w:top w:val="none" w:sz="0" w:space="0" w:color="auto"/>
            <w:left w:val="none" w:sz="0" w:space="0" w:color="auto"/>
            <w:bottom w:val="none" w:sz="0" w:space="0" w:color="auto"/>
            <w:right w:val="none" w:sz="0" w:space="0" w:color="auto"/>
          </w:divBdr>
        </w:div>
        <w:div w:id="719018076">
          <w:marLeft w:val="640"/>
          <w:marRight w:val="0"/>
          <w:marTop w:val="0"/>
          <w:marBottom w:val="0"/>
          <w:divBdr>
            <w:top w:val="none" w:sz="0" w:space="0" w:color="auto"/>
            <w:left w:val="none" w:sz="0" w:space="0" w:color="auto"/>
            <w:bottom w:val="none" w:sz="0" w:space="0" w:color="auto"/>
            <w:right w:val="none" w:sz="0" w:space="0" w:color="auto"/>
          </w:divBdr>
        </w:div>
        <w:div w:id="801772057">
          <w:marLeft w:val="640"/>
          <w:marRight w:val="0"/>
          <w:marTop w:val="0"/>
          <w:marBottom w:val="0"/>
          <w:divBdr>
            <w:top w:val="none" w:sz="0" w:space="0" w:color="auto"/>
            <w:left w:val="none" w:sz="0" w:space="0" w:color="auto"/>
            <w:bottom w:val="none" w:sz="0" w:space="0" w:color="auto"/>
            <w:right w:val="none" w:sz="0" w:space="0" w:color="auto"/>
          </w:divBdr>
        </w:div>
        <w:div w:id="804271325">
          <w:marLeft w:val="640"/>
          <w:marRight w:val="0"/>
          <w:marTop w:val="0"/>
          <w:marBottom w:val="0"/>
          <w:divBdr>
            <w:top w:val="none" w:sz="0" w:space="0" w:color="auto"/>
            <w:left w:val="none" w:sz="0" w:space="0" w:color="auto"/>
            <w:bottom w:val="none" w:sz="0" w:space="0" w:color="auto"/>
            <w:right w:val="none" w:sz="0" w:space="0" w:color="auto"/>
          </w:divBdr>
        </w:div>
        <w:div w:id="849222864">
          <w:marLeft w:val="640"/>
          <w:marRight w:val="0"/>
          <w:marTop w:val="0"/>
          <w:marBottom w:val="0"/>
          <w:divBdr>
            <w:top w:val="none" w:sz="0" w:space="0" w:color="auto"/>
            <w:left w:val="none" w:sz="0" w:space="0" w:color="auto"/>
            <w:bottom w:val="none" w:sz="0" w:space="0" w:color="auto"/>
            <w:right w:val="none" w:sz="0" w:space="0" w:color="auto"/>
          </w:divBdr>
        </w:div>
        <w:div w:id="904494339">
          <w:marLeft w:val="640"/>
          <w:marRight w:val="0"/>
          <w:marTop w:val="0"/>
          <w:marBottom w:val="0"/>
          <w:divBdr>
            <w:top w:val="none" w:sz="0" w:space="0" w:color="auto"/>
            <w:left w:val="none" w:sz="0" w:space="0" w:color="auto"/>
            <w:bottom w:val="none" w:sz="0" w:space="0" w:color="auto"/>
            <w:right w:val="none" w:sz="0" w:space="0" w:color="auto"/>
          </w:divBdr>
        </w:div>
        <w:div w:id="911695532">
          <w:marLeft w:val="640"/>
          <w:marRight w:val="0"/>
          <w:marTop w:val="0"/>
          <w:marBottom w:val="0"/>
          <w:divBdr>
            <w:top w:val="none" w:sz="0" w:space="0" w:color="auto"/>
            <w:left w:val="none" w:sz="0" w:space="0" w:color="auto"/>
            <w:bottom w:val="none" w:sz="0" w:space="0" w:color="auto"/>
            <w:right w:val="none" w:sz="0" w:space="0" w:color="auto"/>
          </w:divBdr>
        </w:div>
        <w:div w:id="942957646">
          <w:marLeft w:val="640"/>
          <w:marRight w:val="0"/>
          <w:marTop w:val="0"/>
          <w:marBottom w:val="0"/>
          <w:divBdr>
            <w:top w:val="none" w:sz="0" w:space="0" w:color="auto"/>
            <w:left w:val="none" w:sz="0" w:space="0" w:color="auto"/>
            <w:bottom w:val="none" w:sz="0" w:space="0" w:color="auto"/>
            <w:right w:val="none" w:sz="0" w:space="0" w:color="auto"/>
          </w:divBdr>
        </w:div>
        <w:div w:id="1002396784">
          <w:marLeft w:val="640"/>
          <w:marRight w:val="0"/>
          <w:marTop w:val="0"/>
          <w:marBottom w:val="0"/>
          <w:divBdr>
            <w:top w:val="none" w:sz="0" w:space="0" w:color="auto"/>
            <w:left w:val="none" w:sz="0" w:space="0" w:color="auto"/>
            <w:bottom w:val="none" w:sz="0" w:space="0" w:color="auto"/>
            <w:right w:val="none" w:sz="0" w:space="0" w:color="auto"/>
          </w:divBdr>
        </w:div>
        <w:div w:id="1031340963">
          <w:marLeft w:val="640"/>
          <w:marRight w:val="0"/>
          <w:marTop w:val="0"/>
          <w:marBottom w:val="0"/>
          <w:divBdr>
            <w:top w:val="none" w:sz="0" w:space="0" w:color="auto"/>
            <w:left w:val="none" w:sz="0" w:space="0" w:color="auto"/>
            <w:bottom w:val="none" w:sz="0" w:space="0" w:color="auto"/>
            <w:right w:val="none" w:sz="0" w:space="0" w:color="auto"/>
          </w:divBdr>
        </w:div>
        <w:div w:id="1080717536">
          <w:marLeft w:val="640"/>
          <w:marRight w:val="0"/>
          <w:marTop w:val="0"/>
          <w:marBottom w:val="0"/>
          <w:divBdr>
            <w:top w:val="none" w:sz="0" w:space="0" w:color="auto"/>
            <w:left w:val="none" w:sz="0" w:space="0" w:color="auto"/>
            <w:bottom w:val="none" w:sz="0" w:space="0" w:color="auto"/>
            <w:right w:val="none" w:sz="0" w:space="0" w:color="auto"/>
          </w:divBdr>
        </w:div>
        <w:div w:id="1094133082">
          <w:marLeft w:val="640"/>
          <w:marRight w:val="0"/>
          <w:marTop w:val="0"/>
          <w:marBottom w:val="0"/>
          <w:divBdr>
            <w:top w:val="none" w:sz="0" w:space="0" w:color="auto"/>
            <w:left w:val="none" w:sz="0" w:space="0" w:color="auto"/>
            <w:bottom w:val="none" w:sz="0" w:space="0" w:color="auto"/>
            <w:right w:val="none" w:sz="0" w:space="0" w:color="auto"/>
          </w:divBdr>
        </w:div>
        <w:div w:id="1176457159">
          <w:marLeft w:val="640"/>
          <w:marRight w:val="0"/>
          <w:marTop w:val="0"/>
          <w:marBottom w:val="0"/>
          <w:divBdr>
            <w:top w:val="none" w:sz="0" w:space="0" w:color="auto"/>
            <w:left w:val="none" w:sz="0" w:space="0" w:color="auto"/>
            <w:bottom w:val="none" w:sz="0" w:space="0" w:color="auto"/>
            <w:right w:val="none" w:sz="0" w:space="0" w:color="auto"/>
          </w:divBdr>
        </w:div>
        <w:div w:id="1195657680">
          <w:marLeft w:val="640"/>
          <w:marRight w:val="0"/>
          <w:marTop w:val="0"/>
          <w:marBottom w:val="0"/>
          <w:divBdr>
            <w:top w:val="none" w:sz="0" w:space="0" w:color="auto"/>
            <w:left w:val="none" w:sz="0" w:space="0" w:color="auto"/>
            <w:bottom w:val="none" w:sz="0" w:space="0" w:color="auto"/>
            <w:right w:val="none" w:sz="0" w:space="0" w:color="auto"/>
          </w:divBdr>
        </w:div>
        <w:div w:id="1199320338">
          <w:marLeft w:val="640"/>
          <w:marRight w:val="0"/>
          <w:marTop w:val="0"/>
          <w:marBottom w:val="0"/>
          <w:divBdr>
            <w:top w:val="none" w:sz="0" w:space="0" w:color="auto"/>
            <w:left w:val="none" w:sz="0" w:space="0" w:color="auto"/>
            <w:bottom w:val="none" w:sz="0" w:space="0" w:color="auto"/>
            <w:right w:val="none" w:sz="0" w:space="0" w:color="auto"/>
          </w:divBdr>
        </w:div>
        <w:div w:id="1211380736">
          <w:marLeft w:val="640"/>
          <w:marRight w:val="0"/>
          <w:marTop w:val="0"/>
          <w:marBottom w:val="0"/>
          <w:divBdr>
            <w:top w:val="none" w:sz="0" w:space="0" w:color="auto"/>
            <w:left w:val="none" w:sz="0" w:space="0" w:color="auto"/>
            <w:bottom w:val="none" w:sz="0" w:space="0" w:color="auto"/>
            <w:right w:val="none" w:sz="0" w:space="0" w:color="auto"/>
          </w:divBdr>
        </w:div>
        <w:div w:id="1274243784">
          <w:marLeft w:val="640"/>
          <w:marRight w:val="0"/>
          <w:marTop w:val="0"/>
          <w:marBottom w:val="0"/>
          <w:divBdr>
            <w:top w:val="none" w:sz="0" w:space="0" w:color="auto"/>
            <w:left w:val="none" w:sz="0" w:space="0" w:color="auto"/>
            <w:bottom w:val="none" w:sz="0" w:space="0" w:color="auto"/>
            <w:right w:val="none" w:sz="0" w:space="0" w:color="auto"/>
          </w:divBdr>
        </w:div>
        <w:div w:id="1338120390">
          <w:marLeft w:val="640"/>
          <w:marRight w:val="0"/>
          <w:marTop w:val="0"/>
          <w:marBottom w:val="0"/>
          <w:divBdr>
            <w:top w:val="none" w:sz="0" w:space="0" w:color="auto"/>
            <w:left w:val="none" w:sz="0" w:space="0" w:color="auto"/>
            <w:bottom w:val="none" w:sz="0" w:space="0" w:color="auto"/>
            <w:right w:val="none" w:sz="0" w:space="0" w:color="auto"/>
          </w:divBdr>
        </w:div>
        <w:div w:id="1371800605">
          <w:marLeft w:val="640"/>
          <w:marRight w:val="0"/>
          <w:marTop w:val="0"/>
          <w:marBottom w:val="0"/>
          <w:divBdr>
            <w:top w:val="none" w:sz="0" w:space="0" w:color="auto"/>
            <w:left w:val="none" w:sz="0" w:space="0" w:color="auto"/>
            <w:bottom w:val="none" w:sz="0" w:space="0" w:color="auto"/>
            <w:right w:val="none" w:sz="0" w:space="0" w:color="auto"/>
          </w:divBdr>
        </w:div>
        <w:div w:id="1399745069">
          <w:marLeft w:val="640"/>
          <w:marRight w:val="0"/>
          <w:marTop w:val="0"/>
          <w:marBottom w:val="0"/>
          <w:divBdr>
            <w:top w:val="none" w:sz="0" w:space="0" w:color="auto"/>
            <w:left w:val="none" w:sz="0" w:space="0" w:color="auto"/>
            <w:bottom w:val="none" w:sz="0" w:space="0" w:color="auto"/>
            <w:right w:val="none" w:sz="0" w:space="0" w:color="auto"/>
          </w:divBdr>
        </w:div>
        <w:div w:id="1404832322">
          <w:marLeft w:val="640"/>
          <w:marRight w:val="0"/>
          <w:marTop w:val="0"/>
          <w:marBottom w:val="0"/>
          <w:divBdr>
            <w:top w:val="none" w:sz="0" w:space="0" w:color="auto"/>
            <w:left w:val="none" w:sz="0" w:space="0" w:color="auto"/>
            <w:bottom w:val="none" w:sz="0" w:space="0" w:color="auto"/>
            <w:right w:val="none" w:sz="0" w:space="0" w:color="auto"/>
          </w:divBdr>
        </w:div>
        <w:div w:id="1406028418">
          <w:marLeft w:val="640"/>
          <w:marRight w:val="0"/>
          <w:marTop w:val="0"/>
          <w:marBottom w:val="0"/>
          <w:divBdr>
            <w:top w:val="none" w:sz="0" w:space="0" w:color="auto"/>
            <w:left w:val="none" w:sz="0" w:space="0" w:color="auto"/>
            <w:bottom w:val="none" w:sz="0" w:space="0" w:color="auto"/>
            <w:right w:val="none" w:sz="0" w:space="0" w:color="auto"/>
          </w:divBdr>
        </w:div>
        <w:div w:id="1422410339">
          <w:marLeft w:val="640"/>
          <w:marRight w:val="0"/>
          <w:marTop w:val="0"/>
          <w:marBottom w:val="0"/>
          <w:divBdr>
            <w:top w:val="none" w:sz="0" w:space="0" w:color="auto"/>
            <w:left w:val="none" w:sz="0" w:space="0" w:color="auto"/>
            <w:bottom w:val="none" w:sz="0" w:space="0" w:color="auto"/>
            <w:right w:val="none" w:sz="0" w:space="0" w:color="auto"/>
          </w:divBdr>
        </w:div>
        <w:div w:id="1433553899">
          <w:marLeft w:val="640"/>
          <w:marRight w:val="0"/>
          <w:marTop w:val="0"/>
          <w:marBottom w:val="0"/>
          <w:divBdr>
            <w:top w:val="none" w:sz="0" w:space="0" w:color="auto"/>
            <w:left w:val="none" w:sz="0" w:space="0" w:color="auto"/>
            <w:bottom w:val="none" w:sz="0" w:space="0" w:color="auto"/>
            <w:right w:val="none" w:sz="0" w:space="0" w:color="auto"/>
          </w:divBdr>
        </w:div>
        <w:div w:id="1480076435">
          <w:marLeft w:val="640"/>
          <w:marRight w:val="0"/>
          <w:marTop w:val="0"/>
          <w:marBottom w:val="0"/>
          <w:divBdr>
            <w:top w:val="none" w:sz="0" w:space="0" w:color="auto"/>
            <w:left w:val="none" w:sz="0" w:space="0" w:color="auto"/>
            <w:bottom w:val="none" w:sz="0" w:space="0" w:color="auto"/>
            <w:right w:val="none" w:sz="0" w:space="0" w:color="auto"/>
          </w:divBdr>
        </w:div>
        <w:div w:id="1492910251">
          <w:marLeft w:val="640"/>
          <w:marRight w:val="0"/>
          <w:marTop w:val="0"/>
          <w:marBottom w:val="0"/>
          <w:divBdr>
            <w:top w:val="none" w:sz="0" w:space="0" w:color="auto"/>
            <w:left w:val="none" w:sz="0" w:space="0" w:color="auto"/>
            <w:bottom w:val="none" w:sz="0" w:space="0" w:color="auto"/>
            <w:right w:val="none" w:sz="0" w:space="0" w:color="auto"/>
          </w:divBdr>
        </w:div>
        <w:div w:id="1498227665">
          <w:marLeft w:val="640"/>
          <w:marRight w:val="0"/>
          <w:marTop w:val="0"/>
          <w:marBottom w:val="0"/>
          <w:divBdr>
            <w:top w:val="none" w:sz="0" w:space="0" w:color="auto"/>
            <w:left w:val="none" w:sz="0" w:space="0" w:color="auto"/>
            <w:bottom w:val="none" w:sz="0" w:space="0" w:color="auto"/>
            <w:right w:val="none" w:sz="0" w:space="0" w:color="auto"/>
          </w:divBdr>
        </w:div>
        <w:div w:id="1562325131">
          <w:marLeft w:val="640"/>
          <w:marRight w:val="0"/>
          <w:marTop w:val="0"/>
          <w:marBottom w:val="0"/>
          <w:divBdr>
            <w:top w:val="none" w:sz="0" w:space="0" w:color="auto"/>
            <w:left w:val="none" w:sz="0" w:space="0" w:color="auto"/>
            <w:bottom w:val="none" w:sz="0" w:space="0" w:color="auto"/>
            <w:right w:val="none" w:sz="0" w:space="0" w:color="auto"/>
          </w:divBdr>
        </w:div>
        <w:div w:id="1591045825">
          <w:marLeft w:val="640"/>
          <w:marRight w:val="0"/>
          <w:marTop w:val="0"/>
          <w:marBottom w:val="0"/>
          <w:divBdr>
            <w:top w:val="none" w:sz="0" w:space="0" w:color="auto"/>
            <w:left w:val="none" w:sz="0" w:space="0" w:color="auto"/>
            <w:bottom w:val="none" w:sz="0" w:space="0" w:color="auto"/>
            <w:right w:val="none" w:sz="0" w:space="0" w:color="auto"/>
          </w:divBdr>
        </w:div>
        <w:div w:id="1690452369">
          <w:marLeft w:val="640"/>
          <w:marRight w:val="0"/>
          <w:marTop w:val="0"/>
          <w:marBottom w:val="0"/>
          <w:divBdr>
            <w:top w:val="none" w:sz="0" w:space="0" w:color="auto"/>
            <w:left w:val="none" w:sz="0" w:space="0" w:color="auto"/>
            <w:bottom w:val="none" w:sz="0" w:space="0" w:color="auto"/>
            <w:right w:val="none" w:sz="0" w:space="0" w:color="auto"/>
          </w:divBdr>
        </w:div>
        <w:div w:id="1696612955">
          <w:marLeft w:val="640"/>
          <w:marRight w:val="0"/>
          <w:marTop w:val="0"/>
          <w:marBottom w:val="0"/>
          <w:divBdr>
            <w:top w:val="none" w:sz="0" w:space="0" w:color="auto"/>
            <w:left w:val="none" w:sz="0" w:space="0" w:color="auto"/>
            <w:bottom w:val="none" w:sz="0" w:space="0" w:color="auto"/>
            <w:right w:val="none" w:sz="0" w:space="0" w:color="auto"/>
          </w:divBdr>
        </w:div>
        <w:div w:id="1718044885">
          <w:marLeft w:val="640"/>
          <w:marRight w:val="0"/>
          <w:marTop w:val="0"/>
          <w:marBottom w:val="0"/>
          <w:divBdr>
            <w:top w:val="none" w:sz="0" w:space="0" w:color="auto"/>
            <w:left w:val="none" w:sz="0" w:space="0" w:color="auto"/>
            <w:bottom w:val="none" w:sz="0" w:space="0" w:color="auto"/>
            <w:right w:val="none" w:sz="0" w:space="0" w:color="auto"/>
          </w:divBdr>
        </w:div>
        <w:div w:id="1767731844">
          <w:marLeft w:val="640"/>
          <w:marRight w:val="0"/>
          <w:marTop w:val="0"/>
          <w:marBottom w:val="0"/>
          <w:divBdr>
            <w:top w:val="none" w:sz="0" w:space="0" w:color="auto"/>
            <w:left w:val="none" w:sz="0" w:space="0" w:color="auto"/>
            <w:bottom w:val="none" w:sz="0" w:space="0" w:color="auto"/>
            <w:right w:val="none" w:sz="0" w:space="0" w:color="auto"/>
          </w:divBdr>
        </w:div>
        <w:div w:id="1780828466">
          <w:marLeft w:val="640"/>
          <w:marRight w:val="0"/>
          <w:marTop w:val="0"/>
          <w:marBottom w:val="0"/>
          <w:divBdr>
            <w:top w:val="none" w:sz="0" w:space="0" w:color="auto"/>
            <w:left w:val="none" w:sz="0" w:space="0" w:color="auto"/>
            <w:bottom w:val="none" w:sz="0" w:space="0" w:color="auto"/>
            <w:right w:val="none" w:sz="0" w:space="0" w:color="auto"/>
          </w:divBdr>
        </w:div>
        <w:div w:id="1796748900">
          <w:marLeft w:val="640"/>
          <w:marRight w:val="0"/>
          <w:marTop w:val="0"/>
          <w:marBottom w:val="0"/>
          <w:divBdr>
            <w:top w:val="none" w:sz="0" w:space="0" w:color="auto"/>
            <w:left w:val="none" w:sz="0" w:space="0" w:color="auto"/>
            <w:bottom w:val="none" w:sz="0" w:space="0" w:color="auto"/>
            <w:right w:val="none" w:sz="0" w:space="0" w:color="auto"/>
          </w:divBdr>
        </w:div>
        <w:div w:id="1807819867">
          <w:marLeft w:val="640"/>
          <w:marRight w:val="0"/>
          <w:marTop w:val="0"/>
          <w:marBottom w:val="0"/>
          <w:divBdr>
            <w:top w:val="none" w:sz="0" w:space="0" w:color="auto"/>
            <w:left w:val="none" w:sz="0" w:space="0" w:color="auto"/>
            <w:bottom w:val="none" w:sz="0" w:space="0" w:color="auto"/>
            <w:right w:val="none" w:sz="0" w:space="0" w:color="auto"/>
          </w:divBdr>
        </w:div>
        <w:div w:id="1838494845">
          <w:marLeft w:val="640"/>
          <w:marRight w:val="0"/>
          <w:marTop w:val="0"/>
          <w:marBottom w:val="0"/>
          <w:divBdr>
            <w:top w:val="none" w:sz="0" w:space="0" w:color="auto"/>
            <w:left w:val="none" w:sz="0" w:space="0" w:color="auto"/>
            <w:bottom w:val="none" w:sz="0" w:space="0" w:color="auto"/>
            <w:right w:val="none" w:sz="0" w:space="0" w:color="auto"/>
          </w:divBdr>
        </w:div>
        <w:div w:id="1857111654">
          <w:marLeft w:val="640"/>
          <w:marRight w:val="0"/>
          <w:marTop w:val="0"/>
          <w:marBottom w:val="0"/>
          <w:divBdr>
            <w:top w:val="none" w:sz="0" w:space="0" w:color="auto"/>
            <w:left w:val="none" w:sz="0" w:space="0" w:color="auto"/>
            <w:bottom w:val="none" w:sz="0" w:space="0" w:color="auto"/>
            <w:right w:val="none" w:sz="0" w:space="0" w:color="auto"/>
          </w:divBdr>
        </w:div>
        <w:div w:id="1924025695">
          <w:marLeft w:val="640"/>
          <w:marRight w:val="0"/>
          <w:marTop w:val="0"/>
          <w:marBottom w:val="0"/>
          <w:divBdr>
            <w:top w:val="none" w:sz="0" w:space="0" w:color="auto"/>
            <w:left w:val="none" w:sz="0" w:space="0" w:color="auto"/>
            <w:bottom w:val="none" w:sz="0" w:space="0" w:color="auto"/>
            <w:right w:val="none" w:sz="0" w:space="0" w:color="auto"/>
          </w:divBdr>
        </w:div>
        <w:div w:id="1955601500">
          <w:marLeft w:val="640"/>
          <w:marRight w:val="0"/>
          <w:marTop w:val="0"/>
          <w:marBottom w:val="0"/>
          <w:divBdr>
            <w:top w:val="none" w:sz="0" w:space="0" w:color="auto"/>
            <w:left w:val="none" w:sz="0" w:space="0" w:color="auto"/>
            <w:bottom w:val="none" w:sz="0" w:space="0" w:color="auto"/>
            <w:right w:val="none" w:sz="0" w:space="0" w:color="auto"/>
          </w:divBdr>
        </w:div>
        <w:div w:id="2007318751">
          <w:marLeft w:val="640"/>
          <w:marRight w:val="0"/>
          <w:marTop w:val="0"/>
          <w:marBottom w:val="0"/>
          <w:divBdr>
            <w:top w:val="none" w:sz="0" w:space="0" w:color="auto"/>
            <w:left w:val="none" w:sz="0" w:space="0" w:color="auto"/>
            <w:bottom w:val="none" w:sz="0" w:space="0" w:color="auto"/>
            <w:right w:val="none" w:sz="0" w:space="0" w:color="auto"/>
          </w:divBdr>
        </w:div>
        <w:div w:id="2141992891">
          <w:marLeft w:val="640"/>
          <w:marRight w:val="0"/>
          <w:marTop w:val="0"/>
          <w:marBottom w:val="0"/>
          <w:divBdr>
            <w:top w:val="none" w:sz="0" w:space="0" w:color="auto"/>
            <w:left w:val="none" w:sz="0" w:space="0" w:color="auto"/>
            <w:bottom w:val="none" w:sz="0" w:space="0" w:color="auto"/>
            <w:right w:val="none" w:sz="0" w:space="0" w:color="auto"/>
          </w:divBdr>
        </w:div>
      </w:divsChild>
    </w:div>
    <w:div w:id="1072847096">
      <w:bodyDiv w:val="1"/>
      <w:marLeft w:val="0"/>
      <w:marRight w:val="0"/>
      <w:marTop w:val="0"/>
      <w:marBottom w:val="0"/>
      <w:divBdr>
        <w:top w:val="none" w:sz="0" w:space="0" w:color="auto"/>
        <w:left w:val="none" w:sz="0" w:space="0" w:color="auto"/>
        <w:bottom w:val="none" w:sz="0" w:space="0" w:color="auto"/>
        <w:right w:val="none" w:sz="0" w:space="0" w:color="auto"/>
      </w:divBdr>
      <w:divsChild>
        <w:div w:id="540943184">
          <w:marLeft w:val="480"/>
          <w:marRight w:val="0"/>
          <w:marTop w:val="0"/>
          <w:marBottom w:val="0"/>
          <w:divBdr>
            <w:top w:val="none" w:sz="0" w:space="0" w:color="auto"/>
            <w:left w:val="none" w:sz="0" w:space="0" w:color="auto"/>
            <w:bottom w:val="none" w:sz="0" w:space="0" w:color="auto"/>
            <w:right w:val="none" w:sz="0" w:space="0" w:color="auto"/>
          </w:divBdr>
        </w:div>
        <w:div w:id="1478567136">
          <w:marLeft w:val="480"/>
          <w:marRight w:val="0"/>
          <w:marTop w:val="0"/>
          <w:marBottom w:val="0"/>
          <w:divBdr>
            <w:top w:val="none" w:sz="0" w:space="0" w:color="auto"/>
            <w:left w:val="none" w:sz="0" w:space="0" w:color="auto"/>
            <w:bottom w:val="none" w:sz="0" w:space="0" w:color="auto"/>
            <w:right w:val="none" w:sz="0" w:space="0" w:color="auto"/>
          </w:divBdr>
        </w:div>
        <w:div w:id="651838775">
          <w:marLeft w:val="480"/>
          <w:marRight w:val="0"/>
          <w:marTop w:val="0"/>
          <w:marBottom w:val="0"/>
          <w:divBdr>
            <w:top w:val="none" w:sz="0" w:space="0" w:color="auto"/>
            <w:left w:val="none" w:sz="0" w:space="0" w:color="auto"/>
            <w:bottom w:val="none" w:sz="0" w:space="0" w:color="auto"/>
            <w:right w:val="none" w:sz="0" w:space="0" w:color="auto"/>
          </w:divBdr>
        </w:div>
        <w:div w:id="1779525852">
          <w:marLeft w:val="480"/>
          <w:marRight w:val="0"/>
          <w:marTop w:val="0"/>
          <w:marBottom w:val="0"/>
          <w:divBdr>
            <w:top w:val="none" w:sz="0" w:space="0" w:color="auto"/>
            <w:left w:val="none" w:sz="0" w:space="0" w:color="auto"/>
            <w:bottom w:val="none" w:sz="0" w:space="0" w:color="auto"/>
            <w:right w:val="none" w:sz="0" w:space="0" w:color="auto"/>
          </w:divBdr>
        </w:div>
        <w:div w:id="1826120786">
          <w:marLeft w:val="480"/>
          <w:marRight w:val="0"/>
          <w:marTop w:val="0"/>
          <w:marBottom w:val="0"/>
          <w:divBdr>
            <w:top w:val="none" w:sz="0" w:space="0" w:color="auto"/>
            <w:left w:val="none" w:sz="0" w:space="0" w:color="auto"/>
            <w:bottom w:val="none" w:sz="0" w:space="0" w:color="auto"/>
            <w:right w:val="none" w:sz="0" w:space="0" w:color="auto"/>
          </w:divBdr>
        </w:div>
        <w:div w:id="1004208169">
          <w:marLeft w:val="480"/>
          <w:marRight w:val="0"/>
          <w:marTop w:val="0"/>
          <w:marBottom w:val="0"/>
          <w:divBdr>
            <w:top w:val="none" w:sz="0" w:space="0" w:color="auto"/>
            <w:left w:val="none" w:sz="0" w:space="0" w:color="auto"/>
            <w:bottom w:val="none" w:sz="0" w:space="0" w:color="auto"/>
            <w:right w:val="none" w:sz="0" w:space="0" w:color="auto"/>
          </w:divBdr>
        </w:div>
      </w:divsChild>
    </w:div>
    <w:div w:id="1078403712">
      <w:bodyDiv w:val="1"/>
      <w:marLeft w:val="0"/>
      <w:marRight w:val="0"/>
      <w:marTop w:val="0"/>
      <w:marBottom w:val="0"/>
      <w:divBdr>
        <w:top w:val="none" w:sz="0" w:space="0" w:color="auto"/>
        <w:left w:val="none" w:sz="0" w:space="0" w:color="auto"/>
        <w:bottom w:val="none" w:sz="0" w:space="0" w:color="auto"/>
        <w:right w:val="none" w:sz="0" w:space="0" w:color="auto"/>
      </w:divBdr>
    </w:div>
    <w:div w:id="1085690416">
      <w:bodyDiv w:val="1"/>
      <w:marLeft w:val="0"/>
      <w:marRight w:val="0"/>
      <w:marTop w:val="0"/>
      <w:marBottom w:val="0"/>
      <w:divBdr>
        <w:top w:val="none" w:sz="0" w:space="0" w:color="auto"/>
        <w:left w:val="none" w:sz="0" w:space="0" w:color="auto"/>
        <w:bottom w:val="none" w:sz="0" w:space="0" w:color="auto"/>
        <w:right w:val="none" w:sz="0" w:space="0" w:color="auto"/>
      </w:divBdr>
      <w:divsChild>
        <w:div w:id="415634690">
          <w:marLeft w:val="0"/>
          <w:marRight w:val="0"/>
          <w:marTop w:val="240"/>
          <w:marBottom w:val="240"/>
          <w:divBdr>
            <w:top w:val="none" w:sz="0" w:space="0" w:color="auto"/>
            <w:left w:val="none" w:sz="0" w:space="0" w:color="auto"/>
            <w:bottom w:val="none" w:sz="0" w:space="0" w:color="auto"/>
            <w:right w:val="none" w:sz="0" w:space="0" w:color="auto"/>
          </w:divBdr>
        </w:div>
        <w:div w:id="661280038">
          <w:marLeft w:val="0"/>
          <w:marRight w:val="0"/>
          <w:marTop w:val="240"/>
          <w:marBottom w:val="240"/>
          <w:divBdr>
            <w:top w:val="none" w:sz="0" w:space="0" w:color="auto"/>
            <w:left w:val="none" w:sz="0" w:space="0" w:color="auto"/>
            <w:bottom w:val="none" w:sz="0" w:space="0" w:color="auto"/>
            <w:right w:val="none" w:sz="0" w:space="0" w:color="auto"/>
          </w:divBdr>
        </w:div>
        <w:div w:id="2028170946">
          <w:marLeft w:val="0"/>
          <w:marRight w:val="0"/>
          <w:marTop w:val="240"/>
          <w:marBottom w:val="240"/>
          <w:divBdr>
            <w:top w:val="none" w:sz="0" w:space="0" w:color="auto"/>
            <w:left w:val="none" w:sz="0" w:space="0" w:color="auto"/>
            <w:bottom w:val="none" w:sz="0" w:space="0" w:color="auto"/>
            <w:right w:val="none" w:sz="0" w:space="0" w:color="auto"/>
          </w:divBdr>
        </w:div>
      </w:divsChild>
    </w:div>
    <w:div w:id="1090388681">
      <w:bodyDiv w:val="1"/>
      <w:marLeft w:val="0"/>
      <w:marRight w:val="0"/>
      <w:marTop w:val="0"/>
      <w:marBottom w:val="0"/>
      <w:divBdr>
        <w:top w:val="none" w:sz="0" w:space="0" w:color="auto"/>
        <w:left w:val="none" w:sz="0" w:space="0" w:color="auto"/>
        <w:bottom w:val="none" w:sz="0" w:space="0" w:color="auto"/>
        <w:right w:val="none" w:sz="0" w:space="0" w:color="auto"/>
      </w:divBdr>
    </w:div>
    <w:div w:id="1107116846">
      <w:bodyDiv w:val="1"/>
      <w:marLeft w:val="0"/>
      <w:marRight w:val="0"/>
      <w:marTop w:val="0"/>
      <w:marBottom w:val="0"/>
      <w:divBdr>
        <w:top w:val="none" w:sz="0" w:space="0" w:color="auto"/>
        <w:left w:val="none" w:sz="0" w:space="0" w:color="auto"/>
        <w:bottom w:val="none" w:sz="0" w:space="0" w:color="auto"/>
        <w:right w:val="none" w:sz="0" w:space="0" w:color="auto"/>
      </w:divBdr>
    </w:div>
    <w:div w:id="1126119706">
      <w:bodyDiv w:val="1"/>
      <w:marLeft w:val="0"/>
      <w:marRight w:val="0"/>
      <w:marTop w:val="0"/>
      <w:marBottom w:val="0"/>
      <w:divBdr>
        <w:top w:val="none" w:sz="0" w:space="0" w:color="auto"/>
        <w:left w:val="none" w:sz="0" w:space="0" w:color="auto"/>
        <w:bottom w:val="none" w:sz="0" w:space="0" w:color="auto"/>
        <w:right w:val="none" w:sz="0" w:space="0" w:color="auto"/>
      </w:divBdr>
    </w:div>
    <w:div w:id="1137265411">
      <w:bodyDiv w:val="1"/>
      <w:marLeft w:val="0"/>
      <w:marRight w:val="0"/>
      <w:marTop w:val="0"/>
      <w:marBottom w:val="0"/>
      <w:divBdr>
        <w:top w:val="none" w:sz="0" w:space="0" w:color="auto"/>
        <w:left w:val="none" w:sz="0" w:space="0" w:color="auto"/>
        <w:bottom w:val="none" w:sz="0" w:space="0" w:color="auto"/>
        <w:right w:val="none" w:sz="0" w:space="0" w:color="auto"/>
      </w:divBdr>
    </w:div>
    <w:div w:id="1146095077">
      <w:bodyDiv w:val="1"/>
      <w:marLeft w:val="0"/>
      <w:marRight w:val="0"/>
      <w:marTop w:val="0"/>
      <w:marBottom w:val="0"/>
      <w:divBdr>
        <w:top w:val="none" w:sz="0" w:space="0" w:color="auto"/>
        <w:left w:val="none" w:sz="0" w:space="0" w:color="auto"/>
        <w:bottom w:val="none" w:sz="0" w:space="0" w:color="auto"/>
        <w:right w:val="none" w:sz="0" w:space="0" w:color="auto"/>
      </w:divBdr>
    </w:div>
    <w:div w:id="1175000798">
      <w:bodyDiv w:val="1"/>
      <w:marLeft w:val="0"/>
      <w:marRight w:val="0"/>
      <w:marTop w:val="0"/>
      <w:marBottom w:val="0"/>
      <w:divBdr>
        <w:top w:val="none" w:sz="0" w:space="0" w:color="auto"/>
        <w:left w:val="none" w:sz="0" w:space="0" w:color="auto"/>
        <w:bottom w:val="none" w:sz="0" w:space="0" w:color="auto"/>
        <w:right w:val="none" w:sz="0" w:space="0" w:color="auto"/>
      </w:divBdr>
      <w:divsChild>
        <w:div w:id="154805208">
          <w:marLeft w:val="480"/>
          <w:marRight w:val="0"/>
          <w:marTop w:val="0"/>
          <w:marBottom w:val="0"/>
          <w:divBdr>
            <w:top w:val="none" w:sz="0" w:space="0" w:color="auto"/>
            <w:left w:val="none" w:sz="0" w:space="0" w:color="auto"/>
            <w:bottom w:val="none" w:sz="0" w:space="0" w:color="auto"/>
            <w:right w:val="none" w:sz="0" w:space="0" w:color="auto"/>
          </w:divBdr>
        </w:div>
        <w:div w:id="472646598">
          <w:marLeft w:val="480"/>
          <w:marRight w:val="0"/>
          <w:marTop w:val="0"/>
          <w:marBottom w:val="0"/>
          <w:divBdr>
            <w:top w:val="none" w:sz="0" w:space="0" w:color="auto"/>
            <w:left w:val="none" w:sz="0" w:space="0" w:color="auto"/>
            <w:bottom w:val="none" w:sz="0" w:space="0" w:color="auto"/>
            <w:right w:val="none" w:sz="0" w:space="0" w:color="auto"/>
          </w:divBdr>
        </w:div>
        <w:div w:id="1524905682">
          <w:marLeft w:val="480"/>
          <w:marRight w:val="0"/>
          <w:marTop w:val="0"/>
          <w:marBottom w:val="0"/>
          <w:divBdr>
            <w:top w:val="none" w:sz="0" w:space="0" w:color="auto"/>
            <w:left w:val="none" w:sz="0" w:space="0" w:color="auto"/>
            <w:bottom w:val="none" w:sz="0" w:space="0" w:color="auto"/>
            <w:right w:val="none" w:sz="0" w:space="0" w:color="auto"/>
          </w:divBdr>
        </w:div>
        <w:div w:id="855658523">
          <w:marLeft w:val="480"/>
          <w:marRight w:val="0"/>
          <w:marTop w:val="0"/>
          <w:marBottom w:val="0"/>
          <w:divBdr>
            <w:top w:val="none" w:sz="0" w:space="0" w:color="auto"/>
            <w:left w:val="none" w:sz="0" w:space="0" w:color="auto"/>
            <w:bottom w:val="none" w:sz="0" w:space="0" w:color="auto"/>
            <w:right w:val="none" w:sz="0" w:space="0" w:color="auto"/>
          </w:divBdr>
        </w:div>
        <w:div w:id="754863014">
          <w:marLeft w:val="480"/>
          <w:marRight w:val="0"/>
          <w:marTop w:val="0"/>
          <w:marBottom w:val="0"/>
          <w:divBdr>
            <w:top w:val="none" w:sz="0" w:space="0" w:color="auto"/>
            <w:left w:val="none" w:sz="0" w:space="0" w:color="auto"/>
            <w:bottom w:val="none" w:sz="0" w:space="0" w:color="auto"/>
            <w:right w:val="none" w:sz="0" w:space="0" w:color="auto"/>
          </w:divBdr>
        </w:div>
        <w:div w:id="1199587164">
          <w:marLeft w:val="480"/>
          <w:marRight w:val="0"/>
          <w:marTop w:val="0"/>
          <w:marBottom w:val="0"/>
          <w:divBdr>
            <w:top w:val="none" w:sz="0" w:space="0" w:color="auto"/>
            <w:left w:val="none" w:sz="0" w:space="0" w:color="auto"/>
            <w:bottom w:val="none" w:sz="0" w:space="0" w:color="auto"/>
            <w:right w:val="none" w:sz="0" w:space="0" w:color="auto"/>
          </w:divBdr>
        </w:div>
      </w:divsChild>
    </w:div>
    <w:div w:id="1200515198">
      <w:bodyDiv w:val="1"/>
      <w:marLeft w:val="0"/>
      <w:marRight w:val="0"/>
      <w:marTop w:val="0"/>
      <w:marBottom w:val="0"/>
      <w:divBdr>
        <w:top w:val="none" w:sz="0" w:space="0" w:color="auto"/>
        <w:left w:val="none" w:sz="0" w:space="0" w:color="auto"/>
        <w:bottom w:val="none" w:sz="0" w:space="0" w:color="auto"/>
        <w:right w:val="none" w:sz="0" w:space="0" w:color="auto"/>
      </w:divBdr>
    </w:div>
    <w:div w:id="1212304794">
      <w:bodyDiv w:val="1"/>
      <w:marLeft w:val="0"/>
      <w:marRight w:val="0"/>
      <w:marTop w:val="0"/>
      <w:marBottom w:val="0"/>
      <w:divBdr>
        <w:top w:val="none" w:sz="0" w:space="0" w:color="auto"/>
        <w:left w:val="none" w:sz="0" w:space="0" w:color="auto"/>
        <w:bottom w:val="none" w:sz="0" w:space="0" w:color="auto"/>
        <w:right w:val="none" w:sz="0" w:space="0" w:color="auto"/>
      </w:divBdr>
      <w:divsChild>
        <w:div w:id="1512446716">
          <w:marLeft w:val="480"/>
          <w:marRight w:val="0"/>
          <w:marTop w:val="0"/>
          <w:marBottom w:val="0"/>
          <w:divBdr>
            <w:top w:val="none" w:sz="0" w:space="0" w:color="auto"/>
            <w:left w:val="none" w:sz="0" w:space="0" w:color="auto"/>
            <w:bottom w:val="none" w:sz="0" w:space="0" w:color="auto"/>
            <w:right w:val="none" w:sz="0" w:space="0" w:color="auto"/>
          </w:divBdr>
        </w:div>
        <w:div w:id="1418013652">
          <w:marLeft w:val="480"/>
          <w:marRight w:val="0"/>
          <w:marTop w:val="0"/>
          <w:marBottom w:val="0"/>
          <w:divBdr>
            <w:top w:val="none" w:sz="0" w:space="0" w:color="auto"/>
            <w:left w:val="none" w:sz="0" w:space="0" w:color="auto"/>
            <w:bottom w:val="none" w:sz="0" w:space="0" w:color="auto"/>
            <w:right w:val="none" w:sz="0" w:space="0" w:color="auto"/>
          </w:divBdr>
        </w:div>
        <w:div w:id="124667263">
          <w:marLeft w:val="480"/>
          <w:marRight w:val="0"/>
          <w:marTop w:val="0"/>
          <w:marBottom w:val="0"/>
          <w:divBdr>
            <w:top w:val="none" w:sz="0" w:space="0" w:color="auto"/>
            <w:left w:val="none" w:sz="0" w:space="0" w:color="auto"/>
            <w:bottom w:val="none" w:sz="0" w:space="0" w:color="auto"/>
            <w:right w:val="none" w:sz="0" w:space="0" w:color="auto"/>
          </w:divBdr>
        </w:div>
        <w:div w:id="1059207689">
          <w:marLeft w:val="480"/>
          <w:marRight w:val="0"/>
          <w:marTop w:val="0"/>
          <w:marBottom w:val="0"/>
          <w:divBdr>
            <w:top w:val="none" w:sz="0" w:space="0" w:color="auto"/>
            <w:left w:val="none" w:sz="0" w:space="0" w:color="auto"/>
            <w:bottom w:val="none" w:sz="0" w:space="0" w:color="auto"/>
            <w:right w:val="none" w:sz="0" w:space="0" w:color="auto"/>
          </w:divBdr>
        </w:div>
        <w:div w:id="199899083">
          <w:marLeft w:val="480"/>
          <w:marRight w:val="0"/>
          <w:marTop w:val="0"/>
          <w:marBottom w:val="0"/>
          <w:divBdr>
            <w:top w:val="none" w:sz="0" w:space="0" w:color="auto"/>
            <w:left w:val="none" w:sz="0" w:space="0" w:color="auto"/>
            <w:bottom w:val="none" w:sz="0" w:space="0" w:color="auto"/>
            <w:right w:val="none" w:sz="0" w:space="0" w:color="auto"/>
          </w:divBdr>
        </w:div>
        <w:div w:id="1881353414">
          <w:marLeft w:val="480"/>
          <w:marRight w:val="0"/>
          <w:marTop w:val="0"/>
          <w:marBottom w:val="0"/>
          <w:divBdr>
            <w:top w:val="none" w:sz="0" w:space="0" w:color="auto"/>
            <w:left w:val="none" w:sz="0" w:space="0" w:color="auto"/>
            <w:bottom w:val="none" w:sz="0" w:space="0" w:color="auto"/>
            <w:right w:val="none" w:sz="0" w:space="0" w:color="auto"/>
          </w:divBdr>
        </w:div>
      </w:divsChild>
    </w:div>
    <w:div w:id="1221333001">
      <w:bodyDiv w:val="1"/>
      <w:marLeft w:val="0"/>
      <w:marRight w:val="0"/>
      <w:marTop w:val="0"/>
      <w:marBottom w:val="0"/>
      <w:divBdr>
        <w:top w:val="none" w:sz="0" w:space="0" w:color="auto"/>
        <w:left w:val="none" w:sz="0" w:space="0" w:color="auto"/>
        <w:bottom w:val="none" w:sz="0" w:space="0" w:color="auto"/>
        <w:right w:val="none" w:sz="0" w:space="0" w:color="auto"/>
      </w:divBdr>
      <w:divsChild>
        <w:div w:id="2366163">
          <w:marLeft w:val="640"/>
          <w:marRight w:val="0"/>
          <w:marTop w:val="0"/>
          <w:marBottom w:val="0"/>
          <w:divBdr>
            <w:top w:val="none" w:sz="0" w:space="0" w:color="auto"/>
            <w:left w:val="none" w:sz="0" w:space="0" w:color="auto"/>
            <w:bottom w:val="none" w:sz="0" w:space="0" w:color="auto"/>
            <w:right w:val="none" w:sz="0" w:space="0" w:color="auto"/>
          </w:divBdr>
        </w:div>
        <w:div w:id="3091545">
          <w:marLeft w:val="640"/>
          <w:marRight w:val="0"/>
          <w:marTop w:val="0"/>
          <w:marBottom w:val="0"/>
          <w:divBdr>
            <w:top w:val="none" w:sz="0" w:space="0" w:color="auto"/>
            <w:left w:val="none" w:sz="0" w:space="0" w:color="auto"/>
            <w:bottom w:val="none" w:sz="0" w:space="0" w:color="auto"/>
            <w:right w:val="none" w:sz="0" w:space="0" w:color="auto"/>
          </w:divBdr>
        </w:div>
        <w:div w:id="47461091">
          <w:marLeft w:val="640"/>
          <w:marRight w:val="0"/>
          <w:marTop w:val="0"/>
          <w:marBottom w:val="0"/>
          <w:divBdr>
            <w:top w:val="none" w:sz="0" w:space="0" w:color="auto"/>
            <w:left w:val="none" w:sz="0" w:space="0" w:color="auto"/>
            <w:bottom w:val="none" w:sz="0" w:space="0" w:color="auto"/>
            <w:right w:val="none" w:sz="0" w:space="0" w:color="auto"/>
          </w:divBdr>
        </w:div>
        <w:div w:id="70199346">
          <w:marLeft w:val="640"/>
          <w:marRight w:val="0"/>
          <w:marTop w:val="0"/>
          <w:marBottom w:val="0"/>
          <w:divBdr>
            <w:top w:val="none" w:sz="0" w:space="0" w:color="auto"/>
            <w:left w:val="none" w:sz="0" w:space="0" w:color="auto"/>
            <w:bottom w:val="none" w:sz="0" w:space="0" w:color="auto"/>
            <w:right w:val="none" w:sz="0" w:space="0" w:color="auto"/>
          </w:divBdr>
        </w:div>
        <w:div w:id="177430680">
          <w:marLeft w:val="640"/>
          <w:marRight w:val="0"/>
          <w:marTop w:val="0"/>
          <w:marBottom w:val="0"/>
          <w:divBdr>
            <w:top w:val="none" w:sz="0" w:space="0" w:color="auto"/>
            <w:left w:val="none" w:sz="0" w:space="0" w:color="auto"/>
            <w:bottom w:val="none" w:sz="0" w:space="0" w:color="auto"/>
            <w:right w:val="none" w:sz="0" w:space="0" w:color="auto"/>
          </w:divBdr>
        </w:div>
        <w:div w:id="198980281">
          <w:marLeft w:val="640"/>
          <w:marRight w:val="0"/>
          <w:marTop w:val="0"/>
          <w:marBottom w:val="0"/>
          <w:divBdr>
            <w:top w:val="none" w:sz="0" w:space="0" w:color="auto"/>
            <w:left w:val="none" w:sz="0" w:space="0" w:color="auto"/>
            <w:bottom w:val="none" w:sz="0" w:space="0" w:color="auto"/>
            <w:right w:val="none" w:sz="0" w:space="0" w:color="auto"/>
          </w:divBdr>
        </w:div>
        <w:div w:id="226494610">
          <w:marLeft w:val="640"/>
          <w:marRight w:val="0"/>
          <w:marTop w:val="0"/>
          <w:marBottom w:val="0"/>
          <w:divBdr>
            <w:top w:val="none" w:sz="0" w:space="0" w:color="auto"/>
            <w:left w:val="none" w:sz="0" w:space="0" w:color="auto"/>
            <w:bottom w:val="none" w:sz="0" w:space="0" w:color="auto"/>
            <w:right w:val="none" w:sz="0" w:space="0" w:color="auto"/>
          </w:divBdr>
        </w:div>
        <w:div w:id="263267432">
          <w:marLeft w:val="640"/>
          <w:marRight w:val="0"/>
          <w:marTop w:val="0"/>
          <w:marBottom w:val="0"/>
          <w:divBdr>
            <w:top w:val="none" w:sz="0" w:space="0" w:color="auto"/>
            <w:left w:val="none" w:sz="0" w:space="0" w:color="auto"/>
            <w:bottom w:val="none" w:sz="0" w:space="0" w:color="auto"/>
            <w:right w:val="none" w:sz="0" w:space="0" w:color="auto"/>
          </w:divBdr>
        </w:div>
        <w:div w:id="265234033">
          <w:marLeft w:val="640"/>
          <w:marRight w:val="0"/>
          <w:marTop w:val="0"/>
          <w:marBottom w:val="0"/>
          <w:divBdr>
            <w:top w:val="none" w:sz="0" w:space="0" w:color="auto"/>
            <w:left w:val="none" w:sz="0" w:space="0" w:color="auto"/>
            <w:bottom w:val="none" w:sz="0" w:space="0" w:color="auto"/>
            <w:right w:val="none" w:sz="0" w:space="0" w:color="auto"/>
          </w:divBdr>
        </w:div>
        <w:div w:id="272593075">
          <w:marLeft w:val="640"/>
          <w:marRight w:val="0"/>
          <w:marTop w:val="0"/>
          <w:marBottom w:val="0"/>
          <w:divBdr>
            <w:top w:val="none" w:sz="0" w:space="0" w:color="auto"/>
            <w:left w:val="none" w:sz="0" w:space="0" w:color="auto"/>
            <w:bottom w:val="none" w:sz="0" w:space="0" w:color="auto"/>
            <w:right w:val="none" w:sz="0" w:space="0" w:color="auto"/>
          </w:divBdr>
        </w:div>
        <w:div w:id="296566115">
          <w:marLeft w:val="640"/>
          <w:marRight w:val="0"/>
          <w:marTop w:val="0"/>
          <w:marBottom w:val="0"/>
          <w:divBdr>
            <w:top w:val="none" w:sz="0" w:space="0" w:color="auto"/>
            <w:left w:val="none" w:sz="0" w:space="0" w:color="auto"/>
            <w:bottom w:val="none" w:sz="0" w:space="0" w:color="auto"/>
            <w:right w:val="none" w:sz="0" w:space="0" w:color="auto"/>
          </w:divBdr>
        </w:div>
        <w:div w:id="323702493">
          <w:marLeft w:val="640"/>
          <w:marRight w:val="0"/>
          <w:marTop w:val="0"/>
          <w:marBottom w:val="0"/>
          <w:divBdr>
            <w:top w:val="none" w:sz="0" w:space="0" w:color="auto"/>
            <w:left w:val="none" w:sz="0" w:space="0" w:color="auto"/>
            <w:bottom w:val="none" w:sz="0" w:space="0" w:color="auto"/>
            <w:right w:val="none" w:sz="0" w:space="0" w:color="auto"/>
          </w:divBdr>
        </w:div>
        <w:div w:id="333456629">
          <w:marLeft w:val="640"/>
          <w:marRight w:val="0"/>
          <w:marTop w:val="0"/>
          <w:marBottom w:val="0"/>
          <w:divBdr>
            <w:top w:val="none" w:sz="0" w:space="0" w:color="auto"/>
            <w:left w:val="none" w:sz="0" w:space="0" w:color="auto"/>
            <w:bottom w:val="none" w:sz="0" w:space="0" w:color="auto"/>
            <w:right w:val="none" w:sz="0" w:space="0" w:color="auto"/>
          </w:divBdr>
        </w:div>
        <w:div w:id="340548741">
          <w:marLeft w:val="640"/>
          <w:marRight w:val="0"/>
          <w:marTop w:val="0"/>
          <w:marBottom w:val="0"/>
          <w:divBdr>
            <w:top w:val="none" w:sz="0" w:space="0" w:color="auto"/>
            <w:left w:val="none" w:sz="0" w:space="0" w:color="auto"/>
            <w:bottom w:val="none" w:sz="0" w:space="0" w:color="auto"/>
            <w:right w:val="none" w:sz="0" w:space="0" w:color="auto"/>
          </w:divBdr>
        </w:div>
        <w:div w:id="368846360">
          <w:marLeft w:val="640"/>
          <w:marRight w:val="0"/>
          <w:marTop w:val="0"/>
          <w:marBottom w:val="0"/>
          <w:divBdr>
            <w:top w:val="none" w:sz="0" w:space="0" w:color="auto"/>
            <w:left w:val="none" w:sz="0" w:space="0" w:color="auto"/>
            <w:bottom w:val="none" w:sz="0" w:space="0" w:color="auto"/>
            <w:right w:val="none" w:sz="0" w:space="0" w:color="auto"/>
          </w:divBdr>
        </w:div>
        <w:div w:id="382020769">
          <w:marLeft w:val="640"/>
          <w:marRight w:val="0"/>
          <w:marTop w:val="0"/>
          <w:marBottom w:val="0"/>
          <w:divBdr>
            <w:top w:val="none" w:sz="0" w:space="0" w:color="auto"/>
            <w:left w:val="none" w:sz="0" w:space="0" w:color="auto"/>
            <w:bottom w:val="none" w:sz="0" w:space="0" w:color="auto"/>
            <w:right w:val="none" w:sz="0" w:space="0" w:color="auto"/>
          </w:divBdr>
        </w:div>
        <w:div w:id="389698150">
          <w:marLeft w:val="640"/>
          <w:marRight w:val="0"/>
          <w:marTop w:val="0"/>
          <w:marBottom w:val="0"/>
          <w:divBdr>
            <w:top w:val="none" w:sz="0" w:space="0" w:color="auto"/>
            <w:left w:val="none" w:sz="0" w:space="0" w:color="auto"/>
            <w:bottom w:val="none" w:sz="0" w:space="0" w:color="auto"/>
            <w:right w:val="none" w:sz="0" w:space="0" w:color="auto"/>
          </w:divBdr>
        </w:div>
        <w:div w:id="399986314">
          <w:marLeft w:val="640"/>
          <w:marRight w:val="0"/>
          <w:marTop w:val="0"/>
          <w:marBottom w:val="0"/>
          <w:divBdr>
            <w:top w:val="none" w:sz="0" w:space="0" w:color="auto"/>
            <w:left w:val="none" w:sz="0" w:space="0" w:color="auto"/>
            <w:bottom w:val="none" w:sz="0" w:space="0" w:color="auto"/>
            <w:right w:val="none" w:sz="0" w:space="0" w:color="auto"/>
          </w:divBdr>
        </w:div>
        <w:div w:id="404228658">
          <w:marLeft w:val="640"/>
          <w:marRight w:val="0"/>
          <w:marTop w:val="0"/>
          <w:marBottom w:val="0"/>
          <w:divBdr>
            <w:top w:val="none" w:sz="0" w:space="0" w:color="auto"/>
            <w:left w:val="none" w:sz="0" w:space="0" w:color="auto"/>
            <w:bottom w:val="none" w:sz="0" w:space="0" w:color="auto"/>
            <w:right w:val="none" w:sz="0" w:space="0" w:color="auto"/>
          </w:divBdr>
        </w:div>
        <w:div w:id="460420720">
          <w:marLeft w:val="640"/>
          <w:marRight w:val="0"/>
          <w:marTop w:val="0"/>
          <w:marBottom w:val="0"/>
          <w:divBdr>
            <w:top w:val="none" w:sz="0" w:space="0" w:color="auto"/>
            <w:left w:val="none" w:sz="0" w:space="0" w:color="auto"/>
            <w:bottom w:val="none" w:sz="0" w:space="0" w:color="auto"/>
            <w:right w:val="none" w:sz="0" w:space="0" w:color="auto"/>
          </w:divBdr>
        </w:div>
        <w:div w:id="492373216">
          <w:marLeft w:val="640"/>
          <w:marRight w:val="0"/>
          <w:marTop w:val="0"/>
          <w:marBottom w:val="0"/>
          <w:divBdr>
            <w:top w:val="none" w:sz="0" w:space="0" w:color="auto"/>
            <w:left w:val="none" w:sz="0" w:space="0" w:color="auto"/>
            <w:bottom w:val="none" w:sz="0" w:space="0" w:color="auto"/>
            <w:right w:val="none" w:sz="0" w:space="0" w:color="auto"/>
          </w:divBdr>
        </w:div>
        <w:div w:id="526986718">
          <w:marLeft w:val="640"/>
          <w:marRight w:val="0"/>
          <w:marTop w:val="0"/>
          <w:marBottom w:val="0"/>
          <w:divBdr>
            <w:top w:val="none" w:sz="0" w:space="0" w:color="auto"/>
            <w:left w:val="none" w:sz="0" w:space="0" w:color="auto"/>
            <w:bottom w:val="none" w:sz="0" w:space="0" w:color="auto"/>
            <w:right w:val="none" w:sz="0" w:space="0" w:color="auto"/>
          </w:divBdr>
        </w:div>
        <w:div w:id="539897359">
          <w:marLeft w:val="640"/>
          <w:marRight w:val="0"/>
          <w:marTop w:val="0"/>
          <w:marBottom w:val="0"/>
          <w:divBdr>
            <w:top w:val="none" w:sz="0" w:space="0" w:color="auto"/>
            <w:left w:val="none" w:sz="0" w:space="0" w:color="auto"/>
            <w:bottom w:val="none" w:sz="0" w:space="0" w:color="auto"/>
            <w:right w:val="none" w:sz="0" w:space="0" w:color="auto"/>
          </w:divBdr>
        </w:div>
        <w:div w:id="582109312">
          <w:marLeft w:val="640"/>
          <w:marRight w:val="0"/>
          <w:marTop w:val="0"/>
          <w:marBottom w:val="0"/>
          <w:divBdr>
            <w:top w:val="none" w:sz="0" w:space="0" w:color="auto"/>
            <w:left w:val="none" w:sz="0" w:space="0" w:color="auto"/>
            <w:bottom w:val="none" w:sz="0" w:space="0" w:color="auto"/>
            <w:right w:val="none" w:sz="0" w:space="0" w:color="auto"/>
          </w:divBdr>
        </w:div>
        <w:div w:id="617682828">
          <w:marLeft w:val="640"/>
          <w:marRight w:val="0"/>
          <w:marTop w:val="0"/>
          <w:marBottom w:val="0"/>
          <w:divBdr>
            <w:top w:val="none" w:sz="0" w:space="0" w:color="auto"/>
            <w:left w:val="none" w:sz="0" w:space="0" w:color="auto"/>
            <w:bottom w:val="none" w:sz="0" w:space="0" w:color="auto"/>
            <w:right w:val="none" w:sz="0" w:space="0" w:color="auto"/>
          </w:divBdr>
        </w:div>
        <w:div w:id="646519715">
          <w:marLeft w:val="640"/>
          <w:marRight w:val="0"/>
          <w:marTop w:val="0"/>
          <w:marBottom w:val="0"/>
          <w:divBdr>
            <w:top w:val="none" w:sz="0" w:space="0" w:color="auto"/>
            <w:left w:val="none" w:sz="0" w:space="0" w:color="auto"/>
            <w:bottom w:val="none" w:sz="0" w:space="0" w:color="auto"/>
            <w:right w:val="none" w:sz="0" w:space="0" w:color="auto"/>
          </w:divBdr>
        </w:div>
        <w:div w:id="703597823">
          <w:marLeft w:val="640"/>
          <w:marRight w:val="0"/>
          <w:marTop w:val="0"/>
          <w:marBottom w:val="0"/>
          <w:divBdr>
            <w:top w:val="none" w:sz="0" w:space="0" w:color="auto"/>
            <w:left w:val="none" w:sz="0" w:space="0" w:color="auto"/>
            <w:bottom w:val="none" w:sz="0" w:space="0" w:color="auto"/>
            <w:right w:val="none" w:sz="0" w:space="0" w:color="auto"/>
          </w:divBdr>
        </w:div>
        <w:div w:id="725110212">
          <w:marLeft w:val="640"/>
          <w:marRight w:val="0"/>
          <w:marTop w:val="0"/>
          <w:marBottom w:val="0"/>
          <w:divBdr>
            <w:top w:val="none" w:sz="0" w:space="0" w:color="auto"/>
            <w:left w:val="none" w:sz="0" w:space="0" w:color="auto"/>
            <w:bottom w:val="none" w:sz="0" w:space="0" w:color="auto"/>
            <w:right w:val="none" w:sz="0" w:space="0" w:color="auto"/>
          </w:divBdr>
        </w:div>
        <w:div w:id="777607741">
          <w:marLeft w:val="640"/>
          <w:marRight w:val="0"/>
          <w:marTop w:val="0"/>
          <w:marBottom w:val="0"/>
          <w:divBdr>
            <w:top w:val="none" w:sz="0" w:space="0" w:color="auto"/>
            <w:left w:val="none" w:sz="0" w:space="0" w:color="auto"/>
            <w:bottom w:val="none" w:sz="0" w:space="0" w:color="auto"/>
            <w:right w:val="none" w:sz="0" w:space="0" w:color="auto"/>
          </w:divBdr>
        </w:div>
        <w:div w:id="787890375">
          <w:marLeft w:val="640"/>
          <w:marRight w:val="0"/>
          <w:marTop w:val="0"/>
          <w:marBottom w:val="0"/>
          <w:divBdr>
            <w:top w:val="none" w:sz="0" w:space="0" w:color="auto"/>
            <w:left w:val="none" w:sz="0" w:space="0" w:color="auto"/>
            <w:bottom w:val="none" w:sz="0" w:space="0" w:color="auto"/>
            <w:right w:val="none" w:sz="0" w:space="0" w:color="auto"/>
          </w:divBdr>
        </w:div>
        <w:div w:id="789864316">
          <w:marLeft w:val="640"/>
          <w:marRight w:val="0"/>
          <w:marTop w:val="0"/>
          <w:marBottom w:val="0"/>
          <w:divBdr>
            <w:top w:val="none" w:sz="0" w:space="0" w:color="auto"/>
            <w:left w:val="none" w:sz="0" w:space="0" w:color="auto"/>
            <w:bottom w:val="none" w:sz="0" w:space="0" w:color="auto"/>
            <w:right w:val="none" w:sz="0" w:space="0" w:color="auto"/>
          </w:divBdr>
        </w:div>
        <w:div w:id="895702148">
          <w:marLeft w:val="640"/>
          <w:marRight w:val="0"/>
          <w:marTop w:val="0"/>
          <w:marBottom w:val="0"/>
          <w:divBdr>
            <w:top w:val="none" w:sz="0" w:space="0" w:color="auto"/>
            <w:left w:val="none" w:sz="0" w:space="0" w:color="auto"/>
            <w:bottom w:val="none" w:sz="0" w:space="0" w:color="auto"/>
            <w:right w:val="none" w:sz="0" w:space="0" w:color="auto"/>
          </w:divBdr>
        </w:div>
        <w:div w:id="904148709">
          <w:marLeft w:val="640"/>
          <w:marRight w:val="0"/>
          <w:marTop w:val="0"/>
          <w:marBottom w:val="0"/>
          <w:divBdr>
            <w:top w:val="none" w:sz="0" w:space="0" w:color="auto"/>
            <w:left w:val="none" w:sz="0" w:space="0" w:color="auto"/>
            <w:bottom w:val="none" w:sz="0" w:space="0" w:color="auto"/>
            <w:right w:val="none" w:sz="0" w:space="0" w:color="auto"/>
          </w:divBdr>
        </w:div>
        <w:div w:id="911768510">
          <w:marLeft w:val="640"/>
          <w:marRight w:val="0"/>
          <w:marTop w:val="0"/>
          <w:marBottom w:val="0"/>
          <w:divBdr>
            <w:top w:val="none" w:sz="0" w:space="0" w:color="auto"/>
            <w:left w:val="none" w:sz="0" w:space="0" w:color="auto"/>
            <w:bottom w:val="none" w:sz="0" w:space="0" w:color="auto"/>
            <w:right w:val="none" w:sz="0" w:space="0" w:color="auto"/>
          </w:divBdr>
        </w:div>
        <w:div w:id="951135212">
          <w:marLeft w:val="640"/>
          <w:marRight w:val="0"/>
          <w:marTop w:val="0"/>
          <w:marBottom w:val="0"/>
          <w:divBdr>
            <w:top w:val="none" w:sz="0" w:space="0" w:color="auto"/>
            <w:left w:val="none" w:sz="0" w:space="0" w:color="auto"/>
            <w:bottom w:val="none" w:sz="0" w:space="0" w:color="auto"/>
            <w:right w:val="none" w:sz="0" w:space="0" w:color="auto"/>
          </w:divBdr>
        </w:div>
        <w:div w:id="1021590224">
          <w:marLeft w:val="640"/>
          <w:marRight w:val="0"/>
          <w:marTop w:val="0"/>
          <w:marBottom w:val="0"/>
          <w:divBdr>
            <w:top w:val="none" w:sz="0" w:space="0" w:color="auto"/>
            <w:left w:val="none" w:sz="0" w:space="0" w:color="auto"/>
            <w:bottom w:val="none" w:sz="0" w:space="0" w:color="auto"/>
            <w:right w:val="none" w:sz="0" w:space="0" w:color="auto"/>
          </w:divBdr>
        </w:div>
        <w:div w:id="1111899971">
          <w:marLeft w:val="640"/>
          <w:marRight w:val="0"/>
          <w:marTop w:val="0"/>
          <w:marBottom w:val="0"/>
          <w:divBdr>
            <w:top w:val="none" w:sz="0" w:space="0" w:color="auto"/>
            <w:left w:val="none" w:sz="0" w:space="0" w:color="auto"/>
            <w:bottom w:val="none" w:sz="0" w:space="0" w:color="auto"/>
            <w:right w:val="none" w:sz="0" w:space="0" w:color="auto"/>
          </w:divBdr>
        </w:div>
        <w:div w:id="1174958120">
          <w:marLeft w:val="640"/>
          <w:marRight w:val="0"/>
          <w:marTop w:val="0"/>
          <w:marBottom w:val="0"/>
          <w:divBdr>
            <w:top w:val="none" w:sz="0" w:space="0" w:color="auto"/>
            <w:left w:val="none" w:sz="0" w:space="0" w:color="auto"/>
            <w:bottom w:val="none" w:sz="0" w:space="0" w:color="auto"/>
            <w:right w:val="none" w:sz="0" w:space="0" w:color="auto"/>
          </w:divBdr>
        </w:div>
        <w:div w:id="1181970088">
          <w:marLeft w:val="640"/>
          <w:marRight w:val="0"/>
          <w:marTop w:val="0"/>
          <w:marBottom w:val="0"/>
          <w:divBdr>
            <w:top w:val="none" w:sz="0" w:space="0" w:color="auto"/>
            <w:left w:val="none" w:sz="0" w:space="0" w:color="auto"/>
            <w:bottom w:val="none" w:sz="0" w:space="0" w:color="auto"/>
            <w:right w:val="none" w:sz="0" w:space="0" w:color="auto"/>
          </w:divBdr>
        </w:div>
        <w:div w:id="1204321635">
          <w:marLeft w:val="640"/>
          <w:marRight w:val="0"/>
          <w:marTop w:val="0"/>
          <w:marBottom w:val="0"/>
          <w:divBdr>
            <w:top w:val="none" w:sz="0" w:space="0" w:color="auto"/>
            <w:left w:val="none" w:sz="0" w:space="0" w:color="auto"/>
            <w:bottom w:val="none" w:sz="0" w:space="0" w:color="auto"/>
            <w:right w:val="none" w:sz="0" w:space="0" w:color="auto"/>
          </w:divBdr>
        </w:div>
        <w:div w:id="1252735117">
          <w:marLeft w:val="640"/>
          <w:marRight w:val="0"/>
          <w:marTop w:val="0"/>
          <w:marBottom w:val="0"/>
          <w:divBdr>
            <w:top w:val="none" w:sz="0" w:space="0" w:color="auto"/>
            <w:left w:val="none" w:sz="0" w:space="0" w:color="auto"/>
            <w:bottom w:val="none" w:sz="0" w:space="0" w:color="auto"/>
            <w:right w:val="none" w:sz="0" w:space="0" w:color="auto"/>
          </w:divBdr>
        </w:div>
        <w:div w:id="1278565245">
          <w:marLeft w:val="640"/>
          <w:marRight w:val="0"/>
          <w:marTop w:val="0"/>
          <w:marBottom w:val="0"/>
          <w:divBdr>
            <w:top w:val="none" w:sz="0" w:space="0" w:color="auto"/>
            <w:left w:val="none" w:sz="0" w:space="0" w:color="auto"/>
            <w:bottom w:val="none" w:sz="0" w:space="0" w:color="auto"/>
            <w:right w:val="none" w:sz="0" w:space="0" w:color="auto"/>
          </w:divBdr>
        </w:div>
        <w:div w:id="1294754982">
          <w:marLeft w:val="640"/>
          <w:marRight w:val="0"/>
          <w:marTop w:val="0"/>
          <w:marBottom w:val="0"/>
          <w:divBdr>
            <w:top w:val="none" w:sz="0" w:space="0" w:color="auto"/>
            <w:left w:val="none" w:sz="0" w:space="0" w:color="auto"/>
            <w:bottom w:val="none" w:sz="0" w:space="0" w:color="auto"/>
            <w:right w:val="none" w:sz="0" w:space="0" w:color="auto"/>
          </w:divBdr>
        </w:div>
        <w:div w:id="1332442130">
          <w:marLeft w:val="640"/>
          <w:marRight w:val="0"/>
          <w:marTop w:val="0"/>
          <w:marBottom w:val="0"/>
          <w:divBdr>
            <w:top w:val="none" w:sz="0" w:space="0" w:color="auto"/>
            <w:left w:val="none" w:sz="0" w:space="0" w:color="auto"/>
            <w:bottom w:val="none" w:sz="0" w:space="0" w:color="auto"/>
            <w:right w:val="none" w:sz="0" w:space="0" w:color="auto"/>
          </w:divBdr>
        </w:div>
        <w:div w:id="1349596203">
          <w:marLeft w:val="640"/>
          <w:marRight w:val="0"/>
          <w:marTop w:val="0"/>
          <w:marBottom w:val="0"/>
          <w:divBdr>
            <w:top w:val="none" w:sz="0" w:space="0" w:color="auto"/>
            <w:left w:val="none" w:sz="0" w:space="0" w:color="auto"/>
            <w:bottom w:val="none" w:sz="0" w:space="0" w:color="auto"/>
            <w:right w:val="none" w:sz="0" w:space="0" w:color="auto"/>
          </w:divBdr>
        </w:div>
        <w:div w:id="1420982086">
          <w:marLeft w:val="640"/>
          <w:marRight w:val="0"/>
          <w:marTop w:val="0"/>
          <w:marBottom w:val="0"/>
          <w:divBdr>
            <w:top w:val="none" w:sz="0" w:space="0" w:color="auto"/>
            <w:left w:val="none" w:sz="0" w:space="0" w:color="auto"/>
            <w:bottom w:val="none" w:sz="0" w:space="0" w:color="auto"/>
            <w:right w:val="none" w:sz="0" w:space="0" w:color="auto"/>
          </w:divBdr>
        </w:div>
        <w:div w:id="1429498219">
          <w:marLeft w:val="640"/>
          <w:marRight w:val="0"/>
          <w:marTop w:val="0"/>
          <w:marBottom w:val="0"/>
          <w:divBdr>
            <w:top w:val="none" w:sz="0" w:space="0" w:color="auto"/>
            <w:left w:val="none" w:sz="0" w:space="0" w:color="auto"/>
            <w:bottom w:val="none" w:sz="0" w:space="0" w:color="auto"/>
            <w:right w:val="none" w:sz="0" w:space="0" w:color="auto"/>
          </w:divBdr>
        </w:div>
        <w:div w:id="1435637744">
          <w:marLeft w:val="640"/>
          <w:marRight w:val="0"/>
          <w:marTop w:val="0"/>
          <w:marBottom w:val="0"/>
          <w:divBdr>
            <w:top w:val="none" w:sz="0" w:space="0" w:color="auto"/>
            <w:left w:val="none" w:sz="0" w:space="0" w:color="auto"/>
            <w:bottom w:val="none" w:sz="0" w:space="0" w:color="auto"/>
            <w:right w:val="none" w:sz="0" w:space="0" w:color="auto"/>
          </w:divBdr>
        </w:div>
        <w:div w:id="1473867246">
          <w:marLeft w:val="640"/>
          <w:marRight w:val="0"/>
          <w:marTop w:val="0"/>
          <w:marBottom w:val="0"/>
          <w:divBdr>
            <w:top w:val="none" w:sz="0" w:space="0" w:color="auto"/>
            <w:left w:val="none" w:sz="0" w:space="0" w:color="auto"/>
            <w:bottom w:val="none" w:sz="0" w:space="0" w:color="auto"/>
            <w:right w:val="none" w:sz="0" w:space="0" w:color="auto"/>
          </w:divBdr>
        </w:div>
        <w:div w:id="1499732206">
          <w:marLeft w:val="640"/>
          <w:marRight w:val="0"/>
          <w:marTop w:val="0"/>
          <w:marBottom w:val="0"/>
          <w:divBdr>
            <w:top w:val="none" w:sz="0" w:space="0" w:color="auto"/>
            <w:left w:val="none" w:sz="0" w:space="0" w:color="auto"/>
            <w:bottom w:val="none" w:sz="0" w:space="0" w:color="auto"/>
            <w:right w:val="none" w:sz="0" w:space="0" w:color="auto"/>
          </w:divBdr>
        </w:div>
        <w:div w:id="1530070996">
          <w:marLeft w:val="640"/>
          <w:marRight w:val="0"/>
          <w:marTop w:val="0"/>
          <w:marBottom w:val="0"/>
          <w:divBdr>
            <w:top w:val="none" w:sz="0" w:space="0" w:color="auto"/>
            <w:left w:val="none" w:sz="0" w:space="0" w:color="auto"/>
            <w:bottom w:val="none" w:sz="0" w:space="0" w:color="auto"/>
            <w:right w:val="none" w:sz="0" w:space="0" w:color="auto"/>
          </w:divBdr>
        </w:div>
        <w:div w:id="1553272018">
          <w:marLeft w:val="640"/>
          <w:marRight w:val="0"/>
          <w:marTop w:val="0"/>
          <w:marBottom w:val="0"/>
          <w:divBdr>
            <w:top w:val="none" w:sz="0" w:space="0" w:color="auto"/>
            <w:left w:val="none" w:sz="0" w:space="0" w:color="auto"/>
            <w:bottom w:val="none" w:sz="0" w:space="0" w:color="auto"/>
            <w:right w:val="none" w:sz="0" w:space="0" w:color="auto"/>
          </w:divBdr>
        </w:div>
        <w:div w:id="1602640703">
          <w:marLeft w:val="640"/>
          <w:marRight w:val="0"/>
          <w:marTop w:val="0"/>
          <w:marBottom w:val="0"/>
          <w:divBdr>
            <w:top w:val="none" w:sz="0" w:space="0" w:color="auto"/>
            <w:left w:val="none" w:sz="0" w:space="0" w:color="auto"/>
            <w:bottom w:val="none" w:sz="0" w:space="0" w:color="auto"/>
            <w:right w:val="none" w:sz="0" w:space="0" w:color="auto"/>
          </w:divBdr>
        </w:div>
        <w:div w:id="1648778809">
          <w:marLeft w:val="640"/>
          <w:marRight w:val="0"/>
          <w:marTop w:val="0"/>
          <w:marBottom w:val="0"/>
          <w:divBdr>
            <w:top w:val="none" w:sz="0" w:space="0" w:color="auto"/>
            <w:left w:val="none" w:sz="0" w:space="0" w:color="auto"/>
            <w:bottom w:val="none" w:sz="0" w:space="0" w:color="auto"/>
            <w:right w:val="none" w:sz="0" w:space="0" w:color="auto"/>
          </w:divBdr>
        </w:div>
        <w:div w:id="1708682242">
          <w:marLeft w:val="640"/>
          <w:marRight w:val="0"/>
          <w:marTop w:val="0"/>
          <w:marBottom w:val="0"/>
          <w:divBdr>
            <w:top w:val="none" w:sz="0" w:space="0" w:color="auto"/>
            <w:left w:val="none" w:sz="0" w:space="0" w:color="auto"/>
            <w:bottom w:val="none" w:sz="0" w:space="0" w:color="auto"/>
            <w:right w:val="none" w:sz="0" w:space="0" w:color="auto"/>
          </w:divBdr>
        </w:div>
        <w:div w:id="1715545510">
          <w:marLeft w:val="640"/>
          <w:marRight w:val="0"/>
          <w:marTop w:val="0"/>
          <w:marBottom w:val="0"/>
          <w:divBdr>
            <w:top w:val="none" w:sz="0" w:space="0" w:color="auto"/>
            <w:left w:val="none" w:sz="0" w:space="0" w:color="auto"/>
            <w:bottom w:val="none" w:sz="0" w:space="0" w:color="auto"/>
            <w:right w:val="none" w:sz="0" w:space="0" w:color="auto"/>
          </w:divBdr>
        </w:div>
        <w:div w:id="1721242853">
          <w:marLeft w:val="640"/>
          <w:marRight w:val="0"/>
          <w:marTop w:val="0"/>
          <w:marBottom w:val="0"/>
          <w:divBdr>
            <w:top w:val="none" w:sz="0" w:space="0" w:color="auto"/>
            <w:left w:val="none" w:sz="0" w:space="0" w:color="auto"/>
            <w:bottom w:val="none" w:sz="0" w:space="0" w:color="auto"/>
            <w:right w:val="none" w:sz="0" w:space="0" w:color="auto"/>
          </w:divBdr>
        </w:div>
        <w:div w:id="1736969834">
          <w:marLeft w:val="640"/>
          <w:marRight w:val="0"/>
          <w:marTop w:val="0"/>
          <w:marBottom w:val="0"/>
          <w:divBdr>
            <w:top w:val="none" w:sz="0" w:space="0" w:color="auto"/>
            <w:left w:val="none" w:sz="0" w:space="0" w:color="auto"/>
            <w:bottom w:val="none" w:sz="0" w:space="0" w:color="auto"/>
            <w:right w:val="none" w:sz="0" w:space="0" w:color="auto"/>
          </w:divBdr>
        </w:div>
        <w:div w:id="1753118566">
          <w:marLeft w:val="640"/>
          <w:marRight w:val="0"/>
          <w:marTop w:val="0"/>
          <w:marBottom w:val="0"/>
          <w:divBdr>
            <w:top w:val="none" w:sz="0" w:space="0" w:color="auto"/>
            <w:left w:val="none" w:sz="0" w:space="0" w:color="auto"/>
            <w:bottom w:val="none" w:sz="0" w:space="0" w:color="auto"/>
            <w:right w:val="none" w:sz="0" w:space="0" w:color="auto"/>
          </w:divBdr>
        </w:div>
        <w:div w:id="1766922853">
          <w:marLeft w:val="640"/>
          <w:marRight w:val="0"/>
          <w:marTop w:val="0"/>
          <w:marBottom w:val="0"/>
          <w:divBdr>
            <w:top w:val="none" w:sz="0" w:space="0" w:color="auto"/>
            <w:left w:val="none" w:sz="0" w:space="0" w:color="auto"/>
            <w:bottom w:val="none" w:sz="0" w:space="0" w:color="auto"/>
            <w:right w:val="none" w:sz="0" w:space="0" w:color="auto"/>
          </w:divBdr>
        </w:div>
        <w:div w:id="1769933589">
          <w:marLeft w:val="640"/>
          <w:marRight w:val="0"/>
          <w:marTop w:val="0"/>
          <w:marBottom w:val="0"/>
          <w:divBdr>
            <w:top w:val="none" w:sz="0" w:space="0" w:color="auto"/>
            <w:left w:val="none" w:sz="0" w:space="0" w:color="auto"/>
            <w:bottom w:val="none" w:sz="0" w:space="0" w:color="auto"/>
            <w:right w:val="none" w:sz="0" w:space="0" w:color="auto"/>
          </w:divBdr>
        </w:div>
        <w:div w:id="1793938933">
          <w:marLeft w:val="640"/>
          <w:marRight w:val="0"/>
          <w:marTop w:val="0"/>
          <w:marBottom w:val="0"/>
          <w:divBdr>
            <w:top w:val="none" w:sz="0" w:space="0" w:color="auto"/>
            <w:left w:val="none" w:sz="0" w:space="0" w:color="auto"/>
            <w:bottom w:val="none" w:sz="0" w:space="0" w:color="auto"/>
            <w:right w:val="none" w:sz="0" w:space="0" w:color="auto"/>
          </w:divBdr>
        </w:div>
        <w:div w:id="1802460865">
          <w:marLeft w:val="640"/>
          <w:marRight w:val="0"/>
          <w:marTop w:val="0"/>
          <w:marBottom w:val="0"/>
          <w:divBdr>
            <w:top w:val="none" w:sz="0" w:space="0" w:color="auto"/>
            <w:left w:val="none" w:sz="0" w:space="0" w:color="auto"/>
            <w:bottom w:val="none" w:sz="0" w:space="0" w:color="auto"/>
            <w:right w:val="none" w:sz="0" w:space="0" w:color="auto"/>
          </w:divBdr>
        </w:div>
        <w:div w:id="1839535590">
          <w:marLeft w:val="640"/>
          <w:marRight w:val="0"/>
          <w:marTop w:val="0"/>
          <w:marBottom w:val="0"/>
          <w:divBdr>
            <w:top w:val="none" w:sz="0" w:space="0" w:color="auto"/>
            <w:left w:val="none" w:sz="0" w:space="0" w:color="auto"/>
            <w:bottom w:val="none" w:sz="0" w:space="0" w:color="auto"/>
            <w:right w:val="none" w:sz="0" w:space="0" w:color="auto"/>
          </w:divBdr>
        </w:div>
        <w:div w:id="1996296093">
          <w:marLeft w:val="640"/>
          <w:marRight w:val="0"/>
          <w:marTop w:val="0"/>
          <w:marBottom w:val="0"/>
          <w:divBdr>
            <w:top w:val="none" w:sz="0" w:space="0" w:color="auto"/>
            <w:left w:val="none" w:sz="0" w:space="0" w:color="auto"/>
            <w:bottom w:val="none" w:sz="0" w:space="0" w:color="auto"/>
            <w:right w:val="none" w:sz="0" w:space="0" w:color="auto"/>
          </w:divBdr>
        </w:div>
        <w:div w:id="2029330925">
          <w:marLeft w:val="640"/>
          <w:marRight w:val="0"/>
          <w:marTop w:val="0"/>
          <w:marBottom w:val="0"/>
          <w:divBdr>
            <w:top w:val="none" w:sz="0" w:space="0" w:color="auto"/>
            <w:left w:val="none" w:sz="0" w:space="0" w:color="auto"/>
            <w:bottom w:val="none" w:sz="0" w:space="0" w:color="auto"/>
            <w:right w:val="none" w:sz="0" w:space="0" w:color="auto"/>
          </w:divBdr>
        </w:div>
        <w:div w:id="2034110832">
          <w:marLeft w:val="640"/>
          <w:marRight w:val="0"/>
          <w:marTop w:val="0"/>
          <w:marBottom w:val="0"/>
          <w:divBdr>
            <w:top w:val="none" w:sz="0" w:space="0" w:color="auto"/>
            <w:left w:val="none" w:sz="0" w:space="0" w:color="auto"/>
            <w:bottom w:val="none" w:sz="0" w:space="0" w:color="auto"/>
            <w:right w:val="none" w:sz="0" w:space="0" w:color="auto"/>
          </w:divBdr>
        </w:div>
        <w:div w:id="2044985618">
          <w:marLeft w:val="640"/>
          <w:marRight w:val="0"/>
          <w:marTop w:val="0"/>
          <w:marBottom w:val="0"/>
          <w:divBdr>
            <w:top w:val="none" w:sz="0" w:space="0" w:color="auto"/>
            <w:left w:val="none" w:sz="0" w:space="0" w:color="auto"/>
            <w:bottom w:val="none" w:sz="0" w:space="0" w:color="auto"/>
            <w:right w:val="none" w:sz="0" w:space="0" w:color="auto"/>
          </w:divBdr>
        </w:div>
        <w:div w:id="2101100561">
          <w:marLeft w:val="640"/>
          <w:marRight w:val="0"/>
          <w:marTop w:val="0"/>
          <w:marBottom w:val="0"/>
          <w:divBdr>
            <w:top w:val="none" w:sz="0" w:space="0" w:color="auto"/>
            <w:left w:val="none" w:sz="0" w:space="0" w:color="auto"/>
            <w:bottom w:val="none" w:sz="0" w:space="0" w:color="auto"/>
            <w:right w:val="none" w:sz="0" w:space="0" w:color="auto"/>
          </w:divBdr>
        </w:div>
        <w:div w:id="2105492432">
          <w:marLeft w:val="640"/>
          <w:marRight w:val="0"/>
          <w:marTop w:val="0"/>
          <w:marBottom w:val="0"/>
          <w:divBdr>
            <w:top w:val="none" w:sz="0" w:space="0" w:color="auto"/>
            <w:left w:val="none" w:sz="0" w:space="0" w:color="auto"/>
            <w:bottom w:val="none" w:sz="0" w:space="0" w:color="auto"/>
            <w:right w:val="none" w:sz="0" w:space="0" w:color="auto"/>
          </w:divBdr>
        </w:div>
        <w:div w:id="2132092513">
          <w:marLeft w:val="640"/>
          <w:marRight w:val="0"/>
          <w:marTop w:val="0"/>
          <w:marBottom w:val="0"/>
          <w:divBdr>
            <w:top w:val="none" w:sz="0" w:space="0" w:color="auto"/>
            <w:left w:val="none" w:sz="0" w:space="0" w:color="auto"/>
            <w:bottom w:val="none" w:sz="0" w:space="0" w:color="auto"/>
            <w:right w:val="none" w:sz="0" w:space="0" w:color="auto"/>
          </w:divBdr>
        </w:div>
        <w:div w:id="2144804231">
          <w:marLeft w:val="640"/>
          <w:marRight w:val="0"/>
          <w:marTop w:val="0"/>
          <w:marBottom w:val="0"/>
          <w:divBdr>
            <w:top w:val="none" w:sz="0" w:space="0" w:color="auto"/>
            <w:left w:val="none" w:sz="0" w:space="0" w:color="auto"/>
            <w:bottom w:val="none" w:sz="0" w:space="0" w:color="auto"/>
            <w:right w:val="none" w:sz="0" w:space="0" w:color="auto"/>
          </w:divBdr>
        </w:div>
      </w:divsChild>
    </w:div>
    <w:div w:id="1222868346">
      <w:bodyDiv w:val="1"/>
      <w:marLeft w:val="0"/>
      <w:marRight w:val="0"/>
      <w:marTop w:val="0"/>
      <w:marBottom w:val="0"/>
      <w:divBdr>
        <w:top w:val="none" w:sz="0" w:space="0" w:color="auto"/>
        <w:left w:val="none" w:sz="0" w:space="0" w:color="auto"/>
        <w:bottom w:val="none" w:sz="0" w:space="0" w:color="auto"/>
        <w:right w:val="none" w:sz="0" w:space="0" w:color="auto"/>
      </w:divBdr>
    </w:div>
    <w:div w:id="1231890041">
      <w:bodyDiv w:val="1"/>
      <w:marLeft w:val="0"/>
      <w:marRight w:val="0"/>
      <w:marTop w:val="0"/>
      <w:marBottom w:val="0"/>
      <w:divBdr>
        <w:top w:val="none" w:sz="0" w:space="0" w:color="auto"/>
        <w:left w:val="none" w:sz="0" w:space="0" w:color="auto"/>
        <w:bottom w:val="none" w:sz="0" w:space="0" w:color="auto"/>
        <w:right w:val="none" w:sz="0" w:space="0" w:color="auto"/>
      </w:divBdr>
    </w:div>
    <w:div w:id="1232352466">
      <w:bodyDiv w:val="1"/>
      <w:marLeft w:val="0"/>
      <w:marRight w:val="0"/>
      <w:marTop w:val="0"/>
      <w:marBottom w:val="0"/>
      <w:divBdr>
        <w:top w:val="none" w:sz="0" w:space="0" w:color="auto"/>
        <w:left w:val="none" w:sz="0" w:space="0" w:color="auto"/>
        <w:bottom w:val="none" w:sz="0" w:space="0" w:color="auto"/>
        <w:right w:val="none" w:sz="0" w:space="0" w:color="auto"/>
      </w:divBdr>
      <w:divsChild>
        <w:div w:id="340162166">
          <w:marLeft w:val="480"/>
          <w:marRight w:val="0"/>
          <w:marTop w:val="0"/>
          <w:marBottom w:val="0"/>
          <w:divBdr>
            <w:top w:val="none" w:sz="0" w:space="0" w:color="auto"/>
            <w:left w:val="none" w:sz="0" w:space="0" w:color="auto"/>
            <w:bottom w:val="none" w:sz="0" w:space="0" w:color="auto"/>
            <w:right w:val="none" w:sz="0" w:space="0" w:color="auto"/>
          </w:divBdr>
        </w:div>
        <w:div w:id="901330858">
          <w:marLeft w:val="480"/>
          <w:marRight w:val="0"/>
          <w:marTop w:val="0"/>
          <w:marBottom w:val="0"/>
          <w:divBdr>
            <w:top w:val="none" w:sz="0" w:space="0" w:color="auto"/>
            <w:left w:val="none" w:sz="0" w:space="0" w:color="auto"/>
            <w:bottom w:val="none" w:sz="0" w:space="0" w:color="auto"/>
            <w:right w:val="none" w:sz="0" w:space="0" w:color="auto"/>
          </w:divBdr>
        </w:div>
        <w:div w:id="2105689852">
          <w:marLeft w:val="480"/>
          <w:marRight w:val="0"/>
          <w:marTop w:val="0"/>
          <w:marBottom w:val="0"/>
          <w:divBdr>
            <w:top w:val="none" w:sz="0" w:space="0" w:color="auto"/>
            <w:left w:val="none" w:sz="0" w:space="0" w:color="auto"/>
            <w:bottom w:val="none" w:sz="0" w:space="0" w:color="auto"/>
            <w:right w:val="none" w:sz="0" w:space="0" w:color="auto"/>
          </w:divBdr>
        </w:div>
        <w:div w:id="1477986441">
          <w:marLeft w:val="480"/>
          <w:marRight w:val="0"/>
          <w:marTop w:val="0"/>
          <w:marBottom w:val="0"/>
          <w:divBdr>
            <w:top w:val="none" w:sz="0" w:space="0" w:color="auto"/>
            <w:left w:val="none" w:sz="0" w:space="0" w:color="auto"/>
            <w:bottom w:val="none" w:sz="0" w:space="0" w:color="auto"/>
            <w:right w:val="none" w:sz="0" w:space="0" w:color="auto"/>
          </w:divBdr>
        </w:div>
      </w:divsChild>
    </w:div>
    <w:div w:id="1236159590">
      <w:bodyDiv w:val="1"/>
      <w:marLeft w:val="0"/>
      <w:marRight w:val="0"/>
      <w:marTop w:val="0"/>
      <w:marBottom w:val="0"/>
      <w:divBdr>
        <w:top w:val="none" w:sz="0" w:space="0" w:color="auto"/>
        <w:left w:val="none" w:sz="0" w:space="0" w:color="auto"/>
        <w:bottom w:val="none" w:sz="0" w:space="0" w:color="auto"/>
        <w:right w:val="none" w:sz="0" w:space="0" w:color="auto"/>
      </w:divBdr>
      <w:divsChild>
        <w:div w:id="270938966">
          <w:marLeft w:val="480"/>
          <w:marRight w:val="0"/>
          <w:marTop w:val="0"/>
          <w:marBottom w:val="0"/>
          <w:divBdr>
            <w:top w:val="none" w:sz="0" w:space="0" w:color="auto"/>
            <w:left w:val="none" w:sz="0" w:space="0" w:color="auto"/>
            <w:bottom w:val="none" w:sz="0" w:space="0" w:color="auto"/>
            <w:right w:val="none" w:sz="0" w:space="0" w:color="auto"/>
          </w:divBdr>
        </w:div>
        <w:div w:id="1912886099">
          <w:marLeft w:val="480"/>
          <w:marRight w:val="0"/>
          <w:marTop w:val="0"/>
          <w:marBottom w:val="0"/>
          <w:divBdr>
            <w:top w:val="none" w:sz="0" w:space="0" w:color="auto"/>
            <w:left w:val="none" w:sz="0" w:space="0" w:color="auto"/>
            <w:bottom w:val="none" w:sz="0" w:space="0" w:color="auto"/>
            <w:right w:val="none" w:sz="0" w:space="0" w:color="auto"/>
          </w:divBdr>
        </w:div>
        <w:div w:id="1259411832">
          <w:marLeft w:val="480"/>
          <w:marRight w:val="0"/>
          <w:marTop w:val="0"/>
          <w:marBottom w:val="0"/>
          <w:divBdr>
            <w:top w:val="none" w:sz="0" w:space="0" w:color="auto"/>
            <w:left w:val="none" w:sz="0" w:space="0" w:color="auto"/>
            <w:bottom w:val="none" w:sz="0" w:space="0" w:color="auto"/>
            <w:right w:val="none" w:sz="0" w:space="0" w:color="auto"/>
          </w:divBdr>
        </w:div>
        <w:div w:id="473062227">
          <w:marLeft w:val="480"/>
          <w:marRight w:val="0"/>
          <w:marTop w:val="0"/>
          <w:marBottom w:val="0"/>
          <w:divBdr>
            <w:top w:val="none" w:sz="0" w:space="0" w:color="auto"/>
            <w:left w:val="none" w:sz="0" w:space="0" w:color="auto"/>
            <w:bottom w:val="none" w:sz="0" w:space="0" w:color="auto"/>
            <w:right w:val="none" w:sz="0" w:space="0" w:color="auto"/>
          </w:divBdr>
        </w:div>
        <w:div w:id="394351507">
          <w:marLeft w:val="480"/>
          <w:marRight w:val="0"/>
          <w:marTop w:val="0"/>
          <w:marBottom w:val="0"/>
          <w:divBdr>
            <w:top w:val="none" w:sz="0" w:space="0" w:color="auto"/>
            <w:left w:val="none" w:sz="0" w:space="0" w:color="auto"/>
            <w:bottom w:val="none" w:sz="0" w:space="0" w:color="auto"/>
            <w:right w:val="none" w:sz="0" w:space="0" w:color="auto"/>
          </w:divBdr>
        </w:div>
        <w:div w:id="1641573028">
          <w:marLeft w:val="480"/>
          <w:marRight w:val="0"/>
          <w:marTop w:val="0"/>
          <w:marBottom w:val="0"/>
          <w:divBdr>
            <w:top w:val="none" w:sz="0" w:space="0" w:color="auto"/>
            <w:left w:val="none" w:sz="0" w:space="0" w:color="auto"/>
            <w:bottom w:val="none" w:sz="0" w:space="0" w:color="auto"/>
            <w:right w:val="none" w:sz="0" w:space="0" w:color="auto"/>
          </w:divBdr>
        </w:div>
      </w:divsChild>
    </w:div>
    <w:div w:id="1240364916">
      <w:bodyDiv w:val="1"/>
      <w:marLeft w:val="0"/>
      <w:marRight w:val="0"/>
      <w:marTop w:val="0"/>
      <w:marBottom w:val="0"/>
      <w:divBdr>
        <w:top w:val="none" w:sz="0" w:space="0" w:color="auto"/>
        <w:left w:val="none" w:sz="0" w:space="0" w:color="auto"/>
        <w:bottom w:val="none" w:sz="0" w:space="0" w:color="auto"/>
        <w:right w:val="none" w:sz="0" w:space="0" w:color="auto"/>
      </w:divBdr>
      <w:divsChild>
        <w:div w:id="2055421101">
          <w:marLeft w:val="480"/>
          <w:marRight w:val="0"/>
          <w:marTop w:val="0"/>
          <w:marBottom w:val="0"/>
          <w:divBdr>
            <w:top w:val="none" w:sz="0" w:space="0" w:color="auto"/>
            <w:left w:val="none" w:sz="0" w:space="0" w:color="auto"/>
            <w:bottom w:val="none" w:sz="0" w:space="0" w:color="auto"/>
            <w:right w:val="none" w:sz="0" w:space="0" w:color="auto"/>
          </w:divBdr>
        </w:div>
      </w:divsChild>
    </w:div>
    <w:div w:id="1251888518">
      <w:bodyDiv w:val="1"/>
      <w:marLeft w:val="0"/>
      <w:marRight w:val="0"/>
      <w:marTop w:val="0"/>
      <w:marBottom w:val="0"/>
      <w:divBdr>
        <w:top w:val="none" w:sz="0" w:space="0" w:color="auto"/>
        <w:left w:val="none" w:sz="0" w:space="0" w:color="auto"/>
        <w:bottom w:val="none" w:sz="0" w:space="0" w:color="auto"/>
        <w:right w:val="none" w:sz="0" w:space="0" w:color="auto"/>
      </w:divBdr>
    </w:div>
    <w:div w:id="1252005161">
      <w:bodyDiv w:val="1"/>
      <w:marLeft w:val="0"/>
      <w:marRight w:val="0"/>
      <w:marTop w:val="0"/>
      <w:marBottom w:val="0"/>
      <w:divBdr>
        <w:top w:val="none" w:sz="0" w:space="0" w:color="auto"/>
        <w:left w:val="none" w:sz="0" w:space="0" w:color="auto"/>
        <w:bottom w:val="none" w:sz="0" w:space="0" w:color="auto"/>
        <w:right w:val="none" w:sz="0" w:space="0" w:color="auto"/>
      </w:divBdr>
      <w:divsChild>
        <w:div w:id="2100443672">
          <w:marLeft w:val="480"/>
          <w:marRight w:val="0"/>
          <w:marTop w:val="0"/>
          <w:marBottom w:val="0"/>
          <w:divBdr>
            <w:top w:val="none" w:sz="0" w:space="0" w:color="auto"/>
            <w:left w:val="none" w:sz="0" w:space="0" w:color="auto"/>
            <w:bottom w:val="none" w:sz="0" w:space="0" w:color="auto"/>
            <w:right w:val="none" w:sz="0" w:space="0" w:color="auto"/>
          </w:divBdr>
        </w:div>
      </w:divsChild>
    </w:div>
    <w:div w:id="1255211783">
      <w:bodyDiv w:val="1"/>
      <w:marLeft w:val="0"/>
      <w:marRight w:val="0"/>
      <w:marTop w:val="0"/>
      <w:marBottom w:val="0"/>
      <w:divBdr>
        <w:top w:val="none" w:sz="0" w:space="0" w:color="auto"/>
        <w:left w:val="none" w:sz="0" w:space="0" w:color="auto"/>
        <w:bottom w:val="none" w:sz="0" w:space="0" w:color="auto"/>
        <w:right w:val="none" w:sz="0" w:space="0" w:color="auto"/>
      </w:divBdr>
      <w:divsChild>
        <w:div w:id="1903908800">
          <w:marLeft w:val="480"/>
          <w:marRight w:val="0"/>
          <w:marTop w:val="0"/>
          <w:marBottom w:val="0"/>
          <w:divBdr>
            <w:top w:val="none" w:sz="0" w:space="0" w:color="auto"/>
            <w:left w:val="none" w:sz="0" w:space="0" w:color="auto"/>
            <w:bottom w:val="none" w:sz="0" w:space="0" w:color="auto"/>
            <w:right w:val="none" w:sz="0" w:space="0" w:color="auto"/>
          </w:divBdr>
        </w:div>
        <w:div w:id="2128306925">
          <w:marLeft w:val="480"/>
          <w:marRight w:val="0"/>
          <w:marTop w:val="0"/>
          <w:marBottom w:val="0"/>
          <w:divBdr>
            <w:top w:val="none" w:sz="0" w:space="0" w:color="auto"/>
            <w:left w:val="none" w:sz="0" w:space="0" w:color="auto"/>
            <w:bottom w:val="none" w:sz="0" w:space="0" w:color="auto"/>
            <w:right w:val="none" w:sz="0" w:space="0" w:color="auto"/>
          </w:divBdr>
        </w:div>
      </w:divsChild>
    </w:div>
    <w:div w:id="1283148591">
      <w:bodyDiv w:val="1"/>
      <w:marLeft w:val="0"/>
      <w:marRight w:val="0"/>
      <w:marTop w:val="0"/>
      <w:marBottom w:val="0"/>
      <w:divBdr>
        <w:top w:val="none" w:sz="0" w:space="0" w:color="auto"/>
        <w:left w:val="none" w:sz="0" w:space="0" w:color="auto"/>
        <w:bottom w:val="none" w:sz="0" w:space="0" w:color="auto"/>
        <w:right w:val="none" w:sz="0" w:space="0" w:color="auto"/>
      </w:divBdr>
      <w:divsChild>
        <w:div w:id="102313825">
          <w:marLeft w:val="640"/>
          <w:marRight w:val="0"/>
          <w:marTop w:val="0"/>
          <w:marBottom w:val="0"/>
          <w:divBdr>
            <w:top w:val="none" w:sz="0" w:space="0" w:color="auto"/>
            <w:left w:val="none" w:sz="0" w:space="0" w:color="auto"/>
            <w:bottom w:val="none" w:sz="0" w:space="0" w:color="auto"/>
            <w:right w:val="none" w:sz="0" w:space="0" w:color="auto"/>
          </w:divBdr>
        </w:div>
        <w:div w:id="132522157">
          <w:marLeft w:val="640"/>
          <w:marRight w:val="0"/>
          <w:marTop w:val="0"/>
          <w:marBottom w:val="0"/>
          <w:divBdr>
            <w:top w:val="none" w:sz="0" w:space="0" w:color="auto"/>
            <w:left w:val="none" w:sz="0" w:space="0" w:color="auto"/>
            <w:bottom w:val="none" w:sz="0" w:space="0" w:color="auto"/>
            <w:right w:val="none" w:sz="0" w:space="0" w:color="auto"/>
          </w:divBdr>
        </w:div>
        <w:div w:id="191069211">
          <w:marLeft w:val="640"/>
          <w:marRight w:val="0"/>
          <w:marTop w:val="0"/>
          <w:marBottom w:val="0"/>
          <w:divBdr>
            <w:top w:val="none" w:sz="0" w:space="0" w:color="auto"/>
            <w:left w:val="none" w:sz="0" w:space="0" w:color="auto"/>
            <w:bottom w:val="none" w:sz="0" w:space="0" w:color="auto"/>
            <w:right w:val="none" w:sz="0" w:space="0" w:color="auto"/>
          </w:divBdr>
        </w:div>
        <w:div w:id="218902844">
          <w:marLeft w:val="640"/>
          <w:marRight w:val="0"/>
          <w:marTop w:val="0"/>
          <w:marBottom w:val="0"/>
          <w:divBdr>
            <w:top w:val="none" w:sz="0" w:space="0" w:color="auto"/>
            <w:left w:val="none" w:sz="0" w:space="0" w:color="auto"/>
            <w:bottom w:val="none" w:sz="0" w:space="0" w:color="auto"/>
            <w:right w:val="none" w:sz="0" w:space="0" w:color="auto"/>
          </w:divBdr>
        </w:div>
        <w:div w:id="241643552">
          <w:marLeft w:val="640"/>
          <w:marRight w:val="0"/>
          <w:marTop w:val="0"/>
          <w:marBottom w:val="0"/>
          <w:divBdr>
            <w:top w:val="none" w:sz="0" w:space="0" w:color="auto"/>
            <w:left w:val="none" w:sz="0" w:space="0" w:color="auto"/>
            <w:bottom w:val="none" w:sz="0" w:space="0" w:color="auto"/>
            <w:right w:val="none" w:sz="0" w:space="0" w:color="auto"/>
          </w:divBdr>
        </w:div>
        <w:div w:id="270863356">
          <w:marLeft w:val="640"/>
          <w:marRight w:val="0"/>
          <w:marTop w:val="0"/>
          <w:marBottom w:val="0"/>
          <w:divBdr>
            <w:top w:val="none" w:sz="0" w:space="0" w:color="auto"/>
            <w:left w:val="none" w:sz="0" w:space="0" w:color="auto"/>
            <w:bottom w:val="none" w:sz="0" w:space="0" w:color="auto"/>
            <w:right w:val="none" w:sz="0" w:space="0" w:color="auto"/>
          </w:divBdr>
        </w:div>
        <w:div w:id="276524099">
          <w:marLeft w:val="640"/>
          <w:marRight w:val="0"/>
          <w:marTop w:val="0"/>
          <w:marBottom w:val="0"/>
          <w:divBdr>
            <w:top w:val="none" w:sz="0" w:space="0" w:color="auto"/>
            <w:left w:val="none" w:sz="0" w:space="0" w:color="auto"/>
            <w:bottom w:val="none" w:sz="0" w:space="0" w:color="auto"/>
            <w:right w:val="none" w:sz="0" w:space="0" w:color="auto"/>
          </w:divBdr>
        </w:div>
        <w:div w:id="294604931">
          <w:marLeft w:val="640"/>
          <w:marRight w:val="0"/>
          <w:marTop w:val="0"/>
          <w:marBottom w:val="0"/>
          <w:divBdr>
            <w:top w:val="none" w:sz="0" w:space="0" w:color="auto"/>
            <w:left w:val="none" w:sz="0" w:space="0" w:color="auto"/>
            <w:bottom w:val="none" w:sz="0" w:space="0" w:color="auto"/>
            <w:right w:val="none" w:sz="0" w:space="0" w:color="auto"/>
          </w:divBdr>
        </w:div>
        <w:div w:id="320543928">
          <w:marLeft w:val="640"/>
          <w:marRight w:val="0"/>
          <w:marTop w:val="0"/>
          <w:marBottom w:val="0"/>
          <w:divBdr>
            <w:top w:val="none" w:sz="0" w:space="0" w:color="auto"/>
            <w:left w:val="none" w:sz="0" w:space="0" w:color="auto"/>
            <w:bottom w:val="none" w:sz="0" w:space="0" w:color="auto"/>
            <w:right w:val="none" w:sz="0" w:space="0" w:color="auto"/>
          </w:divBdr>
        </w:div>
        <w:div w:id="337655076">
          <w:marLeft w:val="640"/>
          <w:marRight w:val="0"/>
          <w:marTop w:val="0"/>
          <w:marBottom w:val="0"/>
          <w:divBdr>
            <w:top w:val="none" w:sz="0" w:space="0" w:color="auto"/>
            <w:left w:val="none" w:sz="0" w:space="0" w:color="auto"/>
            <w:bottom w:val="none" w:sz="0" w:space="0" w:color="auto"/>
            <w:right w:val="none" w:sz="0" w:space="0" w:color="auto"/>
          </w:divBdr>
        </w:div>
        <w:div w:id="393504364">
          <w:marLeft w:val="640"/>
          <w:marRight w:val="0"/>
          <w:marTop w:val="0"/>
          <w:marBottom w:val="0"/>
          <w:divBdr>
            <w:top w:val="none" w:sz="0" w:space="0" w:color="auto"/>
            <w:left w:val="none" w:sz="0" w:space="0" w:color="auto"/>
            <w:bottom w:val="none" w:sz="0" w:space="0" w:color="auto"/>
            <w:right w:val="none" w:sz="0" w:space="0" w:color="auto"/>
          </w:divBdr>
        </w:div>
        <w:div w:id="478428425">
          <w:marLeft w:val="640"/>
          <w:marRight w:val="0"/>
          <w:marTop w:val="0"/>
          <w:marBottom w:val="0"/>
          <w:divBdr>
            <w:top w:val="none" w:sz="0" w:space="0" w:color="auto"/>
            <w:left w:val="none" w:sz="0" w:space="0" w:color="auto"/>
            <w:bottom w:val="none" w:sz="0" w:space="0" w:color="auto"/>
            <w:right w:val="none" w:sz="0" w:space="0" w:color="auto"/>
          </w:divBdr>
        </w:div>
        <w:div w:id="525875116">
          <w:marLeft w:val="640"/>
          <w:marRight w:val="0"/>
          <w:marTop w:val="0"/>
          <w:marBottom w:val="0"/>
          <w:divBdr>
            <w:top w:val="none" w:sz="0" w:space="0" w:color="auto"/>
            <w:left w:val="none" w:sz="0" w:space="0" w:color="auto"/>
            <w:bottom w:val="none" w:sz="0" w:space="0" w:color="auto"/>
            <w:right w:val="none" w:sz="0" w:space="0" w:color="auto"/>
          </w:divBdr>
        </w:div>
        <w:div w:id="550112148">
          <w:marLeft w:val="640"/>
          <w:marRight w:val="0"/>
          <w:marTop w:val="0"/>
          <w:marBottom w:val="0"/>
          <w:divBdr>
            <w:top w:val="none" w:sz="0" w:space="0" w:color="auto"/>
            <w:left w:val="none" w:sz="0" w:space="0" w:color="auto"/>
            <w:bottom w:val="none" w:sz="0" w:space="0" w:color="auto"/>
            <w:right w:val="none" w:sz="0" w:space="0" w:color="auto"/>
          </w:divBdr>
        </w:div>
        <w:div w:id="590041702">
          <w:marLeft w:val="640"/>
          <w:marRight w:val="0"/>
          <w:marTop w:val="0"/>
          <w:marBottom w:val="0"/>
          <w:divBdr>
            <w:top w:val="none" w:sz="0" w:space="0" w:color="auto"/>
            <w:left w:val="none" w:sz="0" w:space="0" w:color="auto"/>
            <w:bottom w:val="none" w:sz="0" w:space="0" w:color="auto"/>
            <w:right w:val="none" w:sz="0" w:space="0" w:color="auto"/>
          </w:divBdr>
        </w:div>
        <w:div w:id="702248934">
          <w:marLeft w:val="640"/>
          <w:marRight w:val="0"/>
          <w:marTop w:val="0"/>
          <w:marBottom w:val="0"/>
          <w:divBdr>
            <w:top w:val="none" w:sz="0" w:space="0" w:color="auto"/>
            <w:left w:val="none" w:sz="0" w:space="0" w:color="auto"/>
            <w:bottom w:val="none" w:sz="0" w:space="0" w:color="auto"/>
            <w:right w:val="none" w:sz="0" w:space="0" w:color="auto"/>
          </w:divBdr>
        </w:div>
        <w:div w:id="788478435">
          <w:marLeft w:val="640"/>
          <w:marRight w:val="0"/>
          <w:marTop w:val="0"/>
          <w:marBottom w:val="0"/>
          <w:divBdr>
            <w:top w:val="none" w:sz="0" w:space="0" w:color="auto"/>
            <w:left w:val="none" w:sz="0" w:space="0" w:color="auto"/>
            <w:bottom w:val="none" w:sz="0" w:space="0" w:color="auto"/>
            <w:right w:val="none" w:sz="0" w:space="0" w:color="auto"/>
          </w:divBdr>
        </w:div>
        <w:div w:id="797528527">
          <w:marLeft w:val="640"/>
          <w:marRight w:val="0"/>
          <w:marTop w:val="0"/>
          <w:marBottom w:val="0"/>
          <w:divBdr>
            <w:top w:val="none" w:sz="0" w:space="0" w:color="auto"/>
            <w:left w:val="none" w:sz="0" w:space="0" w:color="auto"/>
            <w:bottom w:val="none" w:sz="0" w:space="0" w:color="auto"/>
            <w:right w:val="none" w:sz="0" w:space="0" w:color="auto"/>
          </w:divBdr>
        </w:div>
        <w:div w:id="834801246">
          <w:marLeft w:val="640"/>
          <w:marRight w:val="0"/>
          <w:marTop w:val="0"/>
          <w:marBottom w:val="0"/>
          <w:divBdr>
            <w:top w:val="none" w:sz="0" w:space="0" w:color="auto"/>
            <w:left w:val="none" w:sz="0" w:space="0" w:color="auto"/>
            <w:bottom w:val="none" w:sz="0" w:space="0" w:color="auto"/>
            <w:right w:val="none" w:sz="0" w:space="0" w:color="auto"/>
          </w:divBdr>
        </w:div>
        <w:div w:id="838934122">
          <w:marLeft w:val="640"/>
          <w:marRight w:val="0"/>
          <w:marTop w:val="0"/>
          <w:marBottom w:val="0"/>
          <w:divBdr>
            <w:top w:val="none" w:sz="0" w:space="0" w:color="auto"/>
            <w:left w:val="none" w:sz="0" w:space="0" w:color="auto"/>
            <w:bottom w:val="none" w:sz="0" w:space="0" w:color="auto"/>
            <w:right w:val="none" w:sz="0" w:space="0" w:color="auto"/>
          </w:divBdr>
        </w:div>
        <w:div w:id="857810020">
          <w:marLeft w:val="640"/>
          <w:marRight w:val="0"/>
          <w:marTop w:val="0"/>
          <w:marBottom w:val="0"/>
          <w:divBdr>
            <w:top w:val="none" w:sz="0" w:space="0" w:color="auto"/>
            <w:left w:val="none" w:sz="0" w:space="0" w:color="auto"/>
            <w:bottom w:val="none" w:sz="0" w:space="0" w:color="auto"/>
            <w:right w:val="none" w:sz="0" w:space="0" w:color="auto"/>
          </w:divBdr>
        </w:div>
        <w:div w:id="883836047">
          <w:marLeft w:val="640"/>
          <w:marRight w:val="0"/>
          <w:marTop w:val="0"/>
          <w:marBottom w:val="0"/>
          <w:divBdr>
            <w:top w:val="none" w:sz="0" w:space="0" w:color="auto"/>
            <w:left w:val="none" w:sz="0" w:space="0" w:color="auto"/>
            <w:bottom w:val="none" w:sz="0" w:space="0" w:color="auto"/>
            <w:right w:val="none" w:sz="0" w:space="0" w:color="auto"/>
          </w:divBdr>
        </w:div>
        <w:div w:id="921378332">
          <w:marLeft w:val="640"/>
          <w:marRight w:val="0"/>
          <w:marTop w:val="0"/>
          <w:marBottom w:val="0"/>
          <w:divBdr>
            <w:top w:val="none" w:sz="0" w:space="0" w:color="auto"/>
            <w:left w:val="none" w:sz="0" w:space="0" w:color="auto"/>
            <w:bottom w:val="none" w:sz="0" w:space="0" w:color="auto"/>
            <w:right w:val="none" w:sz="0" w:space="0" w:color="auto"/>
          </w:divBdr>
        </w:div>
        <w:div w:id="949163961">
          <w:marLeft w:val="640"/>
          <w:marRight w:val="0"/>
          <w:marTop w:val="0"/>
          <w:marBottom w:val="0"/>
          <w:divBdr>
            <w:top w:val="none" w:sz="0" w:space="0" w:color="auto"/>
            <w:left w:val="none" w:sz="0" w:space="0" w:color="auto"/>
            <w:bottom w:val="none" w:sz="0" w:space="0" w:color="auto"/>
            <w:right w:val="none" w:sz="0" w:space="0" w:color="auto"/>
          </w:divBdr>
        </w:div>
        <w:div w:id="977877660">
          <w:marLeft w:val="640"/>
          <w:marRight w:val="0"/>
          <w:marTop w:val="0"/>
          <w:marBottom w:val="0"/>
          <w:divBdr>
            <w:top w:val="none" w:sz="0" w:space="0" w:color="auto"/>
            <w:left w:val="none" w:sz="0" w:space="0" w:color="auto"/>
            <w:bottom w:val="none" w:sz="0" w:space="0" w:color="auto"/>
            <w:right w:val="none" w:sz="0" w:space="0" w:color="auto"/>
          </w:divBdr>
        </w:div>
        <w:div w:id="1000694970">
          <w:marLeft w:val="640"/>
          <w:marRight w:val="0"/>
          <w:marTop w:val="0"/>
          <w:marBottom w:val="0"/>
          <w:divBdr>
            <w:top w:val="none" w:sz="0" w:space="0" w:color="auto"/>
            <w:left w:val="none" w:sz="0" w:space="0" w:color="auto"/>
            <w:bottom w:val="none" w:sz="0" w:space="0" w:color="auto"/>
            <w:right w:val="none" w:sz="0" w:space="0" w:color="auto"/>
          </w:divBdr>
        </w:div>
        <w:div w:id="1003125861">
          <w:marLeft w:val="640"/>
          <w:marRight w:val="0"/>
          <w:marTop w:val="0"/>
          <w:marBottom w:val="0"/>
          <w:divBdr>
            <w:top w:val="none" w:sz="0" w:space="0" w:color="auto"/>
            <w:left w:val="none" w:sz="0" w:space="0" w:color="auto"/>
            <w:bottom w:val="none" w:sz="0" w:space="0" w:color="auto"/>
            <w:right w:val="none" w:sz="0" w:space="0" w:color="auto"/>
          </w:divBdr>
        </w:div>
        <w:div w:id="1003969560">
          <w:marLeft w:val="640"/>
          <w:marRight w:val="0"/>
          <w:marTop w:val="0"/>
          <w:marBottom w:val="0"/>
          <w:divBdr>
            <w:top w:val="none" w:sz="0" w:space="0" w:color="auto"/>
            <w:left w:val="none" w:sz="0" w:space="0" w:color="auto"/>
            <w:bottom w:val="none" w:sz="0" w:space="0" w:color="auto"/>
            <w:right w:val="none" w:sz="0" w:space="0" w:color="auto"/>
          </w:divBdr>
        </w:div>
        <w:div w:id="1027027452">
          <w:marLeft w:val="640"/>
          <w:marRight w:val="0"/>
          <w:marTop w:val="0"/>
          <w:marBottom w:val="0"/>
          <w:divBdr>
            <w:top w:val="none" w:sz="0" w:space="0" w:color="auto"/>
            <w:left w:val="none" w:sz="0" w:space="0" w:color="auto"/>
            <w:bottom w:val="none" w:sz="0" w:space="0" w:color="auto"/>
            <w:right w:val="none" w:sz="0" w:space="0" w:color="auto"/>
          </w:divBdr>
        </w:div>
        <w:div w:id="1107313508">
          <w:marLeft w:val="640"/>
          <w:marRight w:val="0"/>
          <w:marTop w:val="0"/>
          <w:marBottom w:val="0"/>
          <w:divBdr>
            <w:top w:val="none" w:sz="0" w:space="0" w:color="auto"/>
            <w:left w:val="none" w:sz="0" w:space="0" w:color="auto"/>
            <w:bottom w:val="none" w:sz="0" w:space="0" w:color="auto"/>
            <w:right w:val="none" w:sz="0" w:space="0" w:color="auto"/>
          </w:divBdr>
        </w:div>
        <w:div w:id="1113013839">
          <w:marLeft w:val="640"/>
          <w:marRight w:val="0"/>
          <w:marTop w:val="0"/>
          <w:marBottom w:val="0"/>
          <w:divBdr>
            <w:top w:val="none" w:sz="0" w:space="0" w:color="auto"/>
            <w:left w:val="none" w:sz="0" w:space="0" w:color="auto"/>
            <w:bottom w:val="none" w:sz="0" w:space="0" w:color="auto"/>
            <w:right w:val="none" w:sz="0" w:space="0" w:color="auto"/>
          </w:divBdr>
        </w:div>
        <w:div w:id="1121413792">
          <w:marLeft w:val="640"/>
          <w:marRight w:val="0"/>
          <w:marTop w:val="0"/>
          <w:marBottom w:val="0"/>
          <w:divBdr>
            <w:top w:val="none" w:sz="0" w:space="0" w:color="auto"/>
            <w:left w:val="none" w:sz="0" w:space="0" w:color="auto"/>
            <w:bottom w:val="none" w:sz="0" w:space="0" w:color="auto"/>
            <w:right w:val="none" w:sz="0" w:space="0" w:color="auto"/>
          </w:divBdr>
        </w:div>
        <w:div w:id="1132558293">
          <w:marLeft w:val="640"/>
          <w:marRight w:val="0"/>
          <w:marTop w:val="0"/>
          <w:marBottom w:val="0"/>
          <w:divBdr>
            <w:top w:val="none" w:sz="0" w:space="0" w:color="auto"/>
            <w:left w:val="none" w:sz="0" w:space="0" w:color="auto"/>
            <w:bottom w:val="none" w:sz="0" w:space="0" w:color="auto"/>
            <w:right w:val="none" w:sz="0" w:space="0" w:color="auto"/>
          </w:divBdr>
        </w:div>
        <w:div w:id="1162769430">
          <w:marLeft w:val="640"/>
          <w:marRight w:val="0"/>
          <w:marTop w:val="0"/>
          <w:marBottom w:val="0"/>
          <w:divBdr>
            <w:top w:val="none" w:sz="0" w:space="0" w:color="auto"/>
            <w:left w:val="none" w:sz="0" w:space="0" w:color="auto"/>
            <w:bottom w:val="none" w:sz="0" w:space="0" w:color="auto"/>
            <w:right w:val="none" w:sz="0" w:space="0" w:color="auto"/>
          </w:divBdr>
        </w:div>
        <w:div w:id="1187255532">
          <w:marLeft w:val="640"/>
          <w:marRight w:val="0"/>
          <w:marTop w:val="0"/>
          <w:marBottom w:val="0"/>
          <w:divBdr>
            <w:top w:val="none" w:sz="0" w:space="0" w:color="auto"/>
            <w:left w:val="none" w:sz="0" w:space="0" w:color="auto"/>
            <w:bottom w:val="none" w:sz="0" w:space="0" w:color="auto"/>
            <w:right w:val="none" w:sz="0" w:space="0" w:color="auto"/>
          </w:divBdr>
        </w:div>
        <w:div w:id="1191259652">
          <w:marLeft w:val="640"/>
          <w:marRight w:val="0"/>
          <w:marTop w:val="0"/>
          <w:marBottom w:val="0"/>
          <w:divBdr>
            <w:top w:val="none" w:sz="0" w:space="0" w:color="auto"/>
            <w:left w:val="none" w:sz="0" w:space="0" w:color="auto"/>
            <w:bottom w:val="none" w:sz="0" w:space="0" w:color="auto"/>
            <w:right w:val="none" w:sz="0" w:space="0" w:color="auto"/>
          </w:divBdr>
        </w:div>
        <w:div w:id="1202521434">
          <w:marLeft w:val="640"/>
          <w:marRight w:val="0"/>
          <w:marTop w:val="0"/>
          <w:marBottom w:val="0"/>
          <w:divBdr>
            <w:top w:val="none" w:sz="0" w:space="0" w:color="auto"/>
            <w:left w:val="none" w:sz="0" w:space="0" w:color="auto"/>
            <w:bottom w:val="none" w:sz="0" w:space="0" w:color="auto"/>
            <w:right w:val="none" w:sz="0" w:space="0" w:color="auto"/>
          </w:divBdr>
        </w:div>
        <w:div w:id="1222713071">
          <w:marLeft w:val="640"/>
          <w:marRight w:val="0"/>
          <w:marTop w:val="0"/>
          <w:marBottom w:val="0"/>
          <w:divBdr>
            <w:top w:val="none" w:sz="0" w:space="0" w:color="auto"/>
            <w:left w:val="none" w:sz="0" w:space="0" w:color="auto"/>
            <w:bottom w:val="none" w:sz="0" w:space="0" w:color="auto"/>
            <w:right w:val="none" w:sz="0" w:space="0" w:color="auto"/>
          </w:divBdr>
        </w:div>
        <w:div w:id="1229457724">
          <w:marLeft w:val="640"/>
          <w:marRight w:val="0"/>
          <w:marTop w:val="0"/>
          <w:marBottom w:val="0"/>
          <w:divBdr>
            <w:top w:val="none" w:sz="0" w:space="0" w:color="auto"/>
            <w:left w:val="none" w:sz="0" w:space="0" w:color="auto"/>
            <w:bottom w:val="none" w:sz="0" w:space="0" w:color="auto"/>
            <w:right w:val="none" w:sz="0" w:space="0" w:color="auto"/>
          </w:divBdr>
        </w:div>
        <w:div w:id="1265109843">
          <w:marLeft w:val="640"/>
          <w:marRight w:val="0"/>
          <w:marTop w:val="0"/>
          <w:marBottom w:val="0"/>
          <w:divBdr>
            <w:top w:val="none" w:sz="0" w:space="0" w:color="auto"/>
            <w:left w:val="none" w:sz="0" w:space="0" w:color="auto"/>
            <w:bottom w:val="none" w:sz="0" w:space="0" w:color="auto"/>
            <w:right w:val="none" w:sz="0" w:space="0" w:color="auto"/>
          </w:divBdr>
        </w:div>
        <w:div w:id="1283997901">
          <w:marLeft w:val="640"/>
          <w:marRight w:val="0"/>
          <w:marTop w:val="0"/>
          <w:marBottom w:val="0"/>
          <w:divBdr>
            <w:top w:val="none" w:sz="0" w:space="0" w:color="auto"/>
            <w:left w:val="none" w:sz="0" w:space="0" w:color="auto"/>
            <w:bottom w:val="none" w:sz="0" w:space="0" w:color="auto"/>
            <w:right w:val="none" w:sz="0" w:space="0" w:color="auto"/>
          </w:divBdr>
        </w:div>
        <w:div w:id="1333340036">
          <w:marLeft w:val="640"/>
          <w:marRight w:val="0"/>
          <w:marTop w:val="0"/>
          <w:marBottom w:val="0"/>
          <w:divBdr>
            <w:top w:val="none" w:sz="0" w:space="0" w:color="auto"/>
            <w:left w:val="none" w:sz="0" w:space="0" w:color="auto"/>
            <w:bottom w:val="none" w:sz="0" w:space="0" w:color="auto"/>
            <w:right w:val="none" w:sz="0" w:space="0" w:color="auto"/>
          </w:divBdr>
        </w:div>
        <w:div w:id="1357080133">
          <w:marLeft w:val="640"/>
          <w:marRight w:val="0"/>
          <w:marTop w:val="0"/>
          <w:marBottom w:val="0"/>
          <w:divBdr>
            <w:top w:val="none" w:sz="0" w:space="0" w:color="auto"/>
            <w:left w:val="none" w:sz="0" w:space="0" w:color="auto"/>
            <w:bottom w:val="none" w:sz="0" w:space="0" w:color="auto"/>
            <w:right w:val="none" w:sz="0" w:space="0" w:color="auto"/>
          </w:divBdr>
        </w:div>
        <w:div w:id="1405765061">
          <w:marLeft w:val="640"/>
          <w:marRight w:val="0"/>
          <w:marTop w:val="0"/>
          <w:marBottom w:val="0"/>
          <w:divBdr>
            <w:top w:val="none" w:sz="0" w:space="0" w:color="auto"/>
            <w:left w:val="none" w:sz="0" w:space="0" w:color="auto"/>
            <w:bottom w:val="none" w:sz="0" w:space="0" w:color="auto"/>
            <w:right w:val="none" w:sz="0" w:space="0" w:color="auto"/>
          </w:divBdr>
        </w:div>
        <w:div w:id="1412239009">
          <w:marLeft w:val="640"/>
          <w:marRight w:val="0"/>
          <w:marTop w:val="0"/>
          <w:marBottom w:val="0"/>
          <w:divBdr>
            <w:top w:val="none" w:sz="0" w:space="0" w:color="auto"/>
            <w:left w:val="none" w:sz="0" w:space="0" w:color="auto"/>
            <w:bottom w:val="none" w:sz="0" w:space="0" w:color="auto"/>
            <w:right w:val="none" w:sz="0" w:space="0" w:color="auto"/>
          </w:divBdr>
        </w:div>
        <w:div w:id="1413744970">
          <w:marLeft w:val="640"/>
          <w:marRight w:val="0"/>
          <w:marTop w:val="0"/>
          <w:marBottom w:val="0"/>
          <w:divBdr>
            <w:top w:val="none" w:sz="0" w:space="0" w:color="auto"/>
            <w:left w:val="none" w:sz="0" w:space="0" w:color="auto"/>
            <w:bottom w:val="none" w:sz="0" w:space="0" w:color="auto"/>
            <w:right w:val="none" w:sz="0" w:space="0" w:color="auto"/>
          </w:divBdr>
        </w:div>
        <w:div w:id="1471095456">
          <w:marLeft w:val="640"/>
          <w:marRight w:val="0"/>
          <w:marTop w:val="0"/>
          <w:marBottom w:val="0"/>
          <w:divBdr>
            <w:top w:val="none" w:sz="0" w:space="0" w:color="auto"/>
            <w:left w:val="none" w:sz="0" w:space="0" w:color="auto"/>
            <w:bottom w:val="none" w:sz="0" w:space="0" w:color="auto"/>
            <w:right w:val="none" w:sz="0" w:space="0" w:color="auto"/>
          </w:divBdr>
        </w:div>
        <w:div w:id="1532262326">
          <w:marLeft w:val="640"/>
          <w:marRight w:val="0"/>
          <w:marTop w:val="0"/>
          <w:marBottom w:val="0"/>
          <w:divBdr>
            <w:top w:val="none" w:sz="0" w:space="0" w:color="auto"/>
            <w:left w:val="none" w:sz="0" w:space="0" w:color="auto"/>
            <w:bottom w:val="none" w:sz="0" w:space="0" w:color="auto"/>
            <w:right w:val="none" w:sz="0" w:space="0" w:color="auto"/>
          </w:divBdr>
        </w:div>
        <w:div w:id="1545487568">
          <w:marLeft w:val="640"/>
          <w:marRight w:val="0"/>
          <w:marTop w:val="0"/>
          <w:marBottom w:val="0"/>
          <w:divBdr>
            <w:top w:val="none" w:sz="0" w:space="0" w:color="auto"/>
            <w:left w:val="none" w:sz="0" w:space="0" w:color="auto"/>
            <w:bottom w:val="none" w:sz="0" w:space="0" w:color="auto"/>
            <w:right w:val="none" w:sz="0" w:space="0" w:color="auto"/>
          </w:divBdr>
        </w:div>
        <w:div w:id="1606689091">
          <w:marLeft w:val="640"/>
          <w:marRight w:val="0"/>
          <w:marTop w:val="0"/>
          <w:marBottom w:val="0"/>
          <w:divBdr>
            <w:top w:val="none" w:sz="0" w:space="0" w:color="auto"/>
            <w:left w:val="none" w:sz="0" w:space="0" w:color="auto"/>
            <w:bottom w:val="none" w:sz="0" w:space="0" w:color="auto"/>
            <w:right w:val="none" w:sz="0" w:space="0" w:color="auto"/>
          </w:divBdr>
        </w:div>
        <w:div w:id="1611742469">
          <w:marLeft w:val="640"/>
          <w:marRight w:val="0"/>
          <w:marTop w:val="0"/>
          <w:marBottom w:val="0"/>
          <w:divBdr>
            <w:top w:val="none" w:sz="0" w:space="0" w:color="auto"/>
            <w:left w:val="none" w:sz="0" w:space="0" w:color="auto"/>
            <w:bottom w:val="none" w:sz="0" w:space="0" w:color="auto"/>
            <w:right w:val="none" w:sz="0" w:space="0" w:color="auto"/>
          </w:divBdr>
        </w:div>
        <w:div w:id="1632785776">
          <w:marLeft w:val="640"/>
          <w:marRight w:val="0"/>
          <w:marTop w:val="0"/>
          <w:marBottom w:val="0"/>
          <w:divBdr>
            <w:top w:val="none" w:sz="0" w:space="0" w:color="auto"/>
            <w:left w:val="none" w:sz="0" w:space="0" w:color="auto"/>
            <w:bottom w:val="none" w:sz="0" w:space="0" w:color="auto"/>
            <w:right w:val="none" w:sz="0" w:space="0" w:color="auto"/>
          </w:divBdr>
        </w:div>
        <w:div w:id="1643849132">
          <w:marLeft w:val="640"/>
          <w:marRight w:val="0"/>
          <w:marTop w:val="0"/>
          <w:marBottom w:val="0"/>
          <w:divBdr>
            <w:top w:val="none" w:sz="0" w:space="0" w:color="auto"/>
            <w:left w:val="none" w:sz="0" w:space="0" w:color="auto"/>
            <w:bottom w:val="none" w:sz="0" w:space="0" w:color="auto"/>
            <w:right w:val="none" w:sz="0" w:space="0" w:color="auto"/>
          </w:divBdr>
        </w:div>
        <w:div w:id="1660038417">
          <w:marLeft w:val="640"/>
          <w:marRight w:val="0"/>
          <w:marTop w:val="0"/>
          <w:marBottom w:val="0"/>
          <w:divBdr>
            <w:top w:val="none" w:sz="0" w:space="0" w:color="auto"/>
            <w:left w:val="none" w:sz="0" w:space="0" w:color="auto"/>
            <w:bottom w:val="none" w:sz="0" w:space="0" w:color="auto"/>
            <w:right w:val="none" w:sz="0" w:space="0" w:color="auto"/>
          </w:divBdr>
        </w:div>
        <w:div w:id="1739473357">
          <w:marLeft w:val="640"/>
          <w:marRight w:val="0"/>
          <w:marTop w:val="0"/>
          <w:marBottom w:val="0"/>
          <w:divBdr>
            <w:top w:val="none" w:sz="0" w:space="0" w:color="auto"/>
            <w:left w:val="none" w:sz="0" w:space="0" w:color="auto"/>
            <w:bottom w:val="none" w:sz="0" w:space="0" w:color="auto"/>
            <w:right w:val="none" w:sz="0" w:space="0" w:color="auto"/>
          </w:divBdr>
        </w:div>
        <w:div w:id="1764450051">
          <w:marLeft w:val="640"/>
          <w:marRight w:val="0"/>
          <w:marTop w:val="0"/>
          <w:marBottom w:val="0"/>
          <w:divBdr>
            <w:top w:val="none" w:sz="0" w:space="0" w:color="auto"/>
            <w:left w:val="none" w:sz="0" w:space="0" w:color="auto"/>
            <w:bottom w:val="none" w:sz="0" w:space="0" w:color="auto"/>
            <w:right w:val="none" w:sz="0" w:space="0" w:color="auto"/>
          </w:divBdr>
        </w:div>
        <w:div w:id="1769620322">
          <w:marLeft w:val="640"/>
          <w:marRight w:val="0"/>
          <w:marTop w:val="0"/>
          <w:marBottom w:val="0"/>
          <w:divBdr>
            <w:top w:val="none" w:sz="0" w:space="0" w:color="auto"/>
            <w:left w:val="none" w:sz="0" w:space="0" w:color="auto"/>
            <w:bottom w:val="none" w:sz="0" w:space="0" w:color="auto"/>
            <w:right w:val="none" w:sz="0" w:space="0" w:color="auto"/>
          </w:divBdr>
        </w:div>
        <w:div w:id="1788501687">
          <w:marLeft w:val="640"/>
          <w:marRight w:val="0"/>
          <w:marTop w:val="0"/>
          <w:marBottom w:val="0"/>
          <w:divBdr>
            <w:top w:val="none" w:sz="0" w:space="0" w:color="auto"/>
            <w:left w:val="none" w:sz="0" w:space="0" w:color="auto"/>
            <w:bottom w:val="none" w:sz="0" w:space="0" w:color="auto"/>
            <w:right w:val="none" w:sz="0" w:space="0" w:color="auto"/>
          </w:divBdr>
        </w:div>
        <w:div w:id="1796093911">
          <w:marLeft w:val="640"/>
          <w:marRight w:val="0"/>
          <w:marTop w:val="0"/>
          <w:marBottom w:val="0"/>
          <w:divBdr>
            <w:top w:val="none" w:sz="0" w:space="0" w:color="auto"/>
            <w:left w:val="none" w:sz="0" w:space="0" w:color="auto"/>
            <w:bottom w:val="none" w:sz="0" w:space="0" w:color="auto"/>
            <w:right w:val="none" w:sz="0" w:space="0" w:color="auto"/>
          </w:divBdr>
        </w:div>
        <w:div w:id="1808161077">
          <w:marLeft w:val="640"/>
          <w:marRight w:val="0"/>
          <w:marTop w:val="0"/>
          <w:marBottom w:val="0"/>
          <w:divBdr>
            <w:top w:val="none" w:sz="0" w:space="0" w:color="auto"/>
            <w:left w:val="none" w:sz="0" w:space="0" w:color="auto"/>
            <w:bottom w:val="none" w:sz="0" w:space="0" w:color="auto"/>
            <w:right w:val="none" w:sz="0" w:space="0" w:color="auto"/>
          </w:divBdr>
        </w:div>
        <w:div w:id="1851988850">
          <w:marLeft w:val="640"/>
          <w:marRight w:val="0"/>
          <w:marTop w:val="0"/>
          <w:marBottom w:val="0"/>
          <w:divBdr>
            <w:top w:val="none" w:sz="0" w:space="0" w:color="auto"/>
            <w:left w:val="none" w:sz="0" w:space="0" w:color="auto"/>
            <w:bottom w:val="none" w:sz="0" w:space="0" w:color="auto"/>
            <w:right w:val="none" w:sz="0" w:space="0" w:color="auto"/>
          </w:divBdr>
        </w:div>
        <w:div w:id="1869442738">
          <w:marLeft w:val="640"/>
          <w:marRight w:val="0"/>
          <w:marTop w:val="0"/>
          <w:marBottom w:val="0"/>
          <w:divBdr>
            <w:top w:val="none" w:sz="0" w:space="0" w:color="auto"/>
            <w:left w:val="none" w:sz="0" w:space="0" w:color="auto"/>
            <w:bottom w:val="none" w:sz="0" w:space="0" w:color="auto"/>
            <w:right w:val="none" w:sz="0" w:space="0" w:color="auto"/>
          </w:divBdr>
        </w:div>
        <w:div w:id="1929652795">
          <w:marLeft w:val="640"/>
          <w:marRight w:val="0"/>
          <w:marTop w:val="0"/>
          <w:marBottom w:val="0"/>
          <w:divBdr>
            <w:top w:val="none" w:sz="0" w:space="0" w:color="auto"/>
            <w:left w:val="none" w:sz="0" w:space="0" w:color="auto"/>
            <w:bottom w:val="none" w:sz="0" w:space="0" w:color="auto"/>
            <w:right w:val="none" w:sz="0" w:space="0" w:color="auto"/>
          </w:divBdr>
        </w:div>
        <w:div w:id="1958247962">
          <w:marLeft w:val="640"/>
          <w:marRight w:val="0"/>
          <w:marTop w:val="0"/>
          <w:marBottom w:val="0"/>
          <w:divBdr>
            <w:top w:val="none" w:sz="0" w:space="0" w:color="auto"/>
            <w:left w:val="none" w:sz="0" w:space="0" w:color="auto"/>
            <w:bottom w:val="none" w:sz="0" w:space="0" w:color="auto"/>
            <w:right w:val="none" w:sz="0" w:space="0" w:color="auto"/>
          </w:divBdr>
        </w:div>
        <w:div w:id="2040203977">
          <w:marLeft w:val="640"/>
          <w:marRight w:val="0"/>
          <w:marTop w:val="0"/>
          <w:marBottom w:val="0"/>
          <w:divBdr>
            <w:top w:val="none" w:sz="0" w:space="0" w:color="auto"/>
            <w:left w:val="none" w:sz="0" w:space="0" w:color="auto"/>
            <w:bottom w:val="none" w:sz="0" w:space="0" w:color="auto"/>
            <w:right w:val="none" w:sz="0" w:space="0" w:color="auto"/>
          </w:divBdr>
        </w:div>
        <w:div w:id="2044013973">
          <w:marLeft w:val="640"/>
          <w:marRight w:val="0"/>
          <w:marTop w:val="0"/>
          <w:marBottom w:val="0"/>
          <w:divBdr>
            <w:top w:val="none" w:sz="0" w:space="0" w:color="auto"/>
            <w:left w:val="none" w:sz="0" w:space="0" w:color="auto"/>
            <w:bottom w:val="none" w:sz="0" w:space="0" w:color="auto"/>
            <w:right w:val="none" w:sz="0" w:space="0" w:color="auto"/>
          </w:divBdr>
        </w:div>
        <w:div w:id="2054621545">
          <w:marLeft w:val="640"/>
          <w:marRight w:val="0"/>
          <w:marTop w:val="0"/>
          <w:marBottom w:val="0"/>
          <w:divBdr>
            <w:top w:val="none" w:sz="0" w:space="0" w:color="auto"/>
            <w:left w:val="none" w:sz="0" w:space="0" w:color="auto"/>
            <w:bottom w:val="none" w:sz="0" w:space="0" w:color="auto"/>
            <w:right w:val="none" w:sz="0" w:space="0" w:color="auto"/>
          </w:divBdr>
        </w:div>
        <w:div w:id="2057512288">
          <w:marLeft w:val="640"/>
          <w:marRight w:val="0"/>
          <w:marTop w:val="0"/>
          <w:marBottom w:val="0"/>
          <w:divBdr>
            <w:top w:val="none" w:sz="0" w:space="0" w:color="auto"/>
            <w:left w:val="none" w:sz="0" w:space="0" w:color="auto"/>
            <w:bottom w:val="none" w:sz="0" w:space="0" w:color="auto"/>
            <w:right w:val="none" w:sz="0" w:space="0" w:color="auto"/>
          </w:divBdr>
        </w:div>
        <w:div w:id="2106997115">
          <w:marLeft w:val="640"/>
          <w:marRight w:val="0"/>
          <w:marTop w:val="0"/>
          <w:marBottom w:val="0"/>
          <w:divBdr>
            <w:top w:val="none" w:sz="0" w:space="0" w:color="auto"/>
            <w:left w:val="none" w:sz="0" w:space="0" w:color="auto"/>
            <w:bottom w:val="none" w:sz="0" w:space="0" w:color="auto"/>
            <w:right w:val="none" w:sz="0" w:space="0" w:color="auto"/>
          </w:divBdr>
        </w:div>
      </w:divsChild>
    </w:div>
    <w:div w:id="1293747318">
      <w:bodyDiv w:val="1"/>
      <w:marLeft w:val="0"/>
      <w:marRight w:val="0"/>
      <w:marTop w:val="0"/>
      <w:marBottom w:val="0"/>
      <w:divBdr>
        <w:top w:val="none" w:sz="0" w:space="0" w:color="auto"/>
        <w:left w:val="none" w:sz="0" w:space="0" w:color="auto"/>
        <w:bottom w:val="none" w:sz="0" w:space="0" w:color="auto"/>
        <w:right w:val="none" w:sz="0" w:space="0" w:color="auto"/>
      </w:divBdr>
      <w:divsChild>
        <w:div w:id="51933186">
          <w:marLeft w:val="640"/>
          <w:marRight w:val="0"/>
          <w:marTop w:val="0"/>
          <w:marBottom w:val="0"/>
          <w:divBdr>
            <w:top w:val="none" w:sz="0" w:space="0" w:color="auto"/>
            <w:left w:val="none" w:sz="0" w:space="0" w:color="auto"/>
            <w:bottom w:val="none" w:sz="0" w:space="0" w:color="auto"/>
            <w:right w:val="none" w:sz="0" w:space="0" w:color="auto"/>
          </w:divBdr>
        </w:div>
        <w:div w:id="108935676">
          <w:marLeft w:val="640"/>
          <w:marRight w:val="0"/>
          <w:marTop w:val="0"/>
          <w:marBottom w:val="0"/>
          <w:divBdr>
            <w:top w:val="none" w:sz="0" w:space="0" w:color="auto"/>
            <w:left w:val="none" w:sz="0" w:space="0" w:color="auto"/>
            <w:bottom w:val="none" w:sz="0" w:space="0" w:color="auto"/>
            <w:right w:val="none" w:sz="0" w:space="0" w:color="auto"/>
          </w:divBdr>
        </w:div>
        <w:div w:id="122041338">
          <w:marLeft w:val="640"/>
          <w:marRight w:val="0"/>
          <w:marTop w:val="0"/>
          <w:marBottom w:val="0"/>
          <w:divBdr>
            <w:top w:val="none" w:sz="0" w:space="0" w:color="auto"/>
            <w:left w:val="none" w:sz="0" w:space="0" w:color="auto"/>
            <w:bottom w:val="none" w:sz="0" w:space="0" w:color="auto"/>
            <w:right w:val="none" w:sz="0" w:space="0" w:color="auto"/>
          </w:divBdr>
        </w:div>
        <w:div w:id="129983212">
          <w:marLeft w:val="640"/>
          <w:marRight w:val="0"/>
          <w:marTop w:val="0"/>
          <w:marBottom w:val="0"/>
          <w:divBdr>
            <w:top w:val="none" w:sz="0" w:space="0" w:color="auto"/>
            <w:left w:val="none" w:sz="0" w:space="0" w:color="auto"/>
            <w:bottom w:val="none" w:sz="0" w:space="0" w:color="auto"/>
            <w:right w:val="none" w:sz="0" w:space="0" w:color="auto"/>
          </w:divBdr>
        </w:div>
        <w:div w:id="143812366">
          <w:marLeft w:val="640"/>
          <w:marRight w:val="0"/>
          <w:marTop w:val="0"/>
          <w:marBottom w:val="0"/>
          <w:divBdr>
            <w:top w:val="none" w:sz="0" w:space="0" w:color="auto"/>
            <w:left w:val="none" w:sz="0" w:space="0" w:color="auto"/>
            <w:bottom w:val="none" w:sz="0" w:space="0" w:color="auto"/>
            <w:right w:val="none" w:sz="0" w:space="0" w:color="auto"/>
          </w:divBdr>
        </w:div>
        <w:div w:id="153111613">
          <w:marLeft w:val="640"/>
          <w:marRight w:val="0"/>
          <w:marTop w:val="0"/>
          <w:marBottom w:val="0"/>
          <w:divBdr>
            <w:top w:val="none" w:sz="0" w:space="0" w:color="auto"/>
            <w:left w:val="none" w:sz="0" w:space="0" w:color="auto"/>
            <w:bottom w:val="none" w:sz="0" w:space="0" w:color="auto"/>
            <w:right w:val="none" w:sz="0" w:space="0" w:color="auto"/>
          </w:divBdr>
        </w:div>
        <w:div w:id="161823779">
          <w:marLeft w:val="640"/>
          <w:marRight w:val="0"/>
          <w:marTop w:val="0"/>
          <w:marBottom w:val="0"/>
          <w:divBdr>
            <w:top w:val="none" w:sz="0" w:space="0" w:color="auto"/>
            <w:left w:val="none" w:sz="0" w:space="0" w:color="auto"/>
            <w:bottom w:val="none" w:sz="0" w:space="0" w:color="auto"/>
            <w:right w:val="none" w:sz="0" w:space="0" w:color="auto"/>
          </w:divBdr>
        </w:div>
        <w:div w:id="187791004">
          <w:marLeft w:val="640"/>
          <w:marRight w:val="0"/>
          <w:marTop w:val="0"/>
          <w:marBottom w:val="0"/>
          <w:divBdr>
            <w:top w:val="none" w:sz="0" w:space="0" w:color="auto"/>
            <w:left w:val="none" w:sz="0" w:space="0" w:color="auto"/>
            <w:bottom w:val="none" w:sz="0" w:space="0" w:color="auto"/>
            <w:right w:val="none" w:sz="0" w:space="0" w:color="auto"/>
          </w:divBdr>
        </w:div>
        <w:div w:id="203446815">
          <w:marLeft w:val="640"/>
          <w:marRight w:val="0"/>
          <w:marTop w:val="0"/>
          <w:marBottom w:val="0"/>
          <w:divBdr>
            <w:top w:val="none" w:sz="0" w:space="0" w:color="auto"/>
            <w:left w:val="none" w:sz="0" w:space="0" w:color="auto"/>
            <w:bottom w:val="none" w:sz="0" w:space="0" w:color="auto"/>
            <w:right w:val="none" w:sz="0" w:space="0" w:color="auto"/>
          </w:divBdr>
        </w:div>
        <w:div w:id="278295042">
          <w:marLeft w:val="640"/>
          <w:marRight w:val="0"/>
          <w:marTop w:val="0"/>
          <w:marBottom w:val="0"/>
          <w:divBdr>
            <w:top w:val="none" w:sz="0" w:space="0" w:color="auto"/>
            <w:left w:val="none" w:sz="0" w:space="0" w:color="auto"/>
            <w:bottom w:val="none" w:sz="0" w:space="0" w:color="auto"/>
            <w:right w:val="none" w:sz="0" w:space="0" w:color="auto"/>
          </w:divBdr>
        </w:div>
        <w:div w:id="332807994">
          <w:marLeft w:val="640"/>
          <w:marRight w:val="0"/>
          <w:marTop w:val="0"/>
          <w:marBottom w:val="0"/>
          <w:divBdr>
            <w:top w:val="none" w:sz="0" w:space="0" w:color="auto"/>
            <w:left w:val="none" w:sz="0" w:space="0" w:color="auto"/>
            <w:bottom w:val="none" w:sz="0" w:space="0" w:color="auto"/>
            <w:right w:val="none" w:sz="0" w:space="0" w:color="auto"/>
          </w:divBdr>
        </w:div>
        <w:div w:id="355891367">
          <w:marLeft w:val="640"/>
          <w:marRight w:val="0"/>
          <w:marTop w:val="0"/>
          <w:marBottom w:val="0"/>
          <w:divBdr>
            <w:top w:val="none" w:sz="0" w:space="0" w:color="auto"/>
            <w:left w:val="none" w:sz="0" w:space="0" w:color="auto"/>
            <w:bottom w:val="none" w:sz="0" w:space="0" w:color="auto"/>
            <w:right w:val="none" w:sz="0" w:space="0" w:color="auto"/>
          </w:divBdr>
        </w:div>
        <w:div w:id="402920565">
          <w:marLeft w:val="640"/>
          <w:marRight w:val="0"/>
          <w:marTop w:val="0"/>
          <w:marBottom w:val="0"/>
          <w:divBdr>
            <w:top w:val="none" w:sz="0" w:space="0" w:color="auto"/>
            <w:left w:val="none" w:sz="0" w:space="0" w:color="auto"/>
            <w:bottom w:val="none" w:sz="0" w:space="0" w:color="auto"/>
            <w:right w:val="none" w:sz="0" w:space="0" w:color="auto"/>
          </w:divBdr>
        </w:div>
        <w:div w:id="421414776">
          <w:marLeft w:val="640"/>
          <w:marRight w:val="0"/>
          <w:marTop w:val="0"/>
          <w:marBottom w:val="0"/>
          <w:divBdr>
            <w:top w:val="none" w:sz="0" w:space="0" w:color="auto"/>
            <w:left w:val="none" w:sz="0" w:space="0" w:color="auto"/>
            <w:bottom w:val="none" w:sz="0" w:space="0" w:color="auto"/>
            <w:right w:val="none" w:sz="0" w:space="0" w:color="auto"/>
          </w:divBdr>
        </w:div>
        <w:div w:id="429204357">
          <w:marLeft w:val="640"/>
          <w:marRight w:val="0"/>
          <w:marTop w:val="0"/>
          <w:marBottom w:val="0"/>
          <w:divBdr>
            <w:top w:val="none" w:sz="0" w:space="0" w:color="auto"/>
            <w:left w:val="none" w:sz="0" w:space="0" w:color="auto"/>
            <w:bottom w:val="none" w:sz="0" w:space="0" w:color="auto"/>
            <w:right w:val="none" w:sz="0" w:space="0" w:color="auto"/>
          </w:divBdr>
        </w:div>
        <w:div w:id="448011954">
          <w:marLeft w:val="640"/>
          <w:marRight w:val="0"/>
          <w:marTop w:val="0"/>
          <w:marBottom w:val="0"/>
          <w:divBdr>
            <w:top w:val="none" w:sz="0" w:space="0" w:color="auto"/>
            <w:left w:val="none" w:sz="0" w:space="0" w:color="auto"/>
            <w:bottom w:val="none" w:sz="0" w:space="0" w:color="auto"/>
            <w:right w:val="none" w:sz="0" w:space="0" w:color="auto"/>
          </w:divBdr>
        </w:div>
        <w:div w:id="460854127">
          <w:marLeft w:val="640"/>
          <w:marRight w:val="0"/>
          <w:marTop w:val="0"/>
          <w:marBottom w:val="0"/>
          <w:divBdr>
            <w:top w:val="none" w:sz="0" w:space="0" w:color="auto"/>
            <w:left w:val="none" w:sz="0" w:space="0" w:color="auto"/>
            <w:bottom w:val="none" w:sz="0" w:space="0" w:color="auto"/>
            <w:right w:val="none" w:sz="0" w:space="0" w:color="auto"/>
          </w:divBdr>
        </w:div>
        <w:div w:id="532693398">
          <w:marLeft w:val="640"/>
          <w:marRight w:val="0"/>
          <w:marTop w:val="0"/>
          <w:marBottom w:val="0"/>
          <w:divBdr>
            <w:top w:val="none" w:sz="0" w:space="0" w:color="auto"/>
            <w:left w:val="none" w:sz="0" w:space="0" w:color="auto"/>
            <w:bottom w:val="none" w:sz="0" w:space="0" w:color="auto"/>
            <w:right w:val="none" w:sz="0" w:space="0" w:color="auto"/>
          </w:divBdr>
        </w:div>
        <w:div w:id="535429977">
          <w:marLeft w:val="640"/>
          <w:marRight w:val="0"/>
          <w:marTop w:val="0"/>
          <w:marBottom w:val="0"/>
          <w:divBdr>
            <w:top w:val="none" w:sz="0" w:space="0" w:color="auto"/>
            <w:left w:val="none" w:sz="0" w:space="0" w:color="auto"/>
            <w:bottom w:val="none" w:sz="0" w:space="0" w:color="auto"/>
            <w:right w:val="none" w:sz="0" w:space="0" w:color="auto"/>
          </w:divBdr>
        </w:div>
        <w:div w:id="556093379">
          <w:marLeft w:val="640"/>
          <w:marRight w:val="0"/>
          <w:marTop w:val="0"/>
          <w:marBottom w:val="0"/>
          <w:divBdr>
            <w:top w:val="none" w:sz="0" w:space="0" w:color="auto"/>
            <w:left w:val="none" w:sz="0" w:space="0" w:color="auto"/>
            <w:bottom w:val="none" w:sz="0" w:space="0" w:color="auto"/>
            <w:right w:val="none" w:sz="0" w:space="0" w:color="auto"/>
          </w:divBdr>
        </w:div>
        <w:div w:id="601183508">
          <w:marLeft w:val="640"/>
          <w:marRight w:val="0"/>
          <w:marTop w:val="0"/>
          <w:marBottom w:val="0"/>
          <w:divBdr>
            <w:top w:val="none" w:sz="0" w:space="0" w:color="auto"/>
            <w:left w:val="none" w:sz="0" w:space="0" w:color="auto"/>
            <w:bottom w:val="none" w:sz="0" w:space="0" w:color="auto"/>
            <w:right w:val="none" w:sz="0" w:space="0" w:color="auto"/>
          </w:divBdr>
        </w:div>
        <w:div w:id="624848184">
          <w:marLeft w:val="640"/>
          <w:marRight w:val="0"/>
          <w:marTop w:val="0"/>
          <w:marBottom w:val="0"/>
          <w:divBdr>
            <w:top w:val="none" w:sz="0" w:space="0" w:color="auto"/>
            <w:left w:val="none" w:sz="0" w:space="0" w:color="auto"/>
            <w:bottom w:val="none" w:sz="0" w:space="0" w:color="auto"/>
            <w:right w:val="none" w:sz="0" w:space="0" w:color="auto"/>
          </w:divBdr>
        </w:div>
        <w:div w:id="642738762">
          <w:marLeft w:val="640"/>
          <w:marRight w:val="0"/>
          <w:marTop w:val="0"/>
          <w:marBottom w:val="0"/>
          <w:divBdr>
            <w:top w:val="none" w:sz="0" w:space="0" w:color="auto"/>
            <w:left w:val="none" w:sz="0" w:space="0" w:color="auto"/>
            <w:bottom w:val="none" w:sz="0" w:space="0" w:color="auto"/>
            <w:right w:val="none" w:sz="0" w:space="0" w:color="auto"/>
          </w:divBdr>
        </w:div>
        <w:div w:id="728067383">
          <w:marLeft w:val="640"/>
          <w:marRight w:val="0"/>
          <w:marTop w:val="0"/>
          <w:marBottom w:val="0"/>
          <w:divBdr>
            <w:top w:val="none" w:sz="0" w:space="0" w:color="auto"/>
            <w:left w:val="none" w:sz="0" w:space="0" w:color="auto"/>
            <w:bottom w:val="none" w:sz="0" w:space="0" w:color="auto"/>
            <w:right w:val="none" w:sz="0" w:space="0" w:color="auto"/>
          </w:divBdr>
        </w:div>
        <w:div w:id="790319746">
          <w:marLeft w:val="640"/>
          <w:marRight w:val="0"/>
          <w:marTop w:val="0"/>
          <w:marBottom w:val="0"/>
          <w:divBdr>
            <w:top w:val="none" w:sz="0" w:space="0" w:color="auto"/>
            <w:left w:val="none" w:sz="0" w:space="0" w:color="auto"/>
            <w:bottom w:val="none" w:sz="0" w:space="0" w:color="auto"/>
            <w:right w:val="none" w:sz="0" w:space="0" w:color="auto"/>
          </w:divBdr>
        </w:div>
        <w:div w:id="798765475">
          <w:marLeft w:val="640"/>
          <w:marRight w:val="0"/>
          <w:marTop w:val="0"/>
          <w:marBottom w:val="0"/>
          <w:divBdr>
            <w:top w:val="none" w:sz="0" w:space="0" w:color="auto"/>
            <w:left w:val="none" w:sz="0" w:space="0" w:color="auto"/>
            <w:bottom w:val="none" w:sz="0" w:space="0" w:color="auto"/>
            <w:right w:val="none" w:sz="0" w:space="0" w:color="auto"/>
          </w:divBdr>
        </w:div>
        <w:div w:id="808597293">
          <w:marLeft w:val="640"/>
          <w:marRight w:val="0"/>
          <w:marTop w:val="0"/>
          <w:marBottom w:val="0"/>
          <w:divBdr>
            <w:top w:val="none" w:sz="0" w:space="0" w:color="auto"/>
            <w:left w:val="none" w:sz="0" w:space="0" w:color="auto"/>
            <w:bottom w:val="none" w:sz="0" w:space="0" w:color="auto"/>
            <w:right w:val="none" w:sz="0" w:space="0" w:color="auto"/>
          </w:divBdr>
        </w:div>
        <w:div w:id="818688530">
          <w:marLeft w:val="640"/>
          <w:marRight w:val="0"/>
          <w:marTop w:val="0"/>
          <w:marBottom w:val="0"/>
          <w:divBdr>
            <w:top w:val="none" w:sz="0" w:space="0" w:color="auto"/>
            <w:left w:val="none" w:sz="0" w:space="0" w:color="auto"/>
            <w:bottom w:val="none" w:sz="0" w:space="0" w:color="auto"/>
            <w:right w:val="none" w:sz="0" w:space="0" w:color="auto"/>
          </w:divBdr>
        </w:div>
        <w:div w:id="820342352">
          <w:marLeft w:val="640"/>
          <w:marRight w:val="0"/>
          <w:marTop w:val="0"/>
          <w:marBottom w:val="0"/>
          <w:divBdr>
            <w:top w:val="none" w:sz="0" w:space="0" w:color="auto"/>
            <w:left w:val="none" w:sz="0" w:space="0" w:color="auto"/>
            <w:bottom w:val="none" w:sz="0" w:space="0" w:color="auto"/>
            <w:right w:val="none" w:sz="0" w:space="0" w:color="auto"/>
          </w:divBdr>
        </w:div>
        <w:div w:id="880556534">
          <w:marLeft w:val="640"/>
          <w:marRight w:val="0"/>
          <w:marTop w:val="0"/>
          <w:marBottom w:val="0"/>
          <w:divBdr>
            <w:top w:val="none" w:sz="0" w:space="0" w:color="auto"/>
            <w:left w:val="none" w:sz="0" w:space="0" w:color="auto"/>
            <w:bottom w:val="none" w:sz="0" w:space="0" w:color="auto"/>
            <w:right w:val="none" w:sz="0" w:space="0" w:color="auto"/>
          </w:divBdr>
        </w:div>
        <w:div w:id="932589930">
          <w:marLeft w:val="640"/>
          <w:marRight w:val="0"/>
          <w:marTop w:val="0"/>
          <w:marBottom w:val="0"/>
          <w:divBdr>
            <w:top w:val="none" w:sz="0" w:space="0" w:color="auto"/>
            <w:left w:val="none" w:sz="0" w:space="0" w:color="auto"/>
            <w:bottom w:val="none" w:sz="0" w:space="0" w:color="auto"/>
            <w:right w:val="none" w:sz="0" w:space="0" w:color="auto"/>
          </w:divBdr>
        </w:div>
        <w:div w:id="967667036">
          <w:marLeft w:val="640"/>
          <w:marRight w:val="0"/>
          <w:marTop w:val="0"/>
          <w:marBottom w:val="0"/>
          <w:divBdr>
            <w:top w:val="none" w:sz="0" w:space="0" w:color="auto"/>
            <w:left w:val="none" w:sz="0" w:space="0" w:color="auto"/>
            <w:bottom w:val="none" w:sz="0" w:space="0" w:color="auto"/>
            <w:right w:val="none" w:sz="0" w:space="0" w:color="auto"/>
          </w:divBdr>
        </w:div>
        <w:div w:id="972178584">
          <w:marLeft w:val="640"/>
          <w:marRight w:val="0"/>
          <w:marTop w:val="0"/>
          <w:marBottom w:val="0"/>
          <w:divBdr>
            <w:top w:val="none" w:sz="0" w:space="0" w:color="auto"/>
            <w:left w:val="none" w:sz="0" w:space="0" w:color="auto"/>
            <w:bottom w:val="none" w:sz="0" w:space="0" w:color="auto"/>
            <w:right w:val="none" w:sz="0" w:space="0" w:color="auto"/>
          </w:divBdr>
        </w:div>
        <w:div w:id="988243511">
          <w:marLeft w:val="640"/>
          <w:marRight w:val="0"/>
          <w:marTop w:val="0"/>
          <w:marBottom w:val="0"/>
          <w:divBdr>
            <w:top w:val="none" w:sz="0" w:space="0" w:color="auto"/>
            <w:left w:val="none" w:sz="0" w:space="0" w:color="auto"/>
            <w:bottom w:val="none" w:sz="0" w:space="0" w:color="auto"/>
            <w:right w:val="none" w:sz="0" w:space="0" w:color="auto"/>
          </w:divBdr>
        </w:div>
        <w:div w:id="1010638690">
          <w:marLeft w:val="640"/>
          <w:marRight w:val="0"/>
          <w:marTop w:val="0"/>
          <w:marBottom w:val="0"/>
          <w:divBdr>
            <w:top w:val="none" w:sz="0" w:space="0" w:color="auto"/>
            <w:left w:val="none" w:sz="0" w:space="0" w:color="auto"/>
            <w:bottom w:val="none" w:sz="0" w:space="0" w:color="auto"/>
            <w:right w:val="none" w:sz="0" w:space="0" w:color="auto"/>
          </w:divBdr>
        </w:div>
        <w:div w:id="1078752818">
          <w:marLeft w:val="640"/>
          <w:marRight w:val="0"/>
          <w:marTop w:val="0"/>
          <w:marBottom w:val="0"/>
          <w:divBdr>
            <w:top w:val="none" w:sz="0" w:space="0" w:color="auto"/>
            <w:left w:val="none" w:sz="0" w:space="0" w:color="auto"/>
            <w:bottom w:val="none" w:sz="0" w:space="0" w:color="auto"/>
            <w:right w:val="none" w:sz="0" w:space="0" w:color="auto"/>
          </w:divBdr>
        </w:div>
        <w:div w:id="1103693712">
          <w:marLeft w:val="640"/>
          <w:marRight w:val="0"/>
          <w:marTop w:val="0"/>
          <w:marBottom w:val="0"/>
          <w:divBdr>
            <w:top w:val="none" w:sz="0" w:space="0" w:color="auto"/>
            <w:left w:val="none" w:sz="0" w:space="0" w:color="auto"/>
            <w:bottom w:val="none" w:sz="0" w:space="0" w:color="auto"/>
            <w:right w:val="none" w:sz="0" w:space="0" w:color="auto"/>
          </w:divBdr>
        </w:div>
        <w:div w:id="1146318371">
          <w:marLeft w:val="640"/>
          <w:marRight w:val="0"/>
          <w:marTop w:val="0"/>
          <w:marBottom w:val="0"/>
          <w:divBdr>
            <w:top w:val="none" w:sz="0" w:space="0" w:color="auto"/>
            <w:left w:val="none" w:sz="0" w:space="0" w:color="auto"/>
            <w:bottom w:val="none" w:sz="0" w:space="0" w:color="auto"/>
            <w:right w:val="none" w:sz="0" w:space="0" w:color="auto"/>
          </w:divBdr>
        </w:div>
        <w:div w:id="1262760139">
          <w:marLeft w:val="640"/>
          <w:marRight w:val="0"/>
          <w:marTop w:val="0"/>
          <w:marBottom w:val="0"/>
          <w:divBdr>
            <w:top w:val="none" w:sz="0" w:space="0" w:color="auto"/>
            <w:left w:val="none" w:sz="0" w:space="0" w:color="auto"/>
            <w:bottom w:val="none" w:sz="0" w:space="0" w:color="auto"/>
            <w:right w:val="none" w:sz="0" w:space="0" w:color="auto"/>
          </w:divBdr>
        </w:div>
        <w:div w:id="1263420628">
          <w:marLeft w:val="640"/>
          <w:marRight w:val="0"/>
          <w:marTop w:val="0"/>
          <w:marBottom w:val="0"/>
          <w:divBdr>
            <w:top w:val="none" w:sz="0" w:space="0" w:color="auto"/>
            <w:left w:val="none" w:sz="0" w:space="0" w:color="auto"/>
            <w:bottom w:val="none" w:sz="0" w:space="0" w:color="auto"/>
            <w:right w:val="none" w:sz="0" w:space="0" w:color="auto"/>
          </w:divBdr>
        </w:div>
        <w:div w:id="1326975170">
          <w:marLeft w:val="640"/>
          <w:marRight w:val="0"/>
          <w:marTop w:val="0"/>
          <w:marBottom w:val="0"/>
          <w:divBdr>
            <w:top w:val="none" w:sz="0" w:space="0" w:color="auto"/>
            <w:left w:val="none" w:sz="0" w:space="0" w:color="auto"/>
            <w:bottom w:val="none" w:sz="0" w:space="0" w:color="auto"/>
            <w:right w:val="none" w:sz="0" w:space="0" w:color="auto"/>
          </w:divBdr>
        </w:div>
        <w:div w:id="1327898973">
          <w:marLeft w:val="640"/>
          <w:marRight w:val="0"/>
          <w:marTop w:val="0"/>
          <w:marBottom w:val="0"/>
          <w:divBdr>
            <w:top w:val="none" w:sz="0" w:space="0" w:color="auto"/>
            <w:left w:val="none" w:sz="0" w:space="0" w:color="auto"/>
            <w:bottom w:val="none" w:sz="0" w:space="0" w:color="auto"/>
            <w:right w:val="none" w:sz="0" w:space="0" w:color="auto"/>
          </w:divBdr>
        </w:div>
        <w:div w:id="1330867231">
          <w:marLeft w:val="640"/>
          <w:marRight w:val="0"/>
          <w:marTop w:val="0"/>
          <w:marBottom w:val="0"/>
          <w:divBdr>
            <w:top w:val="none" w:sz="0" w:space="0" w:color="auto"/>
            <w:left w:val="none" w:sz="0" w:space="0" w:color="auto"/>
            <w:bottom w:val="none" w:sz="0" w:space="0" w:color="auto"/>
            <w:right w:val="none" w:sz="0" w:space="0" w:color="auto"/>
          </w:divBdr>
        </w:div>
        <w:div w:id="1351420510">
          <w:marLeft w:val="640"/>
          <w:marRight w:val="0"/>
          <w:marTop w:val="0"/>
          <w:marBottom w:val="0"/>
          <w:divBdr>
            <w:top w:val="none" w:sz="0" w:space="0" w:color="auto"/>
            <w:left w:val="none" w:sz="0" w:space="0" w:color="auto"/>
            <w:bottom w:val="none" w:sz="0" w:space="0" w:color="auto"/>
            <w:right w:val="none" w:sz="0" w:space="0" w:color="auto"/>
          </w:divBdr>
        </w:div>
        <w:div w:id="1371497816">
          <w:marLeft w:val="640"/>
          <w:marRight w:val="0"/>
          <w:marTop w:val="0"/>
          <w:marBottom w:val="0"/>
          <w:divBdr>
            <w:top w:val="none" w:sz="0" w:space="0" w:color="auto"/>
            <w:left w:val="none" w:sz="0" w:space="0" w:color="auto"/>
            <w:bottom w:val="none" w:sz="0" w:space="0" w:color="auto"/>
            <w:right w:val="none" w:sz="0" w:space="0" w:color="auto"/>
          </w:divBdr>
        </w:div>
        <w:div w:id="1401488740">
          <w:marLeft w:val="640"/>
          <w:marRight w:val="0"/>
          <w:marTop w:val="0"/>
          <w:marBottom w:val="0"/>
          <w:divBdr>
            <w:top w:val="none" w:sz="0" w:space="0" w:color="auto"/>
            <w:left w:val="none" w:sz="0" w:space="0" w:color="auto"/>
            <w:bottom w:val="none" w:sz="0" w:space="0" w:color="auto"/>
            <w:right w:val="none" w:sz="0" w:space="0" w:color="auto"/>
          </w:divBdr>
        </w:div>
        <w:div w:id="1434323528">
          <w:marLeft w:val="640"/>
          <w:marRight w:val="0"/>
          <w:marTop w:val="0"/>
          <w:marBottom w:val="0"/>
          <w:divBdr>
            <w:top w:val="none" w:sz="0" w:space="0" w:color="auto"/>
            <w:left w:val="none" w:sz="0" w:space="0" w:color="auto"/>
            <w:bottom w:val="none" w:sz="0" w:space="0" w:color="auto"/>
            <w:right w:val="none" w:sz="0" w:space="0" w:color="auto"/>
          </w:divBdr>
        </w:div>
        <w:div w:id="1557357322">
          <w:marLeft w:val="640"/>
          <w:marRight w:val="0"/>
          <w:marTop w:val="0"/>
          <w:marBottom w:val="0"/>
          <w:divBdr>
            <w:top w:val="none" w:sz="0" w:space="0" w:color="auto"/>
            <w:left w:val="none" w:sz="0" w:space="0" w:color="auto"/>
            <w:bottom w:val="none" w:sz="0" w:space="0" w:color="auto"/>
            <w:right w:val="none" w:sz="0" w:space="0" w:color="auto"/>
          </w:divBdr>
        </w:div>
        <w:div w:id="1607882646">
          <w:marLeft w:val="640"/>
          <w:marRight w:val="0"/>
          <w:marTop w:val="0"/>
          <w:marBottom w:val="0"/>
          <w:divBdr>
            <w:top w:val="none" w:sz="0" w:space="0" w:color="auto"/>
            <w:left w:val="none" w:sz="0" w:space="0" w:color="auto"/>
            <w:bottom w:val="none" w:sz="0" w:space="0" w:color="auto"/>
            <w:right w:val="none" w:sz="0" w:space="0" w:color="auto"/>
          </w:divBdr>
        </w:div>
        <w:div w:id="1616978888">
          <w:marLeft w:val="640"/>
          <w:marRight w:val="0"/>
          <w:marTop w:val="0"/>
          <w:marBottom w:val="0"/>
          <w:divBdr>
            <w:top w:val="none" w:sz="0" w:space="0" w:color="auto"/>
            <w:left w:val="none" w:sz="0" w:space="0" w:color="auto"/>
            <w:bottom w:val="none" w:sz="0" w:space="0" w:color="auto"/>
            <w:right w:val="none" w:sz="0" w:space="0" w:color="auto"/>
          </w:divBdr>
        </w:div>
        <w:div w:id="1627739305">
          <w:marLeft w:val="640"/>
          <w:marRight w:val="0"/>
          <w:marTop w:val="0"/>
          <w:marBottom w:val="0"/>
          <w:divBdr>
            <w:top w:val="none" w:sz="0" w:space="0" w:color="auto"/>
            <w:left w:val="none" w:sz="0" w:space="0" w:color="auto"/>
            <w:bottom w:val="none" w:sz="0" w:space="0" w:color="auto"/>
            <w:right w:val="none" w:sz="0" w:space="0" w:color="auto"/>
          </w:divBdr>
        </w:div>
        <w:div w:id="1638759514">
          <w:marLeft w:val="640"/>
          <w:marRight w:val="0"/>
          <w:marTop w:val="0"/>
          <w:marBottom w:val="0"/>
          <w:divBdr>
            <w:top w:val="none" w:sz="0" w:space="0" w:color="auto"/>
            <w:left w:val="none" w:sz="0" w:space="0" w:color="auto"/>
            <w:bottom w:val="none" w:sz="0" w:space="0" w:color="auto"/>
            <w:right w:val="none" w:sz="0" w:space="0" w:color="auto"/>
          </w:divBdr>
        </w:div>
        <w:div w:id="1711150069">
          <w:marLeft w:val="640"/>
          <w:marRight w:val="0"/>
          <w:marTop w:val="0"/>
          <w:marBottom w:val="0"/>
          <w:divBdr>
            <w:top w:val="none" w:sz="0" w:space="0" w:color="auto"/>
            <w:left w:val="none" w:sz="0" w:space="0" w:color="auto"/>
            <w:bottom w:val="none" w:sz="0" w:space="0" w:color="auto"/>
            <w:right w:val="none" w:sz="0" w:space="0" w:color="auto"/>
          </w:divBdr>
        </w:div>
        <w:div w:id="1772315684">
          <w:marLeft w:val="640"/>
          <w:marRight w:val="0"/>
          <w:marTop w:val="0"/>
          <w:marBottom w:val="0"/>
          <w:divBdr>
            <w:top w:val="none" w:sz="0" w:space="0" w:color="auto"/>
            <w:left w:val="none" w:sz="0" w:space="0" w:color="auto"/>
            <w:bottom w:val="none" w:sz="0" w:space="0" w:color="auto"/>
            <w:right w:val="none" w:sz="0" w:space="0" w:color="auto"/>
          </w:divBdr>
        </w:div>
        <w:div w:id="1812477281">
          <w:marLeft w:val="640"/>
          <w:marRight w:val="0"/>
          <w:marTop w:val="0"/>
          <w:marBottom w:val="0"/>
          <w:divBdr>
            <w:top w:val="none" w:sz="0" w:space="0" w:color="auto"/>
            <w:left w:val="none" w:sz="0" w:space="0" w:color="auto"/>
            <w:bottom w:val="none" w:sz="0" w:space="0" w:color="auto"/>
            <w:right w:val="none" w:sz="0" w:space="0" w:color="auto"/>
          </w:divBdr>
        </w:div>
        <w:div w:id="1816028921">
          <w:marLeft w:val="640"/>
          <w:marRight w:val="0"/>
          <w:marTop w:val="0"/>
          <w:marBottom w:val="0"/>
          <w:divBdr>
            <w:top w:val="none" w:sz="0" w:space="0" w:color="auto"/>
            <w:left w:val="none" w:sz="0" w:space="0" w:color="auto"/>
            <w:bottom w:val="none" w:sz="0" w:space="0" w:color="auto"/>
            <w:right w:val="none" w:sz="0" w:space="0" w:color="auto"/>
          </w:divBdr>
        </w:div>
        <w:div w:id="1818455994">
          <w:marLeft w:val="640"/>
          <w:marRight w:val="0"/>
          <w:marTop w:val="0"/>
          <w:marBottom w:val="0"/>
          <w:divBdr>
            <w:top w:val="none" w:sz="0" w:space="0" w:color="auto"/>
            <w:left w:val="none" w:sz="0" w:space="0" w:color="auto"/>
            <w:bottom w:val="none" w:sz="0" w:space="0" w:color="auto"/>
            <w:right w:val="none" w:sz="0" w:space="0" w:color="auto"/>
          </w:divBdr>
        </w:div>
        <w:div w:id="1820612011">
          <w:marLeft w:val="640"/>
          <w:marRight w:val="0"/>
          <w:marTop w:val="0"/>
          <w:marBottom w:val="0"/>
          <w:divBdr>
            <w:top w:val="none" w:sz="0" w:space="0" w:color="auto"/>
            <w:left w:val="none" w:sz="0" w:space="0" w:color="auto"/>
            <w:bottom w:val="none" w:sz="0" w:space="0" w:color="auto"/>
            <w:right w:val="none" w:sz="0" w:space="0" w:color="auto"/>
          </w:divBdr>
        </w:div>
        <w:div w:id="1865091845">
          <w:marLeft w:val="640"/>
          <w:marRight w:val="0"/>
          <w:marTop w:val="0"/>
          <w:marBottom w:val="0"/>
          <w:divBdr>
            <w:top w:val="none" w:sz="0" w:space="0" w:color="auto"/>
            <w:left w:val="none" w:sz="0" w:space="0" w:color="auto"/>
            <w:bottom w:val="none" w:sz="0" w:space="0" w:color="auto"/>
            <w:right w:val="none" w:sz="0" w:space="0" w:color="auto"/>
          </w:divBdr>
        </w:div>
        <w:div w:id="1881816601">
          <w:marLeft w:val="640"/>
          <w:marRight w:val="0"/>
          <w:marTop w:val="0"/>
          <w:marBottom w:val="0"/>
          <w:divBdr>
            <w:top w:val="none" w:sz="0" w:space="0" w:color="auto"/>
            <w:left w:val="none" w:sz="0" w:space="0" w:color="auto"/>
            <w:bottom w:val="none" w:sz="0" w:space="0" w:color="auto"/>
            <w:right w:val="none" w:sz="0" w:space="0" w:color="auto"/>
          </w:divBdr>
        </w:div>
        <w:div w:id="1919555356">
          <w:marLeft w:val="640"/>
          <w:marRight w:val="0"/>
          <w:marTop w:val="0"/>
          <w:marBottom w:val="0"/>
          <w:divBdr>
            <w:top w:val="none" w:sz="0" w:space="0" w:color="auto"/>
            <w:left w:val="none" w:sz="0" w:space="0" w:color="auto"/>
            <w:bottom w:val="none" w:sz="0" w:space="0" w:color="auto"/>
            <w:right w:val="none" w:sz="0" w:space="0" w:color="auto"/>
          </w:divBdr>
        </w:div>
        <w:div w:id="1944994999">
          <w:marLeft w:val="640"/>
          <w:marRight w:val="0"/>
          <w:marTop w:val="0"/>
          <w:marBottom w:val="0"/>
          <w:divBdr>
            <w:top w:val="none" w:sz="0" w:space="0" w:color="auto"/>
            <w:left w:val="none" w:sz="0" w:space="0" w:color="auto"/>
            <w:bottom w:val="none" w:sz="0" w:space="0" w:color="auto"/>
            <w:right w:val="none" w:sz="0" w:space="0" w:color="auto"/>
          </w:divBdr>
        </w:div>
        <w:div w:id="1997220286">
          <w:marLeft w:val="640"/>
          <w:marRight w:val="0"/>
          <w:marTop w:val="0"/>
          <w:marBottom w:val="0"/>
          <w:divBdr>
            <w:top w:val="none" w:sz="0" w:space="0" w:color="auto"/>
            <w:left w:val="none" w:sz="0" w:space="0" w:color="auto"/>
            <w:bottom w:val="none" w:sz="0" w:space="0" w:color="auto"/>
            <w:right w:val="none" w:sz="0" w:space="0" w:color="auto"/>
          </w:divBdr>
        </w:div>
        <w:div w:id="2008365045">
          <w:marLeft w:val="640"/>
          <w:marRight w:val="0"/>
          <w:marTop w:val="0"/>
          <w:marBottom w:val="0"/>
          <w:divBdr>
            <w:top w:val="none" w:sz="0" w:space="0" w:color="auto"/>
            <w:left w:val="none" w:sz="0" w:space="0" w:color="auto"/>
            <w:bottom w:val="none" w:sz="0" w:space="0" w:color="auto"/>
            <w:right w:val="none" w:sz="0" w:space="0" w:color="auto"/>
          </w:divBdr>
        </w:div>
        <w:div w:id="2086417177">
          <w:marLeft w:val="640"/>
          <w:marRight w:val="0"/>
          <w:marTop w:val="0"/>
          <w:marBottom w:val="0"/>
          <w:divBdr>
            <w:top w:val="none" w:sz="0" w:space="0" w:color="auto"/>
            <w:left w:val="none" w:sz="0" w:space="0" w:color="auto"/>
            <w:bottom w:val="none" w:sz="0" w:space="0" w:color="auto"/>
            <w:right w:val="none" w:sz="0" w:space="0" w:color="auto"/>
          </w:divBdr>
        </w:div>
        <w:div w:id="2089765422">
          <w:marLeft w:val="640"/>
          <w:marRight w:val="0"/>
          <w:marTop w:val="0"/>
          <w:marBottom w:val="0"/>
          <w:divBdr>
            <w:top w:val="none" w:sz="0" w:space="0" w:color="auto"/>
            <w:left w:val="none" w:sz="0" w:space="0" w:color="auto"/>
            <w:bottom w:val="none" w:sz="0" w:space="0" w:color="auto"/>
            <w:right w:val="none" w:sz="0" w:space="0" w:color="auto"/>
          </w:divBdr>
        </w:div>
        <w:div w:id="2118136327">
          <w:marLeft w:val="640"/>
          <w:marRight w:val="0"/>
          <w:marTop w:val="0"/>
          <w:marBottom w:val="0"/>
          <w:divBdr>
            <w:top w:val="none" w:sz="0" w:space="0" w:color="auto"/>
            <w:left w:val="none" w:sz="0" w:space="0" w:color="auto"/>
            <w:bottom w:val="none" w:sz="0" w:space="0" w:color="auto"/>
            <w:right w:val="none" w:sz="0" w:space="0" w:color="auto"/>
          </w:divBdr>
        </w:div>
        <w:div w:id="2147039297">
          <w:marLeft w:val="640"/>
          <w:marRight w:val="0"/>
          <w:marTop w:val="0"/>
          <w:marBottom w:val="0"/>
          <w:divBdr>
            <w:top w:val="none" w:sz="0" w:space="0" w:color="auto"/>
            <w:left w:val="none" w:sz="0" w:space="0" w:color="auto"/>
            <w:bottom w:val="none" w:sz="0" w:space="0" w:color="auto"/>
            <w:right w:val="none" w:sz="0" w:space="0" w:color="auto"/>
          </w:divBdr>
        </w:div>
      </w:divsChild>
    </w:div>
    <w:div w:id="1320887927">
      <w:bodyDiv w:val="1"/>
      <w:marLeft w:val="0"/>
      <w:marRight w:val="0"/>
      <w:marTop w:val="0"/>
      <w:marBottom w:val="0"/>
      <w:divBdr>
        <w:top w:val="none" w:sz="0" w:space="0" w:color="auto"/>
        <w:left w:val="none" w:sz="0" w:space="0" w:color="auto"/>
        <w:bottom w:val="none" w:sz="0" w:space="0" w:color="auto"/>
        <w:right w:val="none" w:sz="0" w:space="0" w:color="auto"/>
      </w:divBdr>
      <w:divsChild>
        <w:div w:id="762341429">
          <w:marLeft w:val="480"/>
          <w:marRight w:val="0"/>
          <w:marTop w:val="0"/>
          <w:marBottom w:val="0"/>
          <w:divBdr>
            <w:top w:val="none" w:sz="0" w:space="0" w:color="auto"/>
            <w:left w:val="none" w:sz="0" w:space="0" w:color="auto"/>
            <w:bottom w:val="none" w:sz="0" w:space="0" w:color="auto"/>
            <w:right w:val="none" w:sz="0" w:space="0" w:color="auto"/>
          </w:divBdr>
        </w:div>
      </w:divsChild>
    </w:div>
    <w:div w:id="1326086649">
      <w:bodyDiv w:val="1"/>
      <w:marLeft w:val="0"/>
      <w:marRight w:val="0"/>
      <w:marTop w:val="0"/>
      <w:marBottom w:val="0"/>
      <w:divBdr>
        <w:top w:val="none" w:sz="0" w:space="0" w:color="auto"/>
        <w:left w:val="none" w:sz="0" w:space="0" w:color="auto"/>
        <w:bottom w:val="none" w:sz="0" w:space="0" w:color="auto"/>
        <w:right w:val="none" w:sz="0" w:space="0" w:color="auto"/>
      </w:divBdr>
      <w:divsChild>
        <w:div w:id="193083266">
          <w:marLeft w:val="480"/>
          <w:marRight w:val="0"/>
          <w:marTop w:val="0"/>
          <w:marBottom w:val="0"/>
          <w:divBdr>
            <w:top w:val="none" w:sz="0" w:space="0" w:color="auto"/>
            <w:left w:val="none" w:sz="0" w:space="0" w:color="auto"/>
            <w:bottom w:val="none" w:sz="0" w:space="0" w:color="auto"/>
            <w:right w:val="none" w:sz="0" w:space="0" w:color="auto"/>
          </w:divBdr>
        </w:div>
        <w:div w:id="256256614">
          <w:marLeft w:val="480"/>
          <w:marRight w:val="0"/>
          <w:marTop w:val="0"/>
          <w:marBottom w:val="0"/>
          <w:divBdr>
            <w:top w:val="none" w:sz="0" w:space="0" w:color="auto"/>
            <w:left w:val="none" w:sz="0" w:space="0" w:color="auto"/>
            <w:bottom w:val="none" w:sz="0" w:space="0" w:color="auto"/>
            <w:right w:val="none" w:sz="0" w:space="0" w:color="auto"/>
          </w:divBdr>
        </w:div>
        <w:div w:id="821041695">
          <w:marLeft w:val="480"/>
          <w:marRight w:val="0"/>
          <w:marTop w:val="0"/>
          <w:marBottom w:val="0"/>
          <w:divBdr>
            <w:top w:val="none" w:sz="0" w:space="0" w:color="auto"/>
            <w:left w:val="none" w:sz="0" w:space="0" w:color="auto"/>
            <w:bottom w:val="none" w:sz="0" w:space="0" w:color="auto"/>
            <w:right w:val="none" w:sz="0" w:space="0" w:color="auto"/>
          </w:divBdr>
        </w:div>
        <w:div w:id="669258073">
          <w:marLeft w:val="480"/>
          <w:marRight w:val="0"/>
          <w:marTop w:val="0"/>
          <w:marBottom w:val="0"/>
          <w:divBdr>
            <w:top w:val="none" w:sz="0" w:space="0" w:color="auto"/>
            <w:left w:val="none" w:sz="0" w:space="0" w:color="auto"/>
            <w:bottom w:val="none" w:sz="0" w:space="0" w:color="auto"/>
            <w:right w:val="none" w:sz="0" w:space="0" w:color="auto"/>
          </w:divBdr>
        </w:div>
        <w:div w:id="15891036">
          <w:marLeft w:val="480"/>
          <w:marRight w:val="0"/>
          <w:marTop w:val="0"/>
          <w:marBottom w:val="0"/>
          <w:divBdr>
            <w:top w:val="none" w:sz="0" w:space="0" w:color="auto"/>
            <w:left w:val="none" w:sz="0" w:space="0" w:color="auto"/>
            <w:bottom w:val="none" w:sz="0" w:space="0" w:color="auto"/>
            <w:right w:val="none" w:sz="0" w:space="0" w:color="auto"/>
          </w:divBdr>
        </w:div>
        <w:div w:id="1143035852">
          <w:marLeft w:val="480"/>
          <w:marRight w:val="0"/>
          <w:marTop w:val="0"/>
          <w:marBottom w:val="0"/>
          <w:divBdr>
            <w:top w:val="none" w:sz="0" w:space="0" w:color="auto"/>
            <w:left w:val="none" w:sz="0" w:space="0" w:color="auto"/>
            <w:bottom w:val="none" w:sz="0" w:space="0" w:color="auto"/>
            <w:right w:val="none" w:sz="0" w:space="0" w:color="auto"/>
          </w:divBdr>
        </w:div>
      </w:divsChild>
    </w:div>
    <w:div w:id="1330258108">
      <w:bodyDiv w:val="1"/>
      <w:marLeft w:val="0"/>
      <w:marRight w:val="0"/>
      <w:marTop w:val="0"/>
      <w:marBottom w:val="0"/>
      <w:divBdr>
        <w:top w:val="none" w:sz="0" w:space="0" w:color="auto"/>
        <w:left w:val="none" w:sz="0" w:space="0" w:color="auto"/>
        <w:bottom w:val="none" w:sz="0" w:space="0" w:color="auto"/>
        <w:right w:val="none" w:sz="0" w:space="0" w:color="auto"/>
      </w:divBdr>
      <w:divsChild>
        <w:div w:id="143277967">
          <w:marLeft w:val="480"/>
          <w:marRight w:val="0"/>
          <w:marTop w:val="0"/>
          <w:marBottom w:val="0"/>
          <w:divBdr>
            <w:top w:val="none" w:sz="0" w:space="0" w:color="auto"/>
            <w:left w:val="none" w:sz="0" w:space="0" w:color="auto"/>
            <w:bottom w:val="none" w:sz="0" w:space="0" w:color="auto"/>
            <w:right w:val="none" w:sz="0" w:space="0" w:color="auto"/>
          </w:divBdr>
        </w:div>
        <w:div w:id="1790853500">
          <w:marLeft w:val="480"/>
          <w:marRight w:val="0"/>
          <w:marTop w:val="0"/>
          <w:marBottom w:val="0"/>
          <w:divBdr>
            <w:top w:val="none" w:sz="0" w:space="0" w:color="auto"/>
            <w:left w:val="none" w:sz="0" w:space="0" w:color="auto"/>
            <w:bottom w:val="none" w:sz="0" w:space="0" w:color="auto"/>
            <w:right w:val="none" w:sz="0" w:space="0" w:color="auto"/>
          </w:divBdr>
        </w:div>
        <w:div w:id="1087729369">
          <w:marLeft w:val="480"/>
          <w:marRight w:val="0"/>
          <w:marTop w:val="0"/>
          <w:marBottom w:val="0"/>
          <w:divBdr>
            <w:top w:val="none" w:sz="0" w:space="0" w:color="auto"/>
            <w:left w:val="none" w:sz="0" w:space="0" w:color="auto"/>
            <w:bottom w:val="none" w:sz="0" w:space="0" w:color="auto"/>
            <w:right w:val="none" w:sz="0" w:space="0" w:color="auto"/>
          </w:divBdr>
        </w:div>
        <w:div w:id="637223369">
          <w:marLeft w:val="480"/>
          <w:marRight w:val="0"/>
          <w:marTop w:val="0"/>
          <w:marBottom w:val="0"/>
          <w:divBdr>
            <w:top w:val="none" w:sz="0" w:space="0" w:color="auto"/>
            <w:left w:val="none" w:sz="0" w:space="0" w:color="auto"/>
            <w:bottom w:val="none" w:sz="0" w:space="0" w:color="auto"/>
            <w:right w:val="none" w:sz="0" w:space="0" w:color="auto"/>
          </w:divBdr>
        </w:div>
        <w:div w:id="1738701915">
          <w:marLeft w:val="480"/>
          <w:marRight w:val="0"/>
          <w:marTop w:val="0"/>
          <w:marBottom w:val="0"/>
          <w:divBdr>
            <w:top w:val="none" w:sz="0" w:space="0" w:color="auto"/>
            <w:left w:val="none" w:sz="0" w:space="0" w:color="auto"/>
            <w:bottom w:val="none" w:sz="0" w:space="0" w:color="auto"/>
            <w:right w:val="none" w:sz="0" w:space="0" w:color="auto"/>
          </w:divBdr>
        </w:div>
        <w:div w:id="1328748713">
          <w:marLeft w:val="480"/>
          <w:marRight w:val="0"/>
          <w:marTop w:val="0"/>
          <w:marBottom w:val="0"/>
          <w:divBdr>
            <w:top w:val="none" w:sz="0" w:space="0" w:color="auto"/>
            <w:left w:val="none" w:sz="0" w:space="0" w:color="auto"/>
            <w:bottom w:val="none" w:sz="0" w:space="0" w:color="auto"/>
            <w:right w:val="none" w:sz="0" w:space="0" w:color="auto"/>
          </w:divBdr>
        </w:div>
        <w:div w:id="357439672">
          <w:marLeft w:val="480"/>
          <w:marRight w:val="0"/>
          <w:marTop w:val="0"/>
          <w:marBottom w:val="0"/>
          <w:divBdr>
            <w:top w:val="none" w:sz="0" w:space="0" w:color="auto"/>
            <w:left w:val="none" w:sz="0" w:space="0" w:color="auto"/>
            <w:bottom w:val="none" w:sz="0" w:space="0" w:color="auto"/>
            <w:right w:val="none" w:sz="0" w:space="0" w:color="auto"/>
          </w:divBdr>
        </w:div>
      </w:divsChild>
    </w:div>
    <w:div w:id="1331180353">
      <w:bodyDiv w:val="1"/>
      <w:marLeft w:val="0"/>
      <w:marRight w:val="0"/>
      <w:marTop w:val="0"/>
      <w:marBottom w:val="0"/>
      <w:divBdr>
        <w:top w:val="none" w:sz="0" w:space="0" w:color="auto"/>
        <w:left w:val="none" w:sz="0" w:space="0" w:color="auto"/>
        <w:bottom w:val="none" w:sz="0" w:space="0" w:color="auto"/>
        <w:right w:val="none" w:sz="0" w:space="0" w:color="auto"/>
      </w:divBdr>
      <w:divsChild>
        <w:div w:id="807623408">
          <w:marLeft w:val="0"/>
          <w:marRight w:val="0"/>
          <w:marTop w:val="0"/>
          <w:marBottom w:val="0"/>
          <w:divBdr>
            <w:top w:val="none" w:sz="0" w:space="0" w:color="auto"/>
            <w:left w:val="none" w:sz="0" w:space="0" w:color="auto"/>
            <w:bottom w:val="none" w:sz="0" w:space="0" w:color="auto"/>
            <w:right w:val="none" w:sz="0" w:space="0" w:color="auto"/>
          </w:divBdr>
          <w:divsChild>
            <w:div w:id="1131750894">
              <w:marLeft w:val="0"/>
              <w:marRight w:val="0"/>
              <w:marTop w:val="0"/>
              <w:marBottom w:val="0"/>
              <w:divBdr>
                <w:top w:val="none" w:sz="0" w:space="0" w:color="auto"/>
                <w:left w:val="none" w:sz="0" w:space="0" w:color="auto"/>
                <w:bottom w:val="none" w:sz="0" w:space="0" w:color="auto"/>
                <w:right w:val="none" w:sz="0" w:space="0" w:color="auto"/>
              </w:divBdr>
              <w:divsChild>
                <w:div w:id="6915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09304">
      <w:bodyDiv w:val="1"/>
      <w:marLeft w:val="0"/>
      <w:marRight w:val="0"/>
      <w:marTop w:val="0"/>
      <w:marBottom w:val="0"/>
      <w:divBdr>
        <w:top w:val="none" w:sz="0" w:space="0" w:color="auto"/>
        <w:left w:val="none" w:sz="0" w:space="0" w:color="auto"/>
        <w:bottom w:val="none" w:sz="0" w:space="0" w:color="auto"/>
        <w:right w:val="none" w:sz="0" w:space="0" w:color="auto"/>
      </w:divBdr>
    </w:div>
    <w:div w:id="1346901377">
      <w:bodyDiv w:val="1"/>
      <w:marLeft w:val="0"/>
      <w:marRight w:val="0"/>
      <w:marTop w:val="0"/>
      <w:marBottom w:val="0"/>
      <w:divBdr>
        <w:top w:val="none" w:sz="0" w:space="0" w:color="auto"/>
        <w:left w:val="none" w:sz="0" w:space="0" w:color="auto"/>
        <w:bottom w:val="none" w:sz="0" w:space="0" w:color="auto"/>
        <w:right w:val="none" w:sz="0" w:space="0" w:color="auto"/>
      </w:divBdr>
      <w:divsChild>
        <w:div w:id="732195928">
          <w:marLeft w:val="480"/>
          <w:marRight w:val="0"/>
          <w:marTop w:val="0"/>
          <w:marBottom w:val="0"/>
          <w:divBdr>
            <w:top w:val="none" w:sz="0" w:space="0" w:color="auto"/>
            <w:left w:val="none" w:sz="0" w:space="0" w:color="auto"/>
            <w:bottom w:val="none" w:sz="0" w:space="0" w:color="auto"/>
            <w:right w:val="none" w:sz="0" w:space="0" w:color="auto"/>
          </w:divBdr>
        </w:div>
        <w:div w:id="506947584">
          <w:marLeft w:val="480"/>
          <w:marRight w:val="0"/>
          <w:marTop w:val="0"/>
          <w:marBottom w:val="0"/>
          <w:divBdr>
            <w:top w:val="none" w:sz="0" w:space="0" w:color="auto"/>
            <w:left w:val="none" w:sz="0" w:space="0" w:color="auto"/>
            <w:bottom w:val="none" w:sz="0" w:space="0" w:color="auto"/>
            <w:right w:val="none" w:sz="0" w:space="0" w:color="auto"/>
          </w:divBdr>
        </w:div>
        <w:div w:id="1941715312">
          <w:marLeft w:val="480"/>
          <w:marRight w:val="0"/>
          <w:marTop w:val="0"/>
          <w:marBottom w:val="0"/>
          <w:divBdr>
            <w:top w:val="none" w:sz="0" w:space="0" w:color="auto"/>
            <w:left w:val="none" w:sz="0" w:space="0" w:color="auto"/>
            <w:bottom w:val="none" w:sz="0" w:space="0" w:color="auto"/>
            <w:right w:val="none" w:sz="0" w:space="0" w:color="auto"/>
          </w:divBdr>
        </w:div>
        <w:div w:id="462188479">
          <w:marLeft w:val="480"/>
          <w:marRight w:val="0"/>
          <w:marTop w:val="0"/>
          <w:marBottom w:val="0"/>
          <w:divBdr>
            <w:top w:val="none" w:sz="0" w:space="0" w:color="auto"/>
            <w:left w:val="none" w:sz="0" w:space="0" w:color="auto"/>
            <w:bottom w:val="none" w:sz="0" w:space="0" w:color="auto"/>
            <w:right w:val="none" w:sz="0" w:space="0" w:color="auto"/>
          </w:divBdr>
        </w:div>
        <w:div w:id="151258134">
          <w:marLeft w:val="480"/>
          <w:marRight w:val="0"/>
          <w:marTop w:val="0"/>
          <w:marBottom w:val="0"/>
          <w:divBdr>
            <w:top w:val="none" w:sz="0" w:space="0" w:color="auto"/>
            <w:left w:val="none" w:sz="0" w:space="0" w:color="auto"/>
            <w:bottom w:val="none" w:sz="0" w:space="0" w:color="auto"/>
            <w:right w:val="none" w:sz="0" w:space="0" w:color="auto"/>
          </w:divBdr>
        </w:div>
        <w:div w:id="1182354009">
          <w:marLeft w:val="480"/>
          <w:marRight w:val="0"/>
          <w:marTop w:val="0"/>
          <w:marBottom w:val="0"/>
          <w:divBdr>
            <w:top w:val="none" w:sz="0" w:space="0" w:color="auto"/>
            <w:left w:val="none" w:sz="0" w:space="0" w:color="auto"/>
            <w:bottom w:val="none" w:sz="0" w:space="0" w:color="auto"/>
            <w:right w:val="none" w:sz="0" w:space="0" w:color="auto"/>
          </w:divBdr>
        </w:div>
      </w:divsChild>
    </w:div>
    <w:div w:id="1370882891">
      <w:bodyDiv w:val="1"/>
      <w:marLeft w:val="0"/>
      <w:marRight w:val="0"/>
      <w:marTop w:val="0"/>
      <w:marBottom w:val="0"/>
      <w:divBdr>
        <w:top w:val="none" w:sz="0" w:space="0" w:color="auto"/>
        <w:left w:val="none" w:sz="0" w:space="0" w:color="auto"/>
        <w:bottom w:val="none" w:sz="0" w:space="0" w:color="auto"/>
        <w:right w:val="none" w:sz="0" w:space="0" w:color="auto"/>
      </w:divBdr>
    </w:div>
    <w:div w:id="1376271184">
      <w:bodyDiv w:val="1"/>
      <w:marLeft w:val="0"/>
      <w:marRight w:val="0"/>
      <w:marTop w:val="0"/>
      <w:marBottom w:val="0"/>
      <w:divBdr>
        <w:top w:val="none" w:sz="0" w:space="0" w:color="auto"/>
        <w:left w:val="none" w:sz="0" w:space="0" w:color="auto"/>
        <w:bottom w:val="none" w:sz="0" w:space="0" w:color="auto"/>
        <w:right w:val="none" w:sz="0" w:space="0" w:color="auto"/>
      </w:divBdr>
      <w:divsChild>
        <w:div w:id="43264270">
          <w:marLeft w:val="640"/>
          <w:marRight w:val="0"/>
          <w:marTop w:val="0"/>
          <w:marBottom w:val="0"/>
          <w:divBdr>
            <w:top w:val="none" w:sz="0" w:space="0" w:color="auto"/>
            <w:left w:val="none" w:sz="0" w:space="0" w:color="auto"/>
            <w:bottom w:val="none" w:sz="0" w:space="0" w:color="auto"/>
            <w:right w:val="none" w:sz="0" w:space="0" w:color="auto"/>
          </w:divBdr>
        </w:div>
        <w:div w:id="64954259">
          <w:marLeft w:val="640"/>
          <w:marRight w:val="0"/>
          <w:marTop w:val="0"/>
          <w:marBottom w:val="0"/>
          <w:divBdr>
            <w:top w:val="none" w:sz="0" w:space="0" w:color="auto"/>
            <w:left w:val="none" w:sz="0" w:space="0" w:color="auto"/>
            <w:bottom w:val="none" w:sz="0" w:space="0" w:color="auto"/>
            <w:right w:val="none" w:sz="0" w:space="0" w:color="auto"/>
          </w:divBdr>
        </w:div>
        <w:div w:id="244608620">
          <w:marLeft w:val="640"/>
          <w:marRight w:val="0"/>
          <w:marTop w:val="0"/>
          <w:marBottom w:val="0"/>
          <w:divBdr>
            <w:top w:val="none" w:sz="0" w:space="0" w:color="auto"/>
            <w:left w:val="none" w:sz="0" w:space="0" w:color="auto"/>
            <w:bottom w:val="none" w:sz="0" w:space="0" w:color="auto"/>
            <w:right w:val="none" w:sz="0" w:space="0" w:color="auto"/>
          </w:divBdr>
        </w:div>
        <w:div w:id="248852440">
          <w:marLeft w:val="640"/>
          <w:marRight w:val="0"/>
          <w:marTop w:val="0"/>
          <w:marBottom w:val="0"/>
          <w:divBdr>
            <w:top w:val="none" w:sz="0" w:space="0" w:color="auto"/>
            <w:left w:val="none" w:sz="0" w:space="0" w:color="auto"/>
            <w:bottom w:val="none" w:sz="0" w:space="0" w:color="auto"/>
            <w:right w:val="none" w:sz="0" w:space="0" w:color="auto"/>
          </w:divBdr>
        </w:div>
        <w:div w:id="249774437">
          <w:marLeft w:val="640"/>
          <w:marRight w:val="0"/>
          <w:marTop w:val="0"/>
          <w:marBottom w:val="0"/>
          <w:divBdr>
            <w:top w:val="none" w:sz="0" w:space="0" w:color="auto"/>
            <w:left w:val="none" w:sz="0" w:space="0" w:color="auto"/>
            <w:bottom w:val="none" w:sz="0" w:space="0" w:color="auto"/>
            <w:right w:val="none" w:sz="0" w:space="0" w:color="auto"/>
          </w:divBdr>
        </w:div>
        <w:div w:id="265162346">
          <w:marLeft w:val="640"/>
          <w:marRight w:val="0"/>
          <w:marTop w:val="0"/>
          <w:marBottom w:val="0"/>
          <w:divBdr>
            <w:top w:val="none" w:sz="0" w:space="0" w:color="auto"/>
            <w:left w:val="none" w:sz="0" w:space="0" w:color="auto"/>
            <w:bottom w:val="none" w:sz="0" w:space="0" w:color="auto"/>
            <w:right w:val="none" w:sz="0" w:space="0" w:color="auto"/>
          </w:divBdr>
        </w:div>
        <w:div w:id="295841960">
          <w:marLeft w:val="640"/>
          <w:marRight w:val="0"/>
          <w:marTop w:val="0"/>
          <w:marBottom w:val="0"/>
          <w:divBdr>
            <w:top w:val="none" w:sz="0" w:space="0" w:color="auto"/>
            <w:left w:val="none" w:sz="0" w:space="0" w:color="auto"/>
            <w:bottom w:val="none" w:sz="0" w:space="0" w:color="auto"/>
            <w:right w:val="none" w:sz="0" w:space="0" w:color="auto"/>
          </w:divBdr>
        </w:div>
        <w:div w:id="317611499">
          <w:marLeft w:val="640"/>
          <w:marRight w:val="0"/>
          <w:marTop w:val="0"/>
          <w:marBottom w:val="0"/>
          <w:divBdr>
            <w:top w:val="none" w:sz="0" w:space="0" w:color="auto"/>
            <w:left w:val="none" w:sz="0" w:space="0" w:color="auto"/>
            <w:bottom w:val="none" w:sz="0" w:space="0" w:color="auto"/>
            <w:right w:val="none" w:sz="0" w:space="0" w:color="auto"/>
          </w:divBdr>
        </w:div>
        <w:div w:id="341974526">
          <w:marLeft w:val="640"/>
          <w:marRight w:val="0"/>
          <w:marTop w:val="0"/>
          <w:marBottom w:val="0"/>
          <w:divBdr>
            <w:top w:val="none" w:sz="0" w:space="0" w:color="auto"/>
            <w:left w:val="none" w:sz="0" w:space="0" w:color="auto"/>
            <w:bottom w:val="none" w:sz="0" w:space="0" w:color="auto"/>
            <w:right w:val="none" w:sz="0" w:space="0" w:color="auto"/>
          </w:divBdr>
        </w:div>
        <w:div w:id="362369008">
          <w:marLeft w:val="640"/>
          <w:marRight w:val="0"/>
          <w:marTop w:val="0"/>
          <w:marBottom w:val="0"/>
          <w:divBdr>
            <w:top w:val="none" w:sz="0" w:space="0" w:color="auto"/>
            <w:left w:val="none" w:sz="0" w:space="0" w:color="auto"/>
            <w:bottom w:val="none" w:sz="0" w:space="0" w:color="auto"/>
            <w:right w:val="none" w:sz="0" w:space="0" w:color="auto"/>
          </w:divBdr>
        </w:div>
        <w:div w:id="384989155">
          <w:marLeft w:val="640"/>
          <w:marRight w:val="0"/>
          <w:marTop w:val="0"/>
          <w:marBottom w:val="0"/>
          <w:divBdr>
            <w:top w:val="none" w:sz="0" w:space="0" w:color="auto"/>
            <w:left w:val="none" w:sz="0" w:space="0" w:color="auto"/>
            <w:bottom w:val="none" w:sz="0" w:space="0" w:color="auto"/>
            <w:right w:val="none" w:sz="0" w:space="0" w:color="auto"/>
          </w:divBdr>
        </w:div>
        <w:div w:id="385030933">
          <w:marLeft w:val="640"/>
          <w:marRight w:val="0"/>
          <w:marTop w:val="0"/>
          <w:marBottom w:val="0"/>
          <w:divBdr>
            <w:top w:val="none" w:sz="0" w:space="0" w:color="auto"/>
            <w:left w:val="none" w:sz="0" w:space="0" w:color="auto"/>
            <w:bottom w:val="none" w:sz="0" w:space="0" w:color="auto"/>
            <w:right w:val="none" w:sz="0" w:space="0" w:color="auto"/>
          </w:divBdr>
        </w:div>
        <w:div w:id="401173309">
          <w:marLeft w:val="640"/>
          <w:marRight w:val="0"/>
          <w:marTop w:val="0"/>
          <w:marBottom w:val="0"/>
          <w:divBdr>
            <w:top w:val="none" w:sz="0" w:space="0" w:color="auto"/>
            <w:left w:val="none" w:sz="0" w:space="0" w:color="auto"/>
            <w:bottom w:val="none" w:sz="0" w:space="0" w:color="auto"/>
            <w:right w:val="none" w:sz="0" w:space="0" w:color="auto"/>
          </w:divBdr>
        </w:div>
        <w:div w:id="420683632">
          <w:marLeft w:val="640"/>
          <w:marRight w:val="0"/>
          <w:marTop w:val="0"/>
          <w:marBottom w:val="0"/>
          <w:divBdr>
            <w:top w:val="none" w:sz="0" w:space="0" w:color="auto"/>
            <w:left w:val="none" w:sz="0" w:space="0" w:color="auto"/>
            <w:bottom w:val="none" w:sz="0" w:space="0" w:color="auto"/>
            <w:right w:val="none" w:sz="0" w:space="0" w:color="auto"/>
          </w:divBdr>
        </w:div>
        <w:div w:id="445662123">
          <w:marLeft w:val="640"/>
          <w:marRight w:val="0"/>
          <w:marTop w:val="0"/>
          <w:marBottom w:val="0"/>
          <w:divBdr>
            <w:top w:val="none" w:sz="0" w:space="0" w:color="auto"/>
            <w:left w:val="none" w:sz="0" w:space="0" w:color="auto"/>
            <w:bottom w:val="none" w:sz="0" w:space="0" w:color="auto"/>
            <w:right w:val="none" w:sz="0" w:space="0" w:color="auto"/>
          </w:divBdr>
        </w:div>
        <w:div w:id="472865648">
          <w:marLeft w:val="640"/>
          <w:marRight w:val="0"/>
          <w:marTop w:val="0"/>
          <w:marBottom w:val="0"/>
          <w:divBdr>
            <w:top w:val="none" w:sz="0" w:space="0" w:color="auto"/>
            <w:left w:val="none" w:sz="0" w:space="0" w:color="auto"/>
            <w:bottom w:val="none" w:sz="0" w:space="0" w:color="auto"/>
            <w:right w:val="none" w:sz="0" w:space="0" w:color="auto"/>
          </w:divBdr>
        </w:div>
        <w:div w:id="475948620">
          <w:marLeft w:val="640"/>
          <w:marRight w:val="0"/>
          <w:marTop w:val="0"/>
          <w:marBottom w:val="0"/>
          <w:divBdr>
            <w:top w:val="none" w:sz="0" w:space="0" w:color="auto"/>
            <w:left w:val="none" w:sz="0" w:space="0" w:color="auto"/>
            <w:bottom w:val="none" w:sz="0" w:space="0" w:color="auto"/>
            <w:right w:val="none" w:sz="0" w:space="0" w:color="auto"/>
          </w:divBdr>
        </w:div>
        <w:div w:id="498886426">
          <w:marLeft w:val="640"/>
          <w:marRight w:val="0"/>
          <w:marTop w:val="0"/>
          <w:marBottom w:val="0"/>
          <w:divBdr>
            <w:top w:val="none" w:sz="0" w:space="0" w:color="auto"/>
            <w:left w:val="none" w:sz="0" w:space="0" w:color="auto"/>
            <w:bottom w:val="none" w:sz="0" w:space="0" w:color="auto"/>
            <w:right w:val="none" w:sz="0" w:space="0" w:color="auto"/>
          </w:divBdr>
        </w:div>
        <w:div w:id="519319881">
          <w:marLeft w:val="640"/>
          <w:marRight w:val="0"/>
          <w:marTop w:val="0"/>
          <w:marBottom w:val="0"/>
          <w:divBdr>
            <w:top w:val="none" w:sz="0" w:space="0" w:color="auto"/>
            <w:left w:val="none" w:sz="0" w:space="0" w:color="auto"/>
            <w:bottom w:val="none" w:sz="0" w:space="0" w:color="auto"/>
            <w:right w:val="none" w:sz="0" w:space="0" w:color="auto"/>
          </w:divBdr>
        </w:div>
        <w:div w:id="534806181">
          <w:marLeft w:val="640"/>
          <w:marRight w:val="0"/>
          <w:marTop w:val="0"/>
          <w:marBottom w:val="0"/>
          <w:divBdr>
            <w:top w:val="none" w:sz="0" w:space="0" w:color="auto"/>
            <w:left w:val="none" w:sz="0" w:space="0" w:color="auto"/>
            <w:bottom w:val="none" w:sz="0" w:space="0" w:color="auto"/>
            <w:right w:val="none" w:sz="0" w:space="0" w:color="auto"/>
          </w:divBdr>
        </w:div>
        <w:div w:id="555437939">
          <w:marLeft w:val="640"/>
          <w:marRight w:val="0"/>
          <w:marTop w:val="0"/>
          <w:marBottom w:val="0"/>
          <w:divBdr>
            <w:top w:val="none" w:sz="0" w:space="0" w:color="auto"/>
            <w:left w:val="none" w:sz="0" w:space="0" w:color="auto"/>
            <w:bottom w:val="none" w:sz="0" w:space="0" w:color="auto"/>
            <w:right w:val="none" w:sz="0" w:space="0" w:color="auto"/>
          </w:divBdr>
        </w:div>
        <w:div w:id="556824111">
          <w:marLeft w:val="640"/>
          <w:marRight w:val="0"/>
          <w:marTop w:val="0"/>
          <w:marBottom w:val="0"/>
          <w:divBdr>
            <w:top w:val="none" w:sz="0" w:space="0" w:color="auto"/>
            <w:left w:val="none" w:sz="0" w:space="0" w:color="auto"/>
            <w:bottom w:val="none" w:sz="0" w:space="0" w:color="auto"/>
            <w:right w:val="none" w:sz="0" w:space="0" w:color="auto"/>
          </w:divBdr>
        </w:div>
        <w:div w:id="614825099">
          <w:marLeft w:val="640"/>
          <w:marRight w:val="0"/>
          <w:marTop w:val="0"/>
          <w:marBottom w:val="0"/>
          <w:divBdr>
            <w:top w:val="none" w:sz="0" w:space="0" w:color="auto"/>
            <w:left w:val="none" w:sz="0" w:space="0" w:color="auto"/>
            <w:bottom w:val="none" w:sz="0" w:space="0" w:color="auto"/>
            <w:right w:val="none" w:sz="0" w:space="0" w:color="auto"/>
          </w:divBdr>
        </w:div>
        <w:div w:id="634604719">
          <w:marLeft w:val="640"/>
          <w:marRight w:val="0"/>
          <w:marTop w:val="0"/>
          <w:marBottom w:val="0"/>
          <w:divBdr>
            <w:top w:val="none" w:sz="0" w:space="0" w:color="auto"/>
            <w:left w:val="none" w:sz="0" w:space="0" w:color="auto"/>
            <w:bottom w:val="none" w:sz="0" w:space="0" w:color="auto"/>
            <w:right w:val="none" w:sz="0" w:space="0" w:color="auto"/>
          </w:divBdr>
        </w:div>
        <w:div w:id="634919319">
          <w:marLeft w:val="640"/>
          <w:marRight w:val="0"/>
          <w:marTop w:val="0"/>
          <w:marBottom w:val="0"/>
          <w:divBdr>
            <w:top w:val="none" w:sz="0" w:space="0" w:color="auto"/>
            <w:left w:val="none" w:sz="0" w:space="0" w:color="auto"/>
            <w:bottom w:val="none" w:sz="0" w:space="0" w:color="auto"/>
            <w:right w:val="none" w:sz="0" w:space="0" w:color="auto"/>
          </w:divBdr>
        </w:div>
        <w:div w:id="643124687">
          <w:marLeft w:val="640"/>
          <w:marRight w:val="0"/>
          <w:marTop w:val="0"/>
          <w:marBottom w:val="0"/>
          <w:divBdr>
            <w:top w:val="none" w:sz="0" w:space="0" w:color="auto"/>
            <w:left w:val="none" w:sz="0" w:space="0" w:color="auto"/>
            <w:bottom w:val="none" w:sz="0" w:space="0" w:color="auto"/>
            <w:right w:val="none" w:sz="0" w:space="0" w:color="auto"/>
          </w:divBdr>
        </w:div>
        <w:div w:id="752356970">
          <w:marLeft w:val="640"/>
          <w:marRight w:val="0"/>
          <w:marTop w:val="0"/>
          <w:marBottom w:val="0"/>
          <w:divBdr>
            <w:top w:val="none" w:sz="0" w:space="0" w:color="auto"/>
            <w:left w:val="none" w:sz="0" w:space="0" w:color="auto"/>
            <w:bottom w:val="none" w:sz="0" w:space="0" w:color="auto"/>
            <w:right w:val="none" w:sz="0" w:space="0" w:color="auto"/>
          </w:divBdr>
        </w:div>
        <w:div w:id="823425623">
          <w:marLeft w:val="640"/>
          <w:marRight w:val="0"/>
          <w:marTop w:val="0"/>
          <w:marBottom w:val="0"/>
          <w:divBdr>
            <w:top w:val="none" w:sz="0" w:space="0" w:color="auto"/>
            <w:left w:val="none" w:sz="0" w:space="0" w:color="auto"/>
            <w:bottom w:val="none" w:sz="0" w:space="0" w:color="auto"/>
            <w:right w:val="none" w:sz="0" w:space="0" w:color="auto"/>
          </w:divBdr>
        </w:div>
        <w:div w:id="885684316">
          <w:marLeft w:val="640"/>
          <w:marRight w:val="0"/>
          <w:marTop w:val="0"/>
          <w:marBottom w:val="0"/>
          <w:divBdr>
            <w:top w:val="none" w:sz="0" w:space="0" w:color="auto"/>
            <w:left w:val="none" w:sz="0" w:space="0" w:color="auto"/>
            <w:bottom w:val="none" w:sz="0" w:space="0" w:color="auto"/>
            <w:right w:val="none" w:sz="0" w:space="0" w:color="auto"/>
          </w:divBdr>
        </w:div>
        <w:div w:id="934827527">
          <w:marLeft w:val="640"/>
          <w:marRight w:val="0"/>
          <w:marTop w:val="0"/>
          <w:marBottom w:val="0"/>
          <w:divBdr>
            <w:top w:val="none" w:sz="0" w:space="0" w:color="auto"/>
            <w:left w:val="none" w:sz="0" w:space="0" w:color="auto"/>
            <w:bottom w:val="none" w:sz="0" w:space="0" w:color="auto"/>
            <w:right w:val="none" w:sz="0" w:space="0" w:color="auto"/>
          </w:divBdr>
        </w:div>
        <w:div w:id="939223333">
          <w:marLeft w:val="640"/>
          <w:marRight w:val="0"/>
          <w:marTop w:val="0"/>
          <w:marBottom w:val="0"/>
          <w:divBdr>
            <w:top w:val="none" w:sz="0" w:space="0" w:color="auto"/>
            <w:left w:val="none" w:sz="0" w:space="0" w:color="auto"/>
            <w:bottom w:val="none" w:sz="0" w:space="0" w:color="auto"/>
            <w:right w:val="none" w:sz="0" w:space="0" w:color="auto"/>
          </w:divBdr>
        </w:div>
        <w:div w:id="951473247">
          <w:marLeft w:val="640"/>
          <w:marRight w:val="0"/>
          <w:marTop w:val="0"/>
          <w:marBottom w:val="0"/>
          <w:divBdr>
            <w:top w:val="none" w:sz="0" w:space="0" w:color="auto"/>
            <w:left w:val="none" w:sz="0" w:space="0" w:color="auto"/>
            <w:bottom w:val="none" w:sz="0" w:space="0" w:color="auto"/>
            <w:right w:val="none" w:sz="0" w:space="0" w:color="auto"/>
          </w:divBdr>
        </w:div>
        <w:div w:id="953486804">
          <w:marLeft w:val="640"/>
          <w:marRight w:val="0"/>
          <w:marTop w:val="0"/>
          <w:marBottom w:val="0"/>
          <w:divBdr>
            <w:top w:val="none" w:sz="0" w:space="0" w:color="auto"/>
            <w:left w:val="none" w:sz="0" w:space="0" w:color="auto"/>
            <w:bottom w:val="none" w:sz="0" w:space="0" w:color="auto"/>
            <w:right w:val="none" w:sz="0" w:space="0" w:color="auto"/>
          </w:divBdr>
        </w:div>
        <w:div w:id="954748968">
          <w:marLeft w:val="640"/>
          <w:marRight w:val="0"/>
          <w:marTop w:val="0"/>
          <w:marBottom w:val="0"/>
          <w:divBdr>
            <w:top w:val="none" w:sz="0" w:space="0" w:color="auto"/>
            <w:left w:val="none" w:sz="0" w:space="0" w:color="auto"/>
            <w:bottom w:val="none" w:sz="0" w:space="0" w:color="auto"/>
            <w:right w:val="none" w:sz="0" w:space="0" w:color="auto"/>
          </w:divBdr>
        </w:div>
        <w:div w:id="968052405">
          <w:marLeft w:val="640"/>
          <w:marRight w:val="0"/>
          <w:marTop w:val="0"/>
          <w:marBottom w:val="0"/>
          <w:divBdr>
            <w:top w:val="none" w:sz="0" w:space="0" w:color="auto"/>
            <w:left w:val="none" w:sz="0" w:space="0" w:color="auto"/>
            <w:bottom w:val="none" w:sz="0" w:space="0" w:color="auto"/>
            <w:right w:val="none" w:sz="0" w:space="0" w:color="auto"/>
          </w:divBdr>
        </w:div>
        <w:div w:id="1016034959">
          <w:marLeft w:val="640"/>
          <w:marRight w:val="0"/>
          <w:marTop w:val="0"/>
          <w:marBottom w:val="0"/>
          <w:divBdr>
            <w:top w:val="none" w:sz="0" w:space="0" w:color="auto"/>
            <w:left w:val="none" w:sz="0" w:space="0" w:color="auto"/>
            <w:bottom w:val="none" w:sz="0" w:space="0" w:color="auto"/>
            <w:right w:val="none" w:sz="0" w:space="0" w:color="auto"/>
          </w:divBdr>
        </w:div>
        <w:div w:id="1020621881">
          <w:marLeft w:val="640"/>
          <w:marRight w:val="0"/>
          <w:marTop w:val="0"/>
          <w:marBottom w:val="0"/>
          <w:divBdr>
            <w:top w:val="none" w:sz="0" w:space="0" w:color="auto"/>
            <w:left w:val="none" w:sz="0" w:space="0" w:color="auto"/>
            <w:bottom w:val="none" w:sz="0" w:space="0" w:color="auto"/>
            <w:right w:val="none" w:sz="0" w:space="0" w:color="auto"/>
          </w:divBdr>
        </w:div>
        <w:div w:id="1049498221">
          <w:marLeft w:val="640"/>
          <w:marRight w:val="0"/>
          <w:marTop w:val="0"/>
          <w:marBottom w:val="0"/>
          <w:divBdr>
            <w:top w:val="none" w:sz="0" w:space="0" w:color="auto"/>
            <w:left w:val="none" w:sz="0" w:space="0" w:color="auto"/>
            <w:bottom w:val="none" w:sz="0" w:space="0" w:color="auto"/>
            <w:right w:val="none" w:sz="0" w:space="0" w:color="auto"/>
          </w:divBdr>
        </w:div>
        <w:div w:id="1057121949">
          <w:marLeft w:val="640"/>
          <w:marRight w:val="0"/>
          <w:marTop w:val="0"/>
          <w:marBottom w:val="0"/>
          <w:divBdr>
            <w:top w:val="none" w:sz="0" w:space="0" w:color="auto"/>
            <w:left w:val="none" w:sz="0" w:space="0" w:color="auto"/>
            <w:bottom w:val="none" w:sz="0" w:space="0" w:color="auto"/>
            <w:right w:val="none" w:sz="0" w:space="0" w:color="auto"/>
          </w:divBdr>
        </w:div>
        <w:div w:id="1072774124">
          <w:marLeft w:val="640"/>
          <w:marRight w:val="0"/>
          <w:marTop w:val="0"/>
          <w:marBottom w:val="0"/>
          <w:divBdr>
            <w:top w:val="none" w:sz="0" w:space="0" w:color="auto"/>
            <w:left w:val="none" w:sz="0" w:space="0" w:color="auto"/>
            <w:bottom w:val="none" w:sz="0" w:space="0" w:color="auto"/>
            <w:right w:val="none" w:sz="0" w:space="0" w:color="auto"/>
          </w:divBdr>
        </w:div>
        <w:div w:id="1134174216">
          <w:marLeft w:val="640"/>
          <w:marRight w:val="0"/>
          <w:marTop w:val="0"/>
          <w:marBottom w:val="0"/>
          <w:divBdr>
            <w:top w:val="none" w:sz="0" w:space="0" w:color="auto"/>
            <w:left w:val="none" w:sz="0" w:space="0" w:color="auto"/>
            <w:bottom w:val="none" w:sz="0" w:space="0" w:color="auto"/>
            <w:right w:val="none" w:sz="0" w:space="0" w:color="auto"/>
          </w:divBdr>
        </w:div>
        <w:div w:id="1157957583">
          <w:marLeft w:val="640"/>
          <w:marRight w:val="0"/>
          <w:marTop w:val="0"/>
          <w:marBottom w:val="0"/>
          <w:divBdr>
            <w:top w:val="none" w:sz="0" w:space="0" w:color="auto"/>
            <w:left w:val="none" w:sz="0" w:space="0" w:color="auto"/>
            <w:bottom w:val="none" w:sz="0" w:space="0" w:color="auto"/>
            <w:right w:val="none" w:sz="0" w:space="0" w:color="auto"/>
          </w:divBdr>
        </w:div>
        <w:div w:id="1269847540">
          <w:marLeft w:val="640"/>
          <w:marRight w:val="0"/>
          <w:marTop w:val="0"/>
          <w:marBottom w:val="0"/>
          <w:divBdr>
            <w:top w:val="none" w:sz="0" w:space="0" w:color="auto"/>
            <w:left w:val="none" w:sz="0" w:space="0" w:color="auto"/>
            <w:bottom w:val="none" w:sz="0" w:space="0" w:color="auto"/>
            <w:right w:val="none" w:sz="0" w:space="0" w:color="auto"/>
          </w:divBdr>
        </w:div>
        <w:div w:id="1275669046">
          <w:marLeft w:val="640"/>
          <w:marRight w:val="0"/>
          <w:marTop w:val="0"/>
          <w:marBottom w:val="0"/>
          <w:divBdr>
            <w:top w:val="none" w:sz="0" w:space="0" w:color="auto"/>
            <w:left w:val="none" w:sz="0" w:space="0" w:color="auto"/>
            <w:bottom w:val="none" w:sz="0" w:space="0" w:color="auto"/>
            <w:right w:val="none" w:sz="0" w:space="0" w:color="auto"/>
          </w:divBdr>
        </w:div>
        <w:div w:id="1278559235">
          <w:marLeft w:val="640"/>
          <w:marRight w:val="0"/>
          <w:marTop w:val="0"/>
          <w:marBottom w:val="0"/>
          <w:divBdr>
            <w:top w:val="none" w:sz="0" w:space="0" w:color="auto"/>
            <w:left w:val="none" w:sz="0" w:space="0" w:color="auto"/>
            <w:bottom w:val="none" w:sz="0" w:space="0" w:color="auto"/>
            <w:right w:val="none" w:sz="0" w:space="0" w:color="auto"/>
          </w:divBdr>
        </w:div>
        <w:div w:id="1279684174">
          <w:marLeft w:val="640"/>
          <w:marRight w:val="0"/>
          <w:marTop w:val="0"/>
          <w:marBottom w:val="0"/>
          <w:divBdr>
            <w:top w:val="none" w:sz="0" w:space="0" w:color="auto"/>
            <w:left w:val="none" w:sz="0" w:space="0" w:color="auto"/>
            <w:bottom w:val="none" w:sz="0" w:space="0" w:color="auto"/>
            <w:right w:val="none" w:sz="0" w:space="0" w:color="auto"/>
          </w:divBdr>
        </w:div>
        <w:div w:id="1292397851">
          <w:marLeft w:val="640"/>
          <w:marRight w:val="0"/>
          <w:marTop w:val="0"/>
          <w:marBottom w:val="0"/>
          <w:divBdr>
            <w:top w:val="none" w:sz="0" w:space="0" w:color="auto"/>
            <w:left w:val="none" w:sz="0" w:space="0" w:color="auto"/>
            <w:bottom w:val="none" w:sz="0" w:space="0" w:color="auto"/>
            <w:right w:val="none" w:sz="0" w:space="0" w:color="auto"/>
          </w:divBdr>
        </w:div>
        <w:div w:id="1333605255">
          <w:marLeft w:val="640"/>
          <w:marRight w:val="0"/>
          <w:marTop w:val="0"/>
          <w:marBottom w:val="0"/>
          <w:divBdr>
            <w:top w:val="none" w:sz="0" w:space="0" w:color="auto"/>
            <w:left w:val="none" w:sz="0" w:space="0" w:color="auto"/>
            <w:bottom w:val="none" w:sz="0" w:space="0" w:color="auto"/>
            <w:right w:val="none" w:sz="0" w:space="0" w:color="auto"/>
          </w:divBdr>
        </w:div>
        <w:div w:id="1361663212">
          <w:marLeft w:val="640"/>
          <w:marRight w:val="0"/>
          <w:marTop w:val="0"/>
          <w:marBottom w:val="0"/>
          <w:divBdr>
            <w:top w:val="none" w:sz="0" w:space="0" w:color="auto"/>
            <w:left w:val="none" w:sz="0" w:space="0" w:color="auto"/>
            <w:bottom w:val="none" w:sz="0" w:space="0" w:color="auto"/>
            <w:right w:val="none" w:sz="0" w:space="0" w:color="auto"/>
          </w:divBdr>
        </w:div>
        <w:div w:id="1367026129">
          <w:marLeft w:val="640"/>
          <w:marRight w:val="0"/>
          <w:marTop w:val="0"/>
          <w:marBottom w:val="0"/>
          <w:divBdr>
            <w:top w:val="none" w:sz="0" w:space="0" w:color="auto"/>
            <w:left w:val="none" w:sz="0" w:space="0" w:color="auto"/>
            <w:bottom w:val="none" w:sz="0" w:space="0" w:color="auto"/>
            <w:right w:val="none" w:sz="0" w:space="0" w:color="auto"/>
          </w:divBdr>
        </w:div>
        <w:div w:id="1432815330">
          <w:marLeft w:val="640"/>
          <w:marRight w:val="0"/>
          <w:marTop w:val="0"/>
          <w:marBottom w:val="0"/>
          <w:divBdr>
            <w:top w:val="none" w:sz="0" w:space="0" w:color="auto"/>
            <w:left w:val="none" w:sz="0" w:space="0" w:color="auto"/>
            <w:bottom w:val="none" w:sz="0" w:space="0" w:color="auto"/>
            <w:right w:val="none" w:sz="0" w:space="0" w:color="auto"/>
          </w:divBdr>
        </w:div>
        <w:div w:id="1462454536">
          <w:marLeft w:val="640"/>
          <w:marRight w:val="0"/>
          <w:marTop w:val="0"/>
          <w:marBottom w:val="0"/>
          <w:divBdr>
            <w:top w:val="none" w:sz="0" w:space="0" w:color="auto"/>
            <w:left w:val="none" w:sz="0" w:space="0" w:color="auto"/>
            <w:bottom w:val="none" w:sz="0" w:space="0" w:color="auto"/>
            <w:right w:val="none" w:sz="0" w:space="0" w:color="auto"/>
          </w:divBdr>
        </w:div>
        <w:div w:id="1466120857">
          <w:marLeft w:val="640"/>
          <w:marRight w:val="0"/>
          <w:marTop w:val="0"/>
          <w:marBottom w:val="0"/>
          <w:divBdr>
            <w:top w:val="none" w:sz="0" w:space="0" w:color="auto"/>
            <w:left w:val="none" w:sz="0" w:space="0" w:color="auto"/>
            <w:bottom w:val="none" w:sz="0" w:space="0" w:color="auto"/>
            <w:right w:val="none" w:sz="0" w:space="0" w:color="auto"/>
          </w:divBdr>
        </w:div>
        <w:div w:id="1477797585">
          <w:marLeft w:val="640"/>
          <w:marRight w:val="0"/>
          <w:marTop w:val="0"/>
          <w:marBottom w:val="0"/>
          <w:divBdr>
            <w:top w:val="none" w:sz="0" w:space="0" w:color="auto"/>
            <w:left w:val="none" w:sz="0" w:space="0" w:color="auto"/>
            <w:bottom w:val="none" w:sz="0" w:space="0" w:color="auto"/>
            <w:right w:val="none" w:sz="0" w:space="0" w:color="auto"/>
          </w:divBdr>
        </w:div>
        <w:div w:id="1597785180">
          <w:marLeft w:val="640"/>
          <w:marRight w:val="0"/>
          <w:marTop w:val="0"/>
          <w:marBottom w:val="0"/>
          <w:divBdr>
            <w:top w:val="none" w:sz="0" w:space="0" w:color="auto"/>
            <w:left w:val="none" w:sz="0" w:space="0" w:color="auto"/>
            <w:bottom w:val="none" w:sz="0" w:space="0" w:color="auto"/>
            <w:right w:val="none" w:sz="0" w:space="0" w:color="auto"/>
          </w:divBdr>
        </w:div>
        <w:div w:id="1679187953">
          <w:marLeft w:val="640"/>
          <w:marRight w:val="0"/>
          <w:marTop w:val="0"/>
          <w:marBottom w:val="0"/>
          <w:divBdr>
            <w:top w:val="none" w:sz="0" w:space="0" w:color="auto"/>
            <w:left w:val="none" w:sz="0" w:space="0" w:color="auto"/>
            <w:bottom w:val="none" w:sz="0" w:space="0" w:color="auto"/>
            <w:right w:val="none" w:sz="0" w:space="0" w:color="auto"/>
          </w:divBdr>
        </w:div>
        <w:div w:id="1725324729">
          <w:marLeft w:val="640"/>
          <w:marRight w:val="0"/>
          <w:marTop w:val="0"/>
          <w:marBottom w:val="0"/>
          <w:divBdr>
            <w:top w:val="none" w:sz="0" w:space="0" w:color="auto"/>
            <w:left w:val="none" w:sz="0" w:space="0" w:color="auto"/>
            <w:bottom w:val="none" w:sz="0" w:space="0" w:color="auto"/>
            <w:right w:val="none" w:sz="0" w:space="0" w:color="auto"/>
          </w:divBdr>
        </w:div>
        <w:div w:id="1734770682">
          <w:marLeft w:val="640"/>
          <w:marRight w:val="0"/>
          <w:marTop w:val="0"/>
          <w:marBottom w:val="0"/>
          <w:divBdr>
            <w:top w:val="none" w:sz="0" w:space="0" w:color="auto"/>
            <w:left w:val="none" w:sz="0" w:space="0" w:color="auto"/>
            <w:bottom w:val="none" w:sz="0" w:space="0" w:color="auto"/>
            <w:right w:val="none" w:sz="0" w:space="0" w:color="auto"/>
          </w:divBdr>
        </w:div>
        <w:div w:id="1740060234">
          <w:marLeft w:val="640"/>
          <w:marRight w:val="0"/>
          <w:marTop w:val="0"/>
          <w:marBottom w:val="0"/>
          <w:divBdr>
            <w:top w:val="none" w:sz="0" w:space="0" w:color="auto"/>
            <w:left w:val="none" w:sz="0" w:space="0" w:color="auto"/>
            <w:bottom w:val="none" w:sz="0" w:space="0" w:color="auto"/>
            <w:right w:val="none" w:sz="0" w:space="0" w:color="auto"/>
          </w:divBdr>
        </w:div>
        <w:div w:id="1757363820">
          <w:marLeft w:val="640"/>
          <w:marRight w:val="0"/>
          <w:marTop w:val="0"/>
          <w:marBottom w:val="0"/>
          <w:divBdr>
            <w:top w:val="none" w:sz="0" w:space="0" w:color="auto"/>
            <w:left w:val="none" w:sz="0" w:space="0" w:color="auto"/>
            <w:bottom w:val="none" w:sz="0" w:space="0" w:color="auto"/>
            <w:right w:val="none" w:sz="0" w:space="0" w:color="auto"/>
          </w:divBdr>
        </w:div>
        <w:div w:id="1827159242">
          <w:marLeft w:val="640"/>
          <w:marRight w:val="0"/>
          <w:marTop w:val="0"/>
          <w:marBottom w:val="0"/>
          <w:divBdr>
            <w:top w:val="none" w:sz="0" w:space="0" w:color="auto"/>
            <w:left w:val="none" w:sz="0" w:space="0" w:color="auto"/>
            <w:bottom w:val="none" w:sz="0" w:space="0" w:color="auto"/>
            <w:right w:val="none" w:sz="0" w:space="0" w:color="auto"/>
          </w:divBdr>
        </w:div>
        <w:div w:id="1865552509">
          <w:marLeft w:val="640"/>
          <w:marRight w:val="0"/>
          <w:marTop w:val="0"/>
          <w:marBottom w:val="0"/>
          <w:divBdr>
            <w:top w:val="none" w:sz="0" w:space="0" w:color="auto"/>
            <w:left w:val="none" w:sz="0" w:space="0" w:color="auto"/>
            <w:bottom w:val="none" w:sz="0" w:space="0" w:color="auto"/>
            <w:right w:val="none" w:sz="0" w:space="0" w:color="auto"/>
          </w:divBdr>
        </w:div>
        <w:div w:id="1879849376">
          <w:marLeft w:val="640"/>
          <w:marRight w:val="0"/>
          <w:marTop w:val="0"/>
          <w:marBottom w:val="0"/>
          <w:divBdr>
            <w:top w:val="none" w:sz="0" w:space="0" w:color="auto"/>
            <w:left w:val="none" w:sz="0" w:space="0" w:color="auto"/>
            <w:bottom w:val="none" w:sz="0" w:space="0" w:color="auto"/>
            <w:right w:val="none" w:sz="0" w:space="0" w:color="auto"/>
          </w:divBdr>
        </w:div>
        <w:div w:id="1914925012">
          <w:marLeft w:val="640"/>
          <w:marRight w:val="0"/>
          <w:marTop w:val="0"/>
          <w:marBottom w:val="0"/>
          <w:divBdr>
            <w:top w:val="none" w:sz="0" w:space="0" w:color="auto"/>
            <w:left w:val="none" w:sz="0" w:space="0" w:color="auto"/>
            <w:bottom w:val="none" w:sz="0" w:space="0" w:color="auto"/>
            <w:right w:val="none" w:sz="0" w:space="0" w:color="auto"/>
          </w:divBdr>
        </w:div>
        <w:div w:id="1929803585">
          <w:marLeft w:val="640"/>
          <w:marRight w:val="0"/>
          <w:marTop w:val="0"/>
          <w:marBottom w:val="0"/>
          <w:divBdr>
            <w:top w:val="none" w:sz="0" w:space="0" w:color="auto"/>
            <w:left w:val="none" w:sz="0" w:space="0" w:color="auto"/>
            <w:bottom w:val="none" w:sz="0" w:space="0" w:color="auto"/>
            <w:right w:val="none" w:sz="0" w:space="0" w:color="auto"/>
          </w:divBdr>
        </w:div>
        <w:div w:id="1938974845">
          <w:marLeft w:val="640"/>
          <w:marRight w:val="0"/>
          <w:marTop w:val="0"/>
          <w:marBottom w:val="0"/>
          <w:divBdr>
            <w:top w:val="none" w:sz="0" w:space="0" w:color="auto"/>
            <w:left w:val="none" w:sz="0" w:space="0" w:color="auto"/>
            <w:bottom w:val="none" w:sz="0" w:space="0" w:color="auto"/>
            <w:right w:val="none" w:sz="0" w:space="0" w:color="auto"/>
          </w:divBdr>
        </w:div>
        <w:div w:id="1976063807">
          <w:marLeft w:val="640"/>
          <w:marRight w:val="0"/>
          <w:marTop w:val="0"/>
          <w:marBottom w:val="0"/>
          <w:divBdr>
            <w:top w:val="none" w:sz="0" w:space="0" w:color="auto"/>
            <w:left w:val="none" w:sz="0" w:space="0" w:color="auto"/>
            <w:bottom w:val="none" w:sz="0" w:space="0" w:color="auto"/>
            <w:right w:val="none" w:sz="0" w:space="0" w:color="auto"/>
          </w:divBdr>
        </w:div>
        <w:div w:id="1995064483">
          <w:marLeft w:val="640"/>
          <w:marRight w:val="0"/>
          <w:marTop w:val="0"/>
          <w:marBottom w:val="0"/>
          <w:divBdr>
            <w:top w:val="none" w:sz="0" w:space="0" w:color="auto"/>
            <w:left w:val="none" w:sz="0" w:space="0" w:color="auto"/>
            <w:bottom w:val="none" w:sz="0" w:space="0" w:color="auto"/>
            <w:right w:val="none" w:sz="0" w:space="0" w:color="auto"/>
          </w:divBdr>
        </w:div>
        <w:div w:id="2026587912">
          <w:marLeft w:val="640"/>
          <w:marRight w:val="0"/>
          <w:marTop w:val="0"/>
          <w:marBottom w:val="0"/>
          <w:divBdr>
            <w:top w:val="none" w:sz="0" w:space="0" w:color="auto"/>
            <w:left w:val="none" w:sz="0" w:space="0" w:color="auto"/>
            <w:bottom w:val="none" w:sz="0" w:space="0" w:color="auto"/>
            <w:right w:val="none" w:sz="0" w:space="0" w:color="auto"/>
          </w:divBdr>
        </w:div>
        <w:div w:id="2049915457">
          <w:marLeft w:val="640"/>
          <w:marRight w:val="0"/>
          <w:marTop w:val="0"/>
          <w:marBottom w:val="0"/>
          <w:divBdr>
            <w:top w:val="none" w:sz="0" w:space="0" w:color="auto"/>
            <w:left w:val="none" w:sz="0" w:space="0" w:color="auto"/>
            <w:bottom w:val="none" w:sz="0" w:space="0" w:color="auto"/>
            <w:right w:val="none" w:sz="0" w:space="0" w:color="auto"/>
          </w:divBdr>
        </w:div>
        <w:div w:id="2072921512">
          <w:marLeft w:val="640"/>
          <w:marRight w:val="0"/>
          <w:marTop w:val="0"/>
          <w:marBottom w:val="0"/>
          <w:divBdr>
            <w:top w:val="none" w:sz="0" w:space="0" w:color="auto"/>
            <w:left w:val="none" w:sz="0" w:space="0" w:color="auto"/>
            <w:bottom w:val="none" w:sz="0" w:space="0" w:color="auto"/>
            <w:right w:val="none" w:sz="0" w:space="0" w:color="auto"/>
          </w:divBdr>
        </w:div>
        <w:div w:id="2129423378">
          <w:marLeft w:val="640"/>
          <w:marRight w:val="0"/>
          <w:marTop w:val="0"/>
          <w:marBottom w:val="0"/>
          <w:divBdr>
            <w:top w:val="none" w:sz="0" w:space="0" w:color="auto"/>
            <w:left w:val="none" w:sz="0" w:space="0" w:color="auto"/>
            <w:bottom w:val="none" w:sz="0" w:space="0" w:color="auto"/>
            <w:right w:val="none" w:sz="0" w:space="0" w:color="auto"/>
          </w:divBdr>
        </w:div>
      </w:divsChild>
    </w:div>
    <w:div w:id="1402751681">
      <w:bodyDiv w:val="1"/>
      <w:marLeft w:val="0"/>
      <w:marRight w:val="0"/>
      <w:marTop w:val="0"/>
      <w:marBottom w:val="0"/>
      <w:divBdr>
        <w:top w:val="none" w:sz="0" w:space="0" w:color="auto"/>
        <w:left w:val="none" w:sz="0" w:space="0" w:color="auto"/>
        <w:bottom w:val="none" w:sz="0" w:space="0" w:color="auto"/>
        <w:right w:val="none" w:sz="0" w:space="0" w:color="auto"/>
      </w:divBdr>
      <w:divsChild>
        <w:div w:id="1558856820">
          <w:marLeft w:val="480"/>
          <w:marRight w:val="0"/>
          <w:marTop w:val="0"/>
          <w:marBottom w:val="0"/>
          <w:divBdr>
            <w:top w:val="none" w:sz="0" w:space="0" w:color="auto"/>
            <w:left w:val="none" w:sz="0" w:space="0" w:color="auto"/>
            <w:bottom w:val="none" w:sz="0" w:space="0" w:color="auto"/>
            <w:right w:val="none" w:sz="0" w:space="0" w:color="auto"/>
          </w:divBdr>
        </w:div>
        <w:div w:id="787511613">
          <w:marLeft w:val="480"/>
          <w:marRight w:val="0"/>
          <w:marTop w:val="0"/>
          <w:marBottom w:val="0"/>
          <w:divBdr>
            <w:top w:val="none" w:sz="0" w:space="0" w:color="auto"/>
            <w:left w:val="none" w:sz="0" w:space="0" w:color="auto"/>
            <w:bottom w:val="none" w:sz="0" w:space="0" w:color="auto"/>
            <w:right w:val="none" w:sz="0" w:space="0" w:color="auto"/>
          </w:divBdr>
        </w:div>
        <w:div w:id="1154299584">
          <w:marLeft w:val="480"/>
          <w:marRight w:val="0"/>
          <w:marTop w:val="0"/>
          <w:marBottom w:val="0"/>
          <w:divBdr>
            <w:top w:val="none" w:sz="0" w:space="0" w:color="auto"/>
            <w:left w:val="none" w:sz="0" w:space="0" w:color="auto"/>
            <w:bottom w:val="none" w:sz="0" w:space="0" w:color="auto"/>
            <w:right w:val="none" w:sz="0" w:space="0" w:color="auto"/>
          </w:divBdr>
        </w:div>
        <w:div w:id="19162555">
          <w:marLeft w:val="480"/>
          <w:marRight w:val="0"/>
          <w:marTop w:val="0"/>
          <w:marBottom w:val="0"/>
          <w:divBdr>
            <w:top w:val="none" w:sz="0" w:space="0" w:color="auto"/>
            <w:left w:val="none" w:sz="0" w:space="0" w:color="auto"/>
            <w:bottom w:val="none" w:sz="0" w:space="0" w:color="auto"/>
            <w:right w:val="none" w:sz="0" w:space="0" w:color="auto"/>
          </w:divBdr>
        </w:div>
        <w:div w:id="1362391028">
          <w:marLeft w:val="480"/>
          <w:marRight w:val="0"/>
          <w:marTop w:val="0"/>
          <w:marBottom w:val="0"/>
          <w:divBdr>
            <w:top w:val="none" w:sz="0" w:space="0" w:color="auto"/>
            <w:left w:val="none" w:sz="0" w:space="0" w:color="auto"/>
            <w:bottom w:val="none" w:sz="0" w:space="0" w:color="auto"/>
            <w:right w:val="none" w:sz="0" w:space="0" w:color="auto"/>
          </w:divBdr>
        </w:div>
        <w:div w:id="2078161593">
          <w:marLeft w:val="480"/>
          <w:marRight w:val="0"/>
          <w:marTop w:val="0"/>
          <w:marBottom w:val="0"/>
          <w:divBdr>
            <w:top w:val="none" w:sz="0" w:space="0" w:color="auto"/>
            <w:left w:val="none" w:sz="0" w:space="0" w:color="auto"/>
            <w:bottom w:val="none" w:sz="0" w:space="0" w:color="auto"/>
            <w:right w:val="none" w:sz="0" w:space="0" w:color="auto"/>
          </w:divBdr>
        </w:div>
        <w:div w:id="1732968613">
          <w:marLeft w:val="480"/>
          <w:marRight w:val="0"/>
          <w:marTop w:val="0"/>
          <w:marBottom w:val="0"/>
          <w:divBdr>
            <w:top w:val="none" w:sz="0" w:space="0" w:color="auto"/>
            <w:left w:val="none" w:sz="0" w:space="0" w:color="auto"/>
            <w:bottom w:val="none" w:sz="0" w:space="0" w:color="auto"/>
            <w:right w:val="none" w:sz="0" w:space="0" w:color="auto"/>
          </w:divBdr>
        </w:div>
      </w:divsChild>
    </w:div>
    <w:div w:id="1438065798">
      <w:bodyDiv w:val="1"/>
      <w:marLeft w:val="0"/>
      <w:marRight w:val="0"/>
      <w:marTop w:val="0"/>
      <w:marBottom w:val="0"/>
      <w:divBdr>
        <w:top w:val="none" w:sz="0" w:space="0" w:color="auto"/>
        <w:left w:val="none" w:sz="0" w:space="0" w:color="auto"/>
        <w:bottom w:val="none" w:sz="0" w:space="0" w:color="auto"/>
        <w:right w:val="none" w:sz="0" w:space="0" w:color="auto"/>
      </w:divBdr>
      <w:divsChild>
        <w:div w:id="87427317">
          <w:marLeft w:val="640"/>
          <w:marRight w:val="0"/>
          <w:marTop w:val="0"/>
          <w:marBottom w:val="0"/>
          <w:divBdr>
            <w:top w:val="none" w:sz="0" w:space="0" w:color="auto"/>
            <w:left w:val="none" w:sz="0" w:space="0" w:color="auto"/>
            <w:bottom w:val="none" w:sz="0" w:space="0" w:color="auto"/>
            <w:right w:val="none" w:sz="0" w:space="0" w:color="auto"/>
          </w:divBdr>
        </w:div>
        <w:div w:id="138037931">
          <w:marLeft w:val="640"/>
          <w:marRight w:val="0"/>
          <w:marTop w:val="0"/>
          <w:marBottom w:val="0"/>
          <w:divBdr>
            <w:top w:val="none" w:sz="0" w:space="0" w:color="auto"/>
            <w:left w:val="none" w:sz="0" w:space="0" w:color="auto"/>
            <w:bottom w:val="none" w:sz="0" w:space="0" w:color="auto"/>
            <w:right w:val="none" w:sz="0" w:space="0" w:color="auto"/>
          </w:divBdr>
        </w:div>
        <w:div w:id="150098821">
          <w:marLeft w:val="640"/>
          <w:marRight w:val="0"/>
          <w:marTop w:val="0"/>
          <w:marBottom w:val="0"/>
          <w:divBdr>
            <w:top w:val="none" w:sz="0" w:space="0" w:color="auto"/>
            <w:left w:val="none" w:sz="0" w:space="0" w:color="auto"/>
            <w:bottom w:val="none" w:sz="0" w:space="0" w:color="auto"/>
            <w:right w:val="none" w:sz="0" w:space="0" w:color="auto"/>
          </w:divBdr>
        </w:div>
        <w:div w:id="219941455">
          <w:marLeft w:val="640"/>
          <w:marRight w:val="0"/>
          <w:marTop w:val="0"/>
          <w:marBottom w:val="0"/>
          <w:divBdr>
            <w:top w:val="none" w:sz="0" w:space="0" w:color="auto"/>
            <w:left w:val="none" w:sz="0" w:space="0" w:color="auto"/>
            <w:bottom w:val="none" w:sz="0" w:space="0" w:color="auto"/>
            <w:right w:val="none" w:sz="0" w:space="0" w:color="auto"/>
          </w:divBdr>
        </w:div>
        <w:div w:id="261112445">
          <w:marLeft w:val="640"/>
          <w:marRight w:val="0"/>
          <w:marTop w:val="0"/>
          <w:marBottom w:val="0"/>
          <w:divBdr>
            <w:top w:val="none" w:sz="0" w:space="0" w:color="auto"/>
            <w:left w:val="none" w:sz="0" w:space="0" w:color="auto"/>
            <w:bottom w:val="none" w:sz="0" w:space="0" w:color="auto"/>
            <w:right w:val="none" w:sz="0" w:space="0" w:color="auto"/>
          </w:divBdr>
        </w:div>
        <w:div w:id="273902410">
          <w:marLeft w:val="640"/>
          <w:marRight w:val="0"/>
          <w:marTop w:val="0"/>
          <w:marBottom w:val="0"/>
          <w:divBdr>
            <w:top w:val="none" w:sz="0" w:space="0" w:color="auto"/>
            <w:left w:val="none" w:sz="0" w:space="0" w:color="auto"/>
            <w:bottom w:val="none" w:sz="0" w:space="0" w:color="auto"/>
            <w:right w:val="none" w:sz="0" w:space="0" w:color="auto"/>
          </w:divBdr>
        </w:div>
        <w:div w:id="277102756">
          <w:marLeft w:val="640"/>
          <w:marRight w:val="0"/>
          <w:marTop w:val="0"/>
          <w:marBottom w:val="0"/>
          <w:divBdr>
            <w:top w:val="none" w:sz="0" w:space="0" w:color="auto"/>
            <w:left w:val="none" w:sz="0" w:space="0" w:color="auto"/>
            <w:bottom w:val="none" w:sz="0" w:space="0" w:color="auto"/>
            <w:right w:val="none" w:sz="0" w:space="0" w:color="auto"/>
          </w:divBdr>
        </w:div>
        <w:div w:id="287854668">
          <w:marLeft w:val="640"/>
          <w:marRight w:val="0"/>
          <w:marTop w:val="0"/>
          <w:marBottom w:val="0"/>
          <w:divBdr>
            <w:top w:val="none" w:sz="0" w:space="0" w:color="auto"/>
            <w:left w:val="none" w:sz="0" w:space="0" w:color="auto"/>
            <w:bottom w:val="none" w:sz="0" w:space="0" w:color="auto"/>
            <w:right w:val="none" w:sz="0" w:space="0" w:color="auto"/>
          </w:divBdr>
        </w:div>
        <w:div w:id="293949632">
          <w:marLeft w:val="640"/>
          <w:marRight w:val="0"/>
          <w:marTop w:val="0"/>
          <w:marBottom w:val="0"/>
          <w:divBdr>
            <w:top w:val="none" w:sz="0" w:space="0" w:color="auto"/>
            <w:left w:val="none" w:sz="0" w:space="0" w:color="auto"/>
            <w:bottom w:val="none" w:sz="0" w:space="0" w:color="auto"/>
            <w:right w:val="none" w:sz="0" w:space="0" w:color="auto"/>
          </w:divBdr>
        </w:div>
        <w:div w:id="313996878">
          <w:marLeft w:val="640"/>
          <w:marRight w:val="0"/>
          <w:marTop w:val="0"/>
          <w:marBottom w:val="0"/>
          <w:divBdr>
            <w:top w:val="none" w:sz="0" w:space="0" w:color="auto"/>
            <w:left w:val="none" w:sz="0" w:space="0" w:color="auto"/>
            <w:bottom w:val="none" w:sz="0" w:space="0" w:color="auto"/>
            <w:right w:val="none" w:sz="0" w:space="0" w:color="auto"/>
          </w:divBdr>
        </w:div>
        <w:div w:id="323705748">
          <w:marLeft w:val="640"/>
          <w:marRight w:val="0"/>
          <w:marTop w:val="0"/>
          <w:marBottom w:val="0"/>
          <w:divBdr>
            <w:top w:val="none" w:sz="0" w:space="0" w:color="auto"/>
            <w:left w:val="none" w:sz="0" w:space="0" w:color="auto"/>
            <w:bottom w:val="none" w:sz="0" w:space="0" w:color="auto"/>
            <w:right w:val="none" w:sz="0" w:space="0" w:color="auto"/>
          </w:divBdr>
        </w:div>
        <w:div w:id="329672813">
          <w:marLeft w:val="640"/>
          <w:marRight w:val="0"/>
          <w:marTop w:val="0"/>
          <w:marBottom w:val="0"/>
          <w:divBdr>
            <w:top w:val="none" w:sz="0" w:space="0" w:color="auto"/>
            <w:left w:val="none" w:sz="0" w:space="0" w:color="auto"/>
            <w:bottom w:val="none" w:sz="0" w:space="0" w:color="auto"/>
            <w:right w:val="none" w:sz="0" w:space="0" w:color="auto"/>
          </w:divBdr>
        </w:div>
        <w:div w:id="382221205">
          <w:marLeft w:val="640"/>
          <w:marRight w:val="0"/>
          <w:marTop w:val="0"/>
          <w:marBottom w:val="0"/>
          <w:divBdr>
            <w:top w:val="none" w:sz="0" w:space="0" w:color="auto"/>
            <w:left w:val="none" w:sz="0" w:space="0" w:color="auto"/>
            <w:bottom w:val="none" w:sz="0" w:space="0" w:color="auto"/>
            <w:right w:val="none" w:sz="0" w:space="0" w:color="auto"/>
          </w:divBdr>
        </w:div>
        <w:div w:id="386535469">
          <w:marLeft w:val="640"/>
          <w:marRight w:val="0"/>
          <w:marTop w:val="0"/>
          <w:marBottom w:val="0"/>
          <w:divBdr>
            <w:top w:val="none" w:sz="0" w:space="0" w:color="auto"/>
            <w:left w:val="none" w:sz="0" w:space="0" w:color="auto"/>
            <w:bottom w:val="none" w:sz="0" w:space="0" w:color="auto"/>
            <w:right w:val="none" w:sz="0" w:space="0" w:color="auto"/>
          </w:divBdr>
        </w:div>
        <w:div w:id="430780719">
          <w:marLeft w:val="640"/>
          <w:marRight w:val="0"/>
          <w:marTop w:val="0"/>
          <w:marBottom w:val="0"/>
          <w:divBdr>
            <w:top w:val="none" w:sz="0" w:space="0" w:color="auto"/>
            <w:left w:val="none" w:sz="0" w:space="0" w:color="auto"/>
            <w:bottom w:val="none" w:sz="0" w:space="0" w:color="auto"/>
            <w:right w:val="none" w:sz="0" w:space="0" w:color="auto"/>
          </w:divBdr>
        </w:div>
        <w:div w:id="523597970">
          <w:marLeft w:val="640"/>
          <w:marRight w:val="0"/>
          <w:marTop w:val="0"/>
          <w:marBottom w:val="0"/>
          <w:divBdr>
            <w:top w:val="none" w:sz="0" w:space="0" w:color="auto"/>
            <w:left w:val="none" w:sz="0" w:space="0" w:color="auto"/>
            <w:bottom w:val="none" w:sz="0" w:space="0" w:color="auto"/>
            <w:right w:val="none" w:sz="0" w:space="0" w:color="auto"/>
          </w:divBdr>
        </w:div>
        <w:div w:id="526336564">
          <w:marLeft w:val="640"/>
          <w:marRight w:val="0"/>
          <w:marTop w:val="0"/>
          <w:marBottom w:val="0"/>
          <w:divBdr>
            <w:top w:val="none" w:sz="0" w:space="0" w:color="auto"/>
            <w:left w:val="none" w:sz="0" w:space="0" w:color="auto"/>
            <w:bottom w:val="none" w:sz="0" w:space="0" w:color="auto"/>
            <w:right w:val="none" w:sz="0" w:space="0" w:color="auto"/>
          </w:divBdr>
        </w:div>
        <w:div w:id="599222448">
          <w:marLeft w:val="640"/>
          <w:marRight w:val="0"/>
          <w:marTop w:val="0"/>
          <w:marBottom w:val="0"/>
          <w:divBdr>
            <w:top w:val="none" w:sz="0" w:space="0" w:color="auto"/>
            <w:left w:val="none" w:sz="0" w:space="0" w:color="auto"/>
            <w:bottom w:val="none" w:sz="0" w:space="0" w:color="auto"/>
            <w:right w:val="none" w:sz="0" w:space="0" w:color="auto"/>
          </w:divBdr>
        </w:div>
        <w:div w:id="604775961">
          <w:marLeft w:val="640"/>
          <w:marRight w:val="0"/>
          <w:marTop w:val="0"/>
          <w:marBottom w:val="0"/>
          <w:divBdr>
            <w:top w:val="none" w:sz="0" w:space="0" w:color="auto"/>
            <w:left w:val="none" w:sz="0" w:space="0" w:color="auto"/>
            <w:bottom w:val="none" w:sz="0" w:space="0" w:color="auto"/>
            <w:right w:val="none" w:sz="0" w:space="0" w:color="auto"/>
          </w:divBdr>
        </w:div>
        <w:div w:id="617687515">
          <w:marLeft w:val="640"/>
          <w:marRight w:val="0"/>
          <w:marTop w:val="0"/>
          <w:marBottom w:val="0"/>
          <w:divBdr>
            <w:top w:val="none" w:sz="0" w:space="0" w:color="auto"/>
            <w:left w:val="none" w:sz="0" w:space="0" w:color="auto"/>
            <w:bottom w:val="none" w:sz="0" w:space="0" w:color="auto"/>
            <w:right w:val="none" w:sz="0" w:space="0" w:color="auto"/>
          </w:divBdr>
        </w:div>
        <w:div w:id="628783623">
          <w:marLeft w:val="640"/>
          <w:marRight w:val="0"/>
          <w:marTop w:val="0"/>
          <w:marBottom w:val="0"/>
          <w:divBdr>
            <w:top w:val="none" w:sz="0" w:space="0" w:color="auto"/>
            <w:left w:val="none" w:sz="0" w:space="0" w:color="auto"/>
            <w:bottom w:val="none" w:sz="0" w:space="0" w:color="auto"/>
            <w:right w:val="none" w:sz="0" w:space="0" w:color="auto"/>
          </w:divBdr>
        </w:div>
        <w:div w:id="631600472">
          <w:marLeft w:val="640"/>
          <w:marRight w:val="0"/>
          <w:marTop w:val="0"/>
          <w:marBottom w:val="0"/>
          <w:divBdr>
            <w:top w:val="none" w:sz="0" w:space="0" w:color="auto"/>
            <w:left w:val="none" w:sz="0" w:space="0" w:color="auto"/>
            <w:bottom w:val="none" w:sz="0" w:space="0" w:color="auto"/>
            <w:right w:val="none" w:sz="0" w:space="0" w:color="auto"/>
          </w:divBdr>
        </w:div>
        <w:div w:id="667058069">
          <w:marLeft w:val="640"/>
          <w:marRight w:val="0"/>
          <w:marTop w:val="0"/>
          <w:marBottom w:val="0"/>
          <w:divBdr>
            <w:top w:val="none" w:sz="0" w:space="0" w:color="auto"/>
            <w:left w:val="none" w:sz="0" w:space="0" w:color="auto"/>
            <w:bottom w:val="none" w:sz="0" w:space="0" w:color="auto"/>
            <w:right w:val="none" w:sz="0" w:space="0" w:color="auto"/>
          </w:divBdr>
        </w:div>
        <w:div w:id="682587671">
          <w:marLeft w:val="640"/>
          <w:marRight w:val="0"/>
          <w:marTop w:val="0"/>
          <w:marBottom w:val="0"/>
          <w:divBdr>
            <w:top w:val="none" w:sz="0" w:space="0" w:color="auto"/>
            <w:left w:val="none" w:sz="0" w:space="0" w:color="auto"/>
            <w:bottom w:val="none" w:sz="0" w:space="0" w:color="auto"/>
            <w:right w:val="none" w:sz="0" w:space="0" w:color="auto"/>
          </w:divBdr>
        </w:div>
        <w:div w:id="716130151">
          <w:marLeft w:val="640"/>
          <w:marRight w:val="0"/>
          <w:marTop w:val="0"/>
          <w:marBottom w:val="0"/>
          <w:divBdr>
            <w:top w:val="none" w:sz="0" w:space="0" w:color="auto"/>
            <w:left w:val="none" w:sz="0" w:space="0" w:color="auto"/>
            <w:bottom w:val="none" w:sz="0" w:space="0" w:color="auto"/>
            <w:right w:val="none" w:sz="0" w:space="0" w:color="auto"/>
          </w:divBdr>
        </w:div>
        <w:div w:id="850724218">
          <w:marLeft w:val="640"/>
          <w:marRight w:val="0"/>
          <w:marTop w:val="0"/>
          <w:marBottom w:val="0"/>
          <w:divBdr>
            <w:top w:val="none" w:sz="0" w:space="0" w:color="auto"/>
            <w:left w:val="none" w:sz="0" w:space="0" w:color="auto"/>
            <w:bottom w:val="none" w:sz="0" w:space="0" w:color="auto"/>
            <w:right w:val="none" w:sz="0" w:space="0" w:color="auto"/>
          </w:divBdr>
        </w:div>
        <w:div w:id="882205715">
          <w:marLeft w:val="640"/>
          <w:marRight w:val="0"/>
          <w:marTop w:val="0"/>
          <w:marBottom w:val="0"/>
          <w:divBdr>
            <w:top w:val="none" w:sz="0" w:space="0" w:color="auto"/>
            <w:left w:val="none" w:sz="0" w:space="0" w:color="auto"/>
            <w:bottom w:val="none" w:sz="0" w:space="0" w:color="auto"/>
            <w:right w:val="none" w:sz="0" w:space="0" w:color="auto"/>
          </w:divBdr>
        </w:div>
        <w:div w:id="893544363">
          <w:marLeft w:val="640"/>
          <w:marRight w:val="0"/>
          <w:marTop w:val="0"/>
          <w:marBottom w:val="0"/>
          <w:divBdr>
            <w:top w:val="none" w:sz="0" w:space="0" w:color="auto"/>
            <w:left w:val="none" w:sz="0" w:space="0" w:color="auto"/>
            <w:bottom w:val="none" w:sz="0" w:space="0" w:color="auto"/>
            <w:right w:val="none" w:sz="0" w:space="0" w:color="auto"/>
          </w:divBdr>
        </w:div>
        <w:div w:id="973103026">
          <w:marLeft w:val="640"/>
          <w:marRight w:val="0"/>
          <w:marTop w:val="0"/>
          <w:marBottom w:val="0"/>
          <w:divBdr>
            <w:top w:val="none" w:sz="0" w:space="0" w:color="auto"/>
            <w:left w:val="none" w:sz="0" w:space="0" w:color="auto"/>
            <w:bottom w:val="none" w:sz="0" w:space="0" w:color="auto"/>
            <w:right w:val="none" w:sz="0" w:space="0" w:color="auto"/>
          </w:divBdr>
        </w:div>
        <w:div w:id="1011107663">
          <w:marLeft w:val="640"/>
          <w:marRight w:val="0"/>
          <w:marTop w:val="0"/>
          <w:marBottom w:val="0"/>
          <w:divBdr>
            <w:top w:val="none" w:sz="0" w:space="0" w:color="auto"/>
            <w:left w:val="none" w:sz="0" w:space="0" w:color="auto"/>
            <w:bottom w:val="none" w:sz="0" w:space="0" w:color="auto"/>
            <w:right w:val="none" w:sz="0" w:space="0" w:color="auto"/>
          </w:divBdr>
        </w:div>
        <w:div w:id="1011421105">
          <w:marLeft w:val="640"/>
          <w:marRight w:val="0"/>
          <w:marTop w:val="0"/>
          <w:marBottom w:val="0"/>
          <w:divBdr>
            <w:top w:val="none" w:sz="0" w:space="0" w:color="auto"/>
            <w:left w:val="none" w:sz="0" w:space="0" w:color="auto"/>
            <w:bottom w:val="none" w:sz="0" w:space="0" w:color="auto"/>
            <w:right w:val="none" w:sz="0" w:space="0" w:color="auto"/>
          </w:divBdr>
        </w:div>
        <w:div w:id="1046371750">
          <w:marLeft w:val="640"/>
          <w:marRight w:val="0"/>
          <w:marTop w:val="0"/>
          <w:marBottom w:val="0"/>
          <w:divBdr>
            <w:top w:val="none" w:sz="0" w:space="0" w:color="auto"/>
            <w:left w:val="none" w:sz="0" w:space="0" w:color="auto"/>
            <w:bottom w:val="none" w:sz="0" w:space="0" w:color="auto"/>
            <w:right w:val="none" w:sz="0" w:space="0" w:color="auto"/>
          </w:divBdr>
        </w:div>
        <w:div w:id="1081676736">
          <w:marLeft w:val="640"/>
          <w:marRight w:val="0"/>
          <w:marTop w:val="0"/>
          <w:marBottom w:val="0"/>
          <w:divBdr>
            <w:top w:val="none" w:sz="0" w:space="0" w:color="auto"/>
            <w:left w:val="none" w:sz="0" w:space="0" w:color="auto"/>
            <w:bottom w:val="none" w:sz="0" w:space="0" w:color="auto"/>
            <w:right w:val="none" w:sz="0" w:space="0" w:color="auto"/>
          </w:divBdr>
        </w:div>
        <w:div w:id="1099176863">
          <w:marLeft w:val="640"/>
          <w:marRight w:val="0"/>
          <w:marTop w:val="0"/>
          <w:marBottom w:val="0"/>
          <w:divBdr>
            <w:top w:val="none" w:sz="0" w:space="0" w:color="auto"/>
            <w:left w:val="none" w:sz="0" w:space="0" w:color="auto"/>
            <w:bottom w:val="none" w:sz="0" w:space="0" w:color="auto"/>
            <w:right w:val="none" w:sz="0" w:space="0" w:color="auto"/>
          </w:divBdr>
        </w:div>
        <w:div w:id="1104030854">
          <w:marLeft w:val="640"/>
          <w:marRight w:val="0"/>
          <w:marTop w:val="0"/>
          <w:marBottom w:val="0"/>
          <w:divBdr>
            <w:top w:val="none" w:sz="0" w:space="0" w:color="auto"/>
            <w:left w:val="none" w:sz="0" w:space="0" w:color="auto"/>
            <w:bottom w:val="none" w:sz="0" w:space="0" w:color="auto"/>
            <w:right w:val="none" w:sz="0" w:space="0" w:color="auto"/>
          </w:divBdr>
        </w:div>
        <w:div w:id="1129323485">
          <w:marLeft w:val="640"/>
          <w:marRight w:val="0"/>
          <w:marTop w:val="0"/>
          <w:marBottom w:val="0"/>
          <w:divBdr>
            <w:top w:val="none" w:sz="0" w:space="0" w:color="auto"/>
            <w:left w:val="none" w:sz="0" w:space="0" w:color="auto"/>
            <w:bottom w:val="none" w:sz="0" w:space="0" w:color="auto"/>
            <w:right w:val="none" w:sz="0" w:space="0" w:color="auto"/>
          </w:divBdr>
        </w:div>
        <w:div w:id="1132138140">
          <w:marLeft w:val="640"/>
          <w:marRight w:val="0"/>
          <w:marTop w:val="0"/>
          <w:marBottom w:val="0"/>
          <w:divBdr>
            <w:top w:val="none" w:sz="0" w:space="0" w:color="auto"/>
            <w:left w:val="none" w:sz="0" w:space="0" w:color="auto"/>
            <w:bottom w:val="none" w:sz="0" w:space="0" w:color="auto"/>
            <w:right w:val="none" w:sz="0" w:space="0" w:color="auto"/>
          </w:divBdr>
        </w:div>
        <w:div w:id="1140922160">
          <w:marLeft w:val="640"/>
          <w:marRight w:val="0"/>
          <w:marTop w:val="0"/>
          <w:marBottom w:val="0"/>
          <w:divBdr>
            <w:top w:val="none" w:sz="0" w:space="0" w:color="auto"/>
            <w:left w:val="none" w:sz="0" w:space="0" w:color="auto"/>
            <w:bottom w:val="none" w:sz="0" w:space="0" w:color="auto"/>
            <w:right w:val="none" w:sz="0" w:space="0" w:color="auto"/>
          </w:divBdr>
        </w:div>
        <w:div w:id="1141507971">
          <w:marLeft w:val="640"/>
          <w:marRight w:val="0"/>
          <w:marTop w:val="0"/>
          <w:marBottom w:val="0"/>
          <w:divBdr>
            <w:top w:val="none" w:sz="0" w:space="0" w:color="auto"/>
            <w:left w:val="none" w:sz="0" w:space="0" w:color="auto"/>
            <w:bottom w:val="none" w:sz="0" w:space="0" w:color="auto"/>
            <w:right w:val="none" w:sz="0" w:space="0" w:color="auto"/>
          </w:divBdr>
        </w:div>
        <w:div w:id="1144129515">
          <w:marLeft w:val="640"/>
          <w:marRight w:val="0"/>
          <w:marTop w:val="0"/>
          <w:marBottom w:val="0"/>
          <w:divBdr>
            <w:top w:val="none" w:sz="0" w:space="0" w:color="auto"/>
            <w:left w:val="none" w:sz="0" w:space="0" w:color="auto"/>
            <w:bottom w:val="none" w:sz="0" w:space="0" w:color="auto"/>
            <w:right w:val="none" w:sz="0" w:space="0" w:color="auto"/>
          </w:divBdr>
        </w:div>
        <w:div w:id="1218542502">
          <w:marLeft w:val="640"/>
          <w:marRight w:val="0"/>
          <w:marTop w:val="0"/>
          <w:marBottom w:val="0"/>
          <w:divBdr>
            <w:top w:val="none" w:sz="0" w:space="0" w:color="auto"/>
            <w:left w:val="none" w:sz="0" w:space="0" w:color="auto"/>
            <w:bottom w:val="none" w:sz="0" w:space="0" w:color="auto"/>
            <w:right w:val="none" w:sz="0" w:space="0" w:color="auto"/>
          </w:divBdr>
        </w:div>
        <w:div w:id="1256595100">
          <w:marLeft w:val="640"/>
          <w:marRight w:val="0"/>
          <w:marTop w:val="0"/>
          <w:marBottom w:val="0"/>
          <w:divBdr>
            <w:top w:val="none" w:sz="0" w:space="0" w:color="auto"/>
            <w:left w:val="none" w:sz="0" w:space="0" w:color="auto"/>
            <w:bottom w:val="none" w:sz="0" w:space="0" w:color="auto"/>
            <w:right w:val="none" w:sz="0" w:space="0" w:color="auto"/>
          </w:divBdr>
        </w:div>
        <w:div w:id="1277905087">
          <w:marLeft w:val="640"/>
          <w:marRight w:val="0"/>
          <w:marTop w:val="0"/>
          <w:marBottom w:val="0"/>
          <w:divBdr>
            <w:top w:val="none" w:sz="0" w:space="0" w:color="auto"/>
            <w:left w:val="none" w:sz="0" w:space="0" w:color="auto"/>
            <w:bottom w:val="none" w:sz="0" w:space="0" w:color="auto"/>
            <w:right w:val="none" w:sz="0" w:space="0" w:color="auto"/>
          </w:divBdr>
        </w:div>
        <w:div w:id="1286884692">
          <w:marLeft w:val="640"/>
          <w:marRight w:val="0"/>
          <w:marTop w:val="0"/>
          <w:marBottom w:val="0"/>
          <w:divBdr>
            <w:top w:val="none" w:sz="0" w:space="0" w:color="auto"/>
            <w:left w:val="none" w:sz="0" w:space="0" w:color="auto"/>
            <w:bottom w:val="none" w:sz="0" w:space="0" w:color="auto"/>
            <w:right w:val="none" w:sz="0" w:space="0" w:color="auto"/>
          </w:divBdr>
        </w:div>
        <w:div w:id="1292126547">
          <w:marLeft w:val="640"/>
          <w:marRight w:val="0"/>
          <w:marTop w:val="0"/>
          <w:marBottom w:val="0"/>
          <w:divBdr>
            <w:top w:val="none" w:sz="0" w:space="0" w:color="auto"/>
            <w:left w:val="none" w:sz="0" w:space="0" w:color="auto"/>
            <w:bottom w:val="none" w:sz="0" w:space="0" w:color="auto"/>
            <w:right w:val="none" w:sz="0" w:space="0" w:color="auto"/>
          </w:divBdr>
        </w:div>
        <w:div w:id="1325737482">
          <w:marLeft w:val="640"/>
          <w:marRight w:val="0"/>
          <w:marTop w:val="0"/>
          <w:marBottom w:val="0"/>
          <w:divBdr>
            <w:top w:val="none" w:sz="0" w:space="0" w:color="auto"/>
            <w:left w:val="none" w:sz="0" w:space="0" w:color="auto"/>
            <w:bottom w:val="none" w:sz="0" w:space="0" w:color="auto"/>
            <w:right w:val="none" w:sz="0" w:space="0" w:color="auto"/>
          </w:divBdr>
        </w:div>
        <w:div w:id="1417552876">
          <w:marLeft w:val="640"/>
          <w:marRight w:val="0"/>
          <w:marTop w:val="0"/>
          <w:marBottom w:val="0"/>
          <w:divBdr>
            <w:top w:val="none" w:sz="0" w:space="0" w:color="auto"/>
            <w:left w:val="none" w:sz="0" w:space="0" w:color="auto"/>
            <w:bottom w:val="none" w:sz="0" w:space="0" w:color="auto"/>
            <w:right w:val="none" w:sz="0" w:space="0" w:color="auto"/>
          </w:divBdr>
        </w:div>
        <w:div w:id="1455631981">
          <w:marLeft w:val="640"/>
          <w:marRight w:val="0"/>
          <w:marTop w:val="0"/>
          <w:marBottom w:val="0"/>
          <w:divBdr>
            <w:top w:val="none" w:sz="0" w:space="0" w:color="auto"/>
            <w:left w:val="none" w:sz="0" w:space="0" w:color="auto"/>
            <w:bottom w:val="none" w:sz="0" w:space="0" w:color="auto"/>
            <w:right w:val="none" w:sz="0" w:space="0" w:color="auto"/>
          </w:divBdr>
        </w:div>
        <w:div w:id="1484934319">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504510730">
          <w:marLeft w:val="640"/>
          <w:marRight w:val="0"/>
          <w:marTop w:val="0"/>
          <w:marBottom w:val="0"/>
          <w:divBdr>
            <w:top w:val="none" w:sz="0" w:space="0" w:color="auto"/>
            <w:left w:val="none" w:sz="0" w:space="0" w:color="auto"/>
            <w:bottom w:val="none" w:sz="0" w:space="0" w:color="auto"/>
            <w:right w:val="none" w:sz="0" w:space="0" w:color="auto"/>
          </w:divBdr>
        </w:div>
        <w:div w:id="1519661111">
          <w:marLeft w:val="640"/>
          <w:marRight w:val="0"/>
          <w:marTop w:val="0"/>
          <w:marBottom w:val="0"/>
          <w:divBdr>
            <w:top w:val="none" w:sz="0" w:space="0" w:color="auto"/>
            <w:left w:val="none" w:sz="0" w:space="0" w:color="auto"/>
            <w:bottom w:val="none" w:sz="0" w:space="0" w:color="auto"/>
            <w:right w:val="none" w:sz="0" w:space="0" w:color="auto"/>
          </w:divBdr>
        </w:div>
        <w:div w:id="1605262338">
          <w:marLeft w:val="640"/>
          <w:marRight w:val="0"/>
          <w:marTop w:val="0"/>
          <w:marBottom w:val="0"/>
          <w:divBdr>
            <w:top w:val="none" w:sz="0" w:space="0" w:color="auto"/>
            <w:left w:val="none" w:sz="0" w:space="0" w:color="auto"/>
            <w:bottom w:val="none" w:sz="0" w:space="0" w:color="auto"/>
            <w:right w:val="none" w:sz="0" w:space="0" w:color="auto"/>
          </w:divBdr>
        </w:div>
        <w:div w:id="1611280370">
          <w:marLeft w:val="640"/>
          <w:marRight w:val="0"/>
          <w:marTop w:val="0"/>
          <w:marBottom w:val="0"/>
          <w:divBdr>
            <w:top w:val="none" w:sz="0" w:space="0" w:color="auto"/>
            <w:left w:val="none" w:sz="0" w:space="0" w:color="auto"/>
            <w:bottom w:val="none" w:sz="0" w:space="0" w:color="auto"/>
            <w:right w:val="none" w:sz="0" w:space="0" w:color="auto"/>
          </w:divBdr>
        </w:div>
        <w:div w:id="1622490782">
          <w:marLeft w:val="640"/>
          <w:marRight w:val="0"/>
          <w:marTop w:val="0"/>
          <w:marBottom w:val="0"/>
          <w:divBdr>
            <w:top w:val="none" w:sz="0" w:space="0" w:color="auto"/>
            <w:left w:val="none" w:sz="0" w:space="0" w:color="auto"/>
            <w:bottom w:val="none" w:sz="0" w:space="0" w:color="auto"/>
            <w:right w:val="none" w:sz="0" w:space="0" w:color="auto"/>
          </w:divBdr>
        </w:div>
        <w:div w:id="1638144807">
          <w:marLeft w:val="640"/>
          <w:marRight w:val="0"/>
          <w:marTop w:val="0"/>
          <w:marBottom w:val="0"/>
          <w:divBdr>
            <w:top w:val="none" w:sz="0" w:space="0" w:color="auto"/>
            <w:left w:val="none" w:sz="0" w:space="0" w:color="auto"/>
            <w:bottom w:val="none" w:sz="0" w:space="0" w:color="auto"/>
            <w:right w:val="none" w:sz="0" w:space="0" w:color="auto"/>
          </w:divBdr>
        </w:div>
        <w:div w:id="1644458202">
          <w:marLeft w:val="640"/>
          <w:marRight w:val="0"/>
          <w:marTop w:val="0"/>
          <w:marBottom w:val="0"/>
          <w:divBdr>
            <w:top w:val="none" w:sz="0" w:space="0" w:color="auto"/>
            <w:left w:val="none" w:sz="0" w:space="0" w:color="auto"/>
            <w:bottom w:val="none" w:sz="0" w:space="0" w:color="auto"/>
            <w:right w:val="none" w:sz="0" w:space="0" w:color="auto"/>
          </w:divBdr>
        </w:div>
        <w:div w:id="1670865117">
          <w:marLeft w:val="640"/>
          <w:marRight w:val="0"/>
          <w:marTop w:val="0"/>
          <w:marBottom w:val="0"/>
          <w:divBdr>
            <w:top w:val="none" w:sz="0" w:space="0" w:color="auto"/>
            <w:left w:val="none" w:sz="0" w:space="0" w:color="auto"/>
            <w:bottom w:val="none" w:sz="0" w:space="0" w:color="auto"/>
            <w:right w:val="none" w:sz="0" w:space="0" w:color="auto"/>
          </w:divBdr>
        </w:div>
        <w:div w:id="1673681352">
          <w:marLeft w:val="640"/>
          <w:marRight w:val="0"/>
          <w:marTop w:val="0"/>
          <w:marBottom w:val="0"/>
          <w:divBdr>
            <w:top w:val="none" w:sz="0" w:space="0" w:color="auto"/>
            <w:left w:val="none" w:sz="0" w:space="0" w:color="auto"/>
            <w:bottom w:val="none" w:sz="0" w:space="0" w:color="auto"/>
            <w:right w:val="none" w:sz="0" w:space="0" w:color="auto"/>
          </w:divBdr>
        </w:div>
        <w:div w:id="1734961747">
          <w:marLeft w:val="640"/>
          <w:marRight w:val="0"/>
          <w:marTop w:val="0"/>
          <w:marBottom w:val="0"/>
          <w:divBdr>
            <w:top w:val="none" w:sz="0" w:space="0" w:color="auto"/>
            <w:left w:val="none" w:sz="0" w:space="0" w:color="auto"/>
            <w:bottom w:val="none" w:sz="0" w:space="0" w:color="auto"/>
            <w:right w:val="none" w:sz="0" w:space="0" w:color="auto"/>
          </w:divBdr>
        </w:div>
        <w:div w:id="1744987892">
          <w:marLeft w:val="640"/>
          <w:marRight w:val="0"/>
          <w:marTop w:val="0"/>
          <w:marBottom w:val="0"/>
          <w:divBdr>
            <w:top w:val="none" w:sz="0" w:space="0" w:color="auto"/>
            <w:left w:val="none" w:sz="0" w:space="0" w:color="auto"/>
            <w:bottom w:val="none" w:sz="0" w:space="0" w:color="auto"/>
            <w:right w:val="none" w:sz="0" w:space="0" w:color="auto"/>
          </w:divBdr>
        </w:div>
        <w:div w:id="1754206662">
          <w:marLeft w:val="640"/>
          <w:marRight w:val="0"/>
          <w:marTop w:val="0"/>
          <w:marBottom w:val="0"/>
          <w:divBdr>
            <w:top w:val="none" w:sz="0" w:space="0" w:color="auto"/>
            <w:left w:val="none" w:sz="0" w:space="0" w:color="auto"/>
            <w:bottom w:val="none" w:sz="0" w:space="0" w:color="auto"/>
            <w:right w:val="none" w:sz="0" w:space="0" w:color="auto"/>
          </w:divBdr>
        </w:div>
        <w:div w:id="1763212856">
          <w:marLeft w:val="640"/>
          <w:marRight w:val="0"/>
          <w:marTop w:val="0"/>
          <w:marBottom w:val="0"/>
          <w:divBdr>
            <w:top w:val="none" w:sz="0" w:space="0" w:color="auto"/>
            <w:left w:val="none" w:sz="0" w:space="0" w:color="auto"/>
            <w:bottom w:val="none" w:sz="0" w:space="0" w:color="auto"/>
            <w:right w:val="none" w:sz="0" w:space="0" w:color="auto"/>
          </w:divBdr>
        </w:div>
        <w:div w:id="1774201973">
          <w:marLeft w:val="640"/>
          <w:marRight w:val="0"/>
          <w:marTop w:val="0"/>
          <w:marBottom w:val="0"/>
          <w:divBdr>
            <w:top w:val="none" w:sz="0" w:space="0" w:color="auto"/>
            <w:left w:val="none" w:sz="0" w:space="0" w:color="auto"/>
            <w:bottom w:val="none" w:sz="0" w:space="0" w:color="auto"/>
            <w:right w:val="none" w:sz="0" w:space="0" w:color="auto"/>
          </w:divBdr>
        </w:div>
        <w:div w:id="1814906836">
          <w:marLeft w:val="640"/>
          <w:marRight w:val="0"/>
          <w:marTop w:val="0"/>
          <w:marBottom w:val="0"/>
          <w:divBdr>
            <w:top w:val="none" w:sz="0" w:space="0" w:color="auto"/>
            <w:left w:val="none" w:sz="0" w:space="0" w:color="auto"/>
            <w:bottom w:val="none" w:sz="0" w:space="0" w:color="auto"/>
            <w:right w:val="none" w:sz="0" w:space="0" w:color="auto"/>
          </w:divBdr>
        </w:div>
        <w:div w:id="1829125415">
          <w:marLeft w:val="640"/>
          <w:marRight w:val="0"/>
          <w:marTop w:val="0"/>
          <w:marBottom w:val="0"/>
          <w:divBdr>
            <w:top w:val="none" w:sz="0" w:space="0" w:color="auto"/>
            <w:left w:val="none" w:sz="0" w:space="0" w:color="auto"/>
            <w:bottom w:val="none" w:sz="0" w:space="0" w:color="auto"/>
            <w:right w:val="none" w:sz="0" w:space="0" w:color="auto"/>
          </w:divBdr>
        </w:div>
        <w:div w:id="1857960014">
          <w:marLeft w:val="640"/>
          <w:marRight w:val="0"/>
          <w:marTop w:val="0"/>
          <w:marBottom w:val="0"/>
          <w:divBdr>
            <w:top w:val="none" w:sz="0" w:space="0" w:color="auto"/>
            <w:left w:val="none" w:sz="0" w:space="0" w:color="auto"/>
            <w:bottom w:val="none" w:sz="0" w:space="0" w:color="auto"/>
            <w:right w:val="none" w:sz="0" w:space="0" w:color="auto"/>
          </w:divBdr>
        </w:div>
        <w:div w:id="1869414899">
          <w:marLeft w:val="640"/>
          <w:marRight w:val="0"/>
          <w:marTop w:val="0"/>
          <w:marBottom w:val="0"/>
          <w:divBdr>
            <w:top w:val="none" w:sz="0" w:space="0" w:color="auto"/>
            <w:left w:val="none" w:sz="0" w:space="0" w:color="auto"/>
            <w:bottom w:val="none" w:sz="0" w:space="0" w:color="auto"/>
            <w:right w:val="none" w:sz="0" w:space="0" w:color="auto"/>
          </w:divBdr>
        </w:div>
        <w:div w:id="1880389624">
          <w:marLeft w:val="640"/>
          <w:marRight w:val="0"/>
          <w:marTop w:val="0"/>
          <w:marBottom w:val="0"/>
          <w:divBdr>
            <w:top w:val="none" w:sz="0" w:space="0" w:color="auto"/>
            <w:left w:val="none" w:sz="0" w:space="0" w:color="auto"/>
            <w:bottom w:val="none" w:sz="0" w:space="0" w:color="auto"/>
            <w:right w:val="none" w:sz="0" w:space="0" w:color="auto"/>
          </w:divBdr>
        </w:div>
        <w:div w:id="2014337337">
          <w:marLeft w:val="640"/>
          <w:marRight w:val="0"/>
          <w:marTop w:val="0"/>
          <w:marBottom w:val="0"/>
          <w:divBdr>
            <w:top w:val="none" w:sz="0" w:space="0" w:color="auto"/>
            <w:left w:val="none" w:sz="0" w:space="0" w:color="auto"/>
            <w:bottom w:val="none" w:sz="0" w:space="0" w:color="auto"/>
            <w:right w:val="none" w:sz="0" w:space="0" w:color="auto"/>
          </w:divBdr>
        </w:div>
        <w:div w:id="2047292233">
          <w:marLeft w:val="640"/>
          <w:marRight w:val="0"/>
          <w:marTop w:val="0"/>
          <w:marBottom w:val="0"/>
          <w:divBdr>
            <w:top w:val="none" w:sz="0" w:space="0" w:color="auto"/>
            <w:left w:val="none" w:sz="0" w:space="0" w:color="auto"/>
            <w:bottom w:val="none" w:sz="0" w:space="0" w:color="auto"/>
            <w:right w:val="none" w:sz="0" w:space="0" w:color="auto"/>
          </w:divBdr>
        </w:div>
        <w:div w:id="2117170420">
          <w:marLeft w:val="640"/>
          <w:marRight w:val="0"/>
          <w:marTop w:val="0"/>
          <w:marBottom w:val="0"/>
          <w:divBdr>
            <w:top w:val="none" w:sz="0" w:space="0" w:color="auto"/>
            <w:left w:val="none" w:sz="0" w:space="0" w:color="auto"/>
            <w:bottom w:val="none" w:sz="0" w:space="0" w:color="auto"/>
            <w:right w:val="none" w:sz="0" w:space="0" w:color="auto"/>
          </w:divBdr>
        </w:div>
      </w:divsChild>
    </w:div>
    <w:div w:id="1449666285">
      <w:bodyDiv w:val="1"/>
      <w:marLeft w:val="0"/>
      <w:marRight w:val="0"/>
      <w:marTop w:val="0"/>
      <w:marBottom w:val="0"/>
      <w:divBdr>
        <w:top w:val="none" w:sz="0" w:space="0" w:color="auto"/>
        <w:left w:val="none" w:sz="0" w:space="0" w:color="auto"/>
        <w:bottom w:val="none" w:sz="0" w:space="0" w:color="auto"/>
        <w:right w:val="none" w:sz="0" w:space="0" w:color="auto"/>
      </w:divBdr>
    </w:div>
    <w:div w:id="1464957576">
      <w:bodyDiv w:val="1"/>
      <w:marLeft w:val="0"/>
      <w:marRight w:val="0"/>
      <w:marTop w:val="0"/>
      <w:marBottom w:val="0"/>
      <w:divBdr>
        <w:top w:val="none" w:sz="0" w:space="0" w:color="auto"/>
        <w:left w:val="none" w:sz="0" w:space="0" w:color="auto"/>
        <w:bottom w:val="none" w:sz="0" w:space="0" w:color="auto"/>
        <w:right w:val="none" w:sz="0" w:space="0" w:color="auto"/>
      </w:divBdr>
      <w:divsChild>
        <w:div w:id="384573064">
          <w:marLeft w:val="0"/>
          <w:marRight w:val="0"/>
          <w:marTop w:val="0"/>
          <w:marBottom w:val="0"/>
          <w:divBdr>
            <w:top w:val="none" w:sz="0" w:space="0" w:color="auto"/>
            <w:left w:val="none" w:sz="0" w:space="0" w:color="auto"/>
            <w:bottom w:val="none" w:sz="0" w:space="0" w:color="auto"/>
            <w:right w:val="none" w:sz="0" w:space="0" w:color="auto"/>
          </w:divBdr>
          <w:divsChild>
            <w:div w:id="1518615293">
              <w:marLeft w:val="0"/>
              <w:marRight w:val="0"/>
              <w:marTop w:val="0"/>
              <w:marBottom w:val="0"/>
              <w:divBdr>
                <w:top w:val="none" w:sz="0" w:space="0" w:color="auto"/>
                <w:left w:val="none" w:sz="0" w:space="0" w:color="auto"/>
                <w:bottom w:val="none" w:sz="0" w:space="0" w:color="auto"/>
                <w:right w:val="none" w:sz="0" w:space="0" w:color="auto"/>
              </w:divBdr>
              <w:divsChild>
                <w:div w:id="1308702709">
                  <w:marLeft w:val="0"/>
                  <w:marRight w:val="0"/>
                  <w:marTop w:val="0"/>
                  <w:marBottom w:val="0"/>
                  <w:divBdr>
                    <w:top w:val="none" w:sz="0" w:space="0" w:color="auto"/>
                    <w:left w:val="none" w:sz="0" w:space="0" w:color="auto"/>
                    <w:bottom w:val="none" w:sz="0" w:space="0" w:color="auto"/>
                    <w:right w:val="none" w:sz="0" w:space="0" w:color="auto"/>
                  </w:divBdr>
                  <w:divsChild>
                    <w:div w:id="1109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5264">
      <w:bodyDiv w:val="1"/>
      <w:marLeft w:val="0"/>
      <w:marRight w:val="0"/>
      <w:marTop w:val="0"/>
      <w:marBottom w:val="0"/>
      <w:divBdr>
        <w:top w:val="none" w:sz="0" w:space="0" w:color="auto"/>
        <w:left w:val="none" w:sz="0" w:space="0" w:color="auto"/>
        <w:bottom w:val="none" w:sz="0" w:space="0" w:color="auto"/>
        <w:right w:val="none" w:sz="0" w:space="0" w:color="auto"/>
      </w:divBdr>
      <w:divsChild>
        <w:div w:id="33964722">
          <w:marLeft w:val="640"/>
          <w:marRight w:val="0"/>
          <w:marTop w:val="0"/>
          <w:marBottom w:val="0"/>
          <w:divBdr>
            <w:top w:val="none" w:sz="0" w:space="0" w:color="auto"/>
            <w:left w:val="none" w:sz="0" w:space="0" w:color="auto"/>
            <w:bottom w:val="none" w:sz="0" w:space="0" w:color="auto"/>
            <w:right w:val="none" w:sz="0" w:space="0" w:color="auto"/>
          </w:divBdr>
        </w:div>
        <w:div w:id="45615042">
          <w:marLeft w:val="640"/>
          <w:marRight w:val="0"/>
          <w:marTop w:val="0"/>
          <w:marBottom w:val="0"/>
          <w:divBdr>
            <w:top w:val="none" w:sz="0" w:space="0" w:color="auto"/>
            <w:left w:val="none" w:sz="0" w:space="0" w:color="auto"/>
            <w:bottom w:val="none" w:sz="0" w:space="0" w:color="auto"/>
            <w:right w:val="none" w:sz="0" w:space="0" w:color="auto"/>
          </w:divBdr>
        </w:div>
        <w:div w:id="51586985">
          <w:marLeft w:val="640"/>
          <w:marRight w:val="0"/>
          <w:marTop w:val="0"/>
          <w:marBottom w:val="0"/>
          <w:divBdr>
            <w:top w:val="none" w:sz="0" w:space="0" w:color="auto"/>
            <w:left w:val="none" w:sz="0" w:space="0" w:color="auto"/>
            <w:bottom w:val="none" w:sz="0" w:space="0" w:color="auto"/>
            <w:right w:val="none" w:sz="0" w:space="0" w:color="auto"/>
          </w:divBdr>
        </w:div>
        <w:div w:id="58019607">
          <w:marLeft w:val="640"/>
          <w:marRight w:val="0"/>
          <w:marTop w:val="0"/>
          <w:marBottom w:val="0"/>
          <w:divBdr>
            <w:top w:val="none" w:sz="0" w:space="0" w:color="auto"/>
            <w:left w:val="none" w:sz="0" w:space="0" w:color="auto"/>
            <w:bottom w:val="none" w:sz="0" w:space="0" w:color="auto"/>
            <w:right w:val="none" w:sz="0" w:space="0" w:color="auto"/>
          </w:divBdr>
        </w:div>
        <w:div w:id="75635718">
          <w:marLeft w:val="640"/>
          <w:marRight w:val="0"/>
          <w:marTop w:val="0"/>
          <w:marBottom w:val="0"/>
          <w:divBdr>
            <w:top w:val="none" w:sz="0" w:space="0" w:color="auto"/>
            <w:left w:val="none" w:sz="0" w:space="0" w:color="auto"/>
            <w:bottom w:val="none" w:sz="0" w:space="0" w:color="auto"/>
            <w:right w:val="none" w:sz="0" w:space="0" w:color="auto"/>
          </w:divBdr>
        </w:div>
        <w:div w:id="143937160">
          <w:marLeft w:val="640"/>
          <w:marRight w:val="0"/>
          <w:marTop w:val="0"/>
          <w:marBottom w:val="0"/>
          <w:divBdr>
            <w:top w:val="none" w:sz="0" w:space="0" w:color="auto"/>
            <w:left w:val="none" w:sz="0" w:space="0" w:color="auto"/>
            <w:bottom w:val="none" w:sz="0" w:space="0" w:color="auto"/>
            <w:right w:val="none" w:sz="0" w:space="0" w:color="auto"/>
          </w:divBdr>
        </w:div>
        <w:div w:id="195823509">
          <w:marLeft w:val="640"/>
          <w:marRight w:val="0"/>
          <w:marTop w:val="0"/>
          <w:marBottom w:val="0"/>
          <w:divBdr>
            <w:top w:val="none" w:sz="0" w:space="0" w:color="auto"/>
            <w:left w:val="none" w:sz="0" w:space="0" w:color="auto"/>
            <w:bottom w:val="none" w:sz="0" w:space="0" w:color="auto"/>
            <w:right w:val="none" w:sz="0" w:space="0" w:color="auto"/>
          </w:divBdr>
        </w:div>
        <w:div w:id="250747036">
          <w:marLeft w:val="640"/>
          <w:marRight w:val="0"/>
          <w:marTop w:val="0"/>
          <w:marBottom w:val="0"/>
          <w:divBdr>
            <w:top w:val="none" w:sz="0" w:space="0" w:color="auto"/>
            <w:left w:val="none" w:sz="0" w:space="0" w:color="auto"/>
            <w:bottom w:val="none" w:sz="0" w:space="0" w:color="auto"/>
            <w:right w:val="none" w:sz="0" w:space="0" w:color="auto"/>
          </w:divBdr>
        </w:div>
        <w:div w:id="275452147">
          <w:marLeft w:val="640"/>
          <w:marRight w:val="0"/>
          <w:marTop w:val="0"/>
          <w:marBottom w:val="0"/>
          <w:divBdr>
            <w:top w:val="none" w:sz="0" w:space="0" w:color="auto"/>
            <w:left w:val="none" w:sz="0" w:space="0" w:color="auto"/>
            <w:bottom w:val="none" w:sz="0" w:space="0" w:color="auto"/>
            <w:right w:val="none" w:sz="0" w:space="0" w:color="auto"/>
          </w:divBdr>
        </w:div>
        <w:div w:id="279999107">
          <w:marLeft w:val="640"/>
          <w:marRight w:val="0"/>
          <w:marTop w:val="0"/>
          <w:marBottom w:val="0"/>
          <w:divBdr>
            <w:top w:val="none" w:sz="0" w:space="0" w:color="auto"/>
            <w:left w:val="none" w:sz="0" w:space="0" w:color="auto"/>
            <w:bottom w:val="none" w:sz="0" w:space="0" w:color="auto"/>
            <w:right w:val="none" w:sz="0" w:space="0" w:color="auto"/>
          </w:divBdr>
        </w:div>
        <w:div w:id="315379743">
          <w:marLeft w:val="640"/>
          <w:marRight w:val="0"/>
          <w:marTop w:val="0"/>
          <w:marBottom w:val="0"/>
          <w:divBdr>
            <w:top w:val="none" w:sz="0" w:space="0" w:color="auto"/>
            <w:left w:val="none" w:sz="0" w:space="0" w:color="auto"/>
            <w:bottom w:val="none" w:sz="0" w:space="0" w:color="auto"/>
            <w:right w:val="none" w:sz="0" w:space="0" w:color="auto"/>
          </w:divBdr>
        </w:div>
        <w:div w:id="385684212">
          <w:marLeft w:val="640"/>
          <w:marRight w:val="0"/>
          <w:marTop w:val="0"/>
          <w:marBottom w:val="0"/>
          <w:divBdr>
            <w:top w:val="none" w:sz="0" w:space="0" w:color="auto"/>
            <w:left w:val="none" w:sz="0" w:space="0" w:color="auto"/>
            <w:bottom w:val="none" w:sz="0" w:space="0" w:color="auto"/>
            <w:right w:val="none" w:sz="0" w:space="0" w:color="auto"/>
          </w:divBdr>
        </w:div>
        <w:div w:id="390617647">
          <w:marLeft w:val="640"/>
          <w:marRight w:val="0"/>
          <w:marTop w:val="0"/>
          <w:marBottom w:val="0"/>
          <w:divBdr>
            <w:top w:val="none" w:sz="0" w:space="0" w:color="auto"/>
            <w:left w:val="none" w:sz="0" w:space="0" w:color="auto"/>
            <w:bottom w:val="none" w:sz="0" w:space="0" w:color="auto"/>
            <w:right w:val="none" w:sz="0" w:space="0" w:color="auto"/>
          </w:divBdr>
        </w:div>
        <w:div w:id="439447984">
          <w:marLeft w:val="640"/>
          <w:marRight w:val="0"/>
          <w:marTop w:val="0"/>
          <w:marBottom w:val="0"/>
          <w:divBdr>
            <w:top w:val="none" w:sz="0" w:space="0" w:color="auto"/>
            <w:left w:val="none" w:sz="0" w:space="0" w:color="auto"/>
            <w:bottom w:val="none" w:sz="0" w:space="0" w:color="auto"/>
            <w:right w:val="none" w:sz="0" w:space="0" w:color="auto"/>
          </w:divBdr>
        </w:div>
        <w:div w:id="473328020">
          <w:marLeft w:val="640"/>
          <w:marRight w:val="0"/>
          <w:marTop w:val="0"/>
          <w:marBottom w:val="0"/>
          <w:divBdr>
            <w:top w:val="none" w:sz="0" w:space="0" w:color="auto"/>
            <w:left w:val="none" w:sz="0" w:space="0" w:color="auto"/>
            <w:bottom w:val="none" w:sz="0" w:space="0" w:color="auto"/>
            <w:right w:val="none" w:sz="0" w:space="0" w:color="auto"/>
          </w:divBdr>
        </w:div>
        <w:div w:id="521821210">
          <w:marLeft w:val="640"/>
          <w:marRight w:val="0"/>
          <w:marTop w:val="0"/>
          <w:marBottom w:val="0"/>
          <w:divBdr>
            <w:top w:val="none" w:sz="0" w:space="0" w:color="auto"/>
            <w:left w:val="none" w:sz="0" w:space="0" w:color="auto"/>
            <w:bottom w:val="none" w:sz="0" w:space="0" w:color="auto"/>
            <w:right w:val="none" w:sz="0" w:space="0" w:color="auto"/>
          </w:divBdr>
        </w:div>
        <w:div w:id="557977333">
          <w:marLeft w:val="640"/>
          <w:marRight w:val="0"/>
          <w:marTop w:val="0"/>
          <w:marBottom w:val="0"/>
          <w:divBdr>
            <w:top w:val="none" w:sz="0" w:space="0" w:color="auto"/>
            <w:left w:val="none" w:sz="0" w:space="0" w:color="auto"/>
            <w:bottom w:val="none" w:sz="0" w:space="0" w:color="auto"/>
            <w:right w:val="none" w:sz="0" w:space="0" w:color="auto"/>
          </w:divBdr>
        </w:div>
        <w:div w:id="607004106">
          <w:marLeft w:val="640"/>
          <w:marRight w:val="0"/>
          <w:marTop w:val="0"/>
          <w:marBottom w:val="0"/>
          <w:divBdr>
            <w:top w:val="none" w:sz="0" w:space="0" w:color="auto"/>
            <w:left w:val="none" w:sz="0" w:space="0" w:color="auto"/>
            <w:bottom w:val="none" w:sz="0" w:space="0" w:color="auto"/>
            <w:right w:val="none" w:sz="0" w:space="0" w:color="auto"/>
          </w:divBdr>
        </w:div>
        <w:div w:id="639724839">
          <w:marLeft w:val="640"/>
          <w:marRight w:val="0"/>
          <w:marTop w:val="0"/>
          <w:marBottom w:val="0"/>
          <w:divBdr>
            <w:top w:val="none" w:sz="0" w:space="0" w:color="auto"/>
            <w:left w:val="none" w:sz="0" w:space="0" w:color="auto"/>
            <w:bottom w:val="none" w:sz="0" w:space="0" w:color="auto"/>
            <w:right w:val="none" w:sz="0" w:space="0" w:color="auto"/>
          </w:divBdr>
        </w:div>
        <w:div w:id="705834857">
          <w:marLeft w:val="640"/>
          <w:marRight w:val="0"/>
          <w:marTop w:val="0"/>
          <w:marBottom w:val="0"/>
          <w:divBdr>
            <w:top w:val="none" w:sz="0" w:space="0" w:color="auto"/>
            <w:left w:val="none" w:sz="0" w:space="0" w:color="auto"/>
            <w:bottom w:val="none" w:sz="0" w:space="0" w:color="auto"/>
            <w:right w:val="none" w:sz="0" w:space="0" w:color="auto"/>
          </w:divBdr>
        </w:div>
        <w:div w:id="738864817">
          <w:marLeft w:val="640"/>
          <w:marRight w:val="0"/>
          <w:marTop w:val="0"/>
          <w:marBottom w:val="0"/>
          <w:divBdr>
            <w:top w:val="none" w:sz="0" w:space="0" w:color="auto"/>
            <w:left w:val="none" w:sz="0" w:space="0" w:color="auto"/>
            <w:bottom w:val="none" w:sz="0" w:space="0" w:color="auto"/>
            <w:right w:val="none" w:sz="0" w:space="0" w:color="auto"/>
          </w:divBdr>
        </w:div>
        <w:div w:id="794717811">
          <w:marLeft w:val="640"/>
          <w:marRight w:val="0"/>
          <w:marTop w:val="0"/>
          <w:marBottom w:val="0"/>
          <w:divBdr>
            <w:top w:val="none" w:sz="0" w:space="0" w:color="auto"/>
            <w:left w:val="none" w:sz="0" w:space="0" w:color="auto"/>
            <w:bottom w:val="none" w:sz="0" w:space="0" w:color="auto"/>
            <w:right w:val="none" w:sz="0" w:space="0" w:color="auto"/>
          </w:divBdr>
        </w:div>
        <w:div w:id="803616264">
          <w:marLeft w:val="640"/>
          <w:marRight w:val="0"/>
          <w:marTop w:val="0"/>
          <w:marBottom w:val="0"/>
          <w:divBdr>
            <w:top w:val="none" w:sz="0" w:space="0" w:color="auto"/>
            <w:left w:val="none" w:sz="0" w:space="0" w:color="auto"/>
            <w:bottom w:val="none" w:sz="0" w:space="0" w:color="auto"/>
            <w:right w:val="none" w:sz="0" w:space="0" w:color="auto"/>
          </w:divBdr>
        </w:div>
        <w:div w:id="804469941">
          <w:marLeft w:val="640"/>
          <w:marRight w:val="0"/>
          <w:marTop w:val="0"/>
          <w:marBottom w:val="0"/>
          <w:divBdr>
            <w:top w:val="none" w:sz="0" w:space="0" w:color="auto"/>
            <w:left w:val="none" w:sz="0" w:space="0" w:color="auto"/>
            <w:bottom w:val="none" w:sz="0" w:space="0" w:color="auto"/>
            <w:right w:val="none" w:sz="0" w:space="0" w:color="auto"/>
          </w:divBdr>
        </w:div>
        <w:div w:id="840970229">
          <w:marLeft w:val="640"/>
          <w:marRight w:val="0"/>
          <w:marTop w:val="0"/>
          <w:marBottom w:val="0"/>
          <w:divBdr>
            <w:top w:val="none" w:sz="0" w:space="0" w:color="auto"/>
            <w:left w:val="none" w:sz="0" w:space="0" w:color="auto"/>
            <w:bottom w:val="none" w:sz="0" w:space="0" w:color="auto"/>
            <w:right w:val="none" w:sz="0" w:space="0" w:color="auto"/>
          </w:divBdr>
        </w:div>
        <w:div w:id="857767565">
          <w:marLeft w:val="640"/>
          <w:marRight w:val="0"/>
          <w:marTop w:val="0"/>
          <w:marBottom w:val="0"/>
          <w:divBdr>
            <w:top w:val="none" w:sz="0" w:space="0" w:color="auto"/>
            <w:left w:val="none" w:sz="0" w:space="0" w:color="auto"/>
            <w:bottom w:val="none" w:sz="0" w:space="0" w:color="auto"/>
            <w:right w:val="none" w:sz="0" w:space="0" w:color="auto"/>
          </w:divBdr>
        </w:div>
        <w:div w:id="945233980">
          <w:marLeft w:val="640"/>
          <w:marRight w:val="0"/>
          <w:marTop w:val="0"/>
          <w:marBottom w:val="0"/>
          <w:divBdr>
            <w:top w:val="none" w:sz="0" w:space="0" w:color="auto"/>
            <w:left w:val="none" w:sz="0" w:space="0" w:color="auto"/>
            <w:bottom w:val="none" w:sz="0" w:space="0" w:color="auto"/>
            <w:right w:val="none" w:sz="0" w:space="0" w:color="auto"/>
          </w:divBdr>
        </w:div>
        <w:div w:id="970017659">
          <w:marLeft w:val="640"/>
          <w:marRight w:val="0"/>
          <w:marTop w:val="0"/>
          <w:marBottom w:val="0"/>
          <w:divBdr>
            <w:top w:val="none" w:sz="0" w:space="0" w:color="auto"/>
            <w:left w:val="none" w:sz="0" w:space="0" w:color="auto"/>
            <w:bottom w:val="none" w:sz="0" w:space="0" w:color="auto"/>
            <w:right w:val="none" w:sz="0" w:space="0" w:color="auto"/>
          </w:divBdr>
        </w:div>
        <w:div w:id="982657142">
          <w:marLeft w:val="640"/>
          <w:marRight w:val="0"/>
          <w:marTop w:val="0"/>
          <w:marBottom w:val="0"/>
          <w:divBdr>
            <w:top w:val="none" w:sz="0" w:space="0" w:color="auto"/>
            <w:left w:val="none" w:sz="0" w:space="0" w:color="auto"/>
            <w:bottom w:val="none" w:sz="0" w:space="0" w:color="auto"/>
            <w:right w:val="none" w:sz="0" w:space="0" w:color="auto"/>
          </w:divBdr>
        </w:div>
        <w:div w:id="989939880">
          <w:marLeft w:val="640"/>
          <w:marRight w:val="0"/>
          <w:marTop w:val="0"/>
          <w:marBottom w:val="0"/>
          <w:divBdr>
            <w:top w:val="none" w:sz="0" w:space="0" w:color="auto"/>
            <w:left w:val="none" w:sz="0" w:space="0" w:color="auto"/>
            <w:bottom w:val="none" w:sz="0" w:space="0" w:color="auto"/>
            <w:right w:val="none" w:sz="0" w:space="0" w:color="auto"/>
          </w:divBdr>
        </w:div>
        <w:div w:id="1005936969">
          <w:marLeft w:val="640"/>
          <w:marRight w:val="0"/>
          <w:marTop w:val="0"/>
          <w:marBottom w:val="0"/>
          <w:divBdr>
            <w:top w:val="none" w:sz="0" w:space="0" w:color="auto"/>
            <w:left w:val="none" w:sz="0" w:space="0" w:color="auto"/>
            <w:bottom w:val="none" w:sz="0" w:space="0" w:color="auto"/>
            <w:right w:val="none" w:sz="0" w:space="0" w:color="auto"/>
          </w:divBdr>
        </w:div>
        <w:div w:id="1013144128">
          <w:marLeft w:val="640"/>
          <w:marRight w:val="0"/>
          <w:marTop w:val="0"/>
          <w:marBottom w:val="0"/>
          <w:divBdr>
            <w:top w:val="none" w:sz="0" w:space="0" w:color="auto"/>
            <w:left w:val="none" w:sz="0" w:space="0" w:color="auto"/>
            <w:bottom w:val="none" w:sz="0" w:space="0" w:color="auto"/>
            <w:right w:val="none" w:sz="0" w:space="0" w:color="auto"/>
          </w:divBdr>
        </w:div>
        <w:div w:id="1024865452">
          <w:marLeft w:val="640"/>
          <w:marRight w:val="0"/>
          <w:marTop w:val="0"/>
          <w:marBottom w:val="0"/>
          <w:divBdr>
            <w:top w:val="none" w:sz="0" w:space="0" w:color="auto"/>
            <w:left w:val="none" w:sz="0" w:space="0" w:color="auto"/>
            <w:bottom w:val="none" w:sz="0" w:space="0" w:color="auto"/>
            <w:right w:val="none" w:sz="0" w:space="0" w:color="auto"/>
          </w:divBdr>
        </w:div>
        <w:div w:id="1032683288">
          <w:marLeft w:val="640"/>
          <w:marRight w:val="0"/>
          <w:marTop w:val="0"/>
          <w:marBottom w:val="0"/>
          <w:divBdr>
            <w:top w:val="none" w:sz="0" w:space="0" w:color="auto"/>
            <w:left w:val="none" w:sz="0" w:space="0" w:color="auto"/>
            <w:bottom w:val="none" w:sz="0" w:space="0" w:color="auto"/>
            <w:right w:val="none" w:sz="0" w:space="0" w:color="auto"/>
          </w:divBdr>
        </w:div>
        <w:div w:id="1103109537">
          <w:marLeft w:val="640"/>
          <w:marRight w:val="0"/>
          <w:marTop w:val="0"/>
          <w:marBottom w:val="0"/>
          <w:divBdr>
            <w:top w:val="none" w:sz="0" w:space="0" w:color="auto"/>
            <w:left w:val="none" w:sz="0" w:space="0" w:color="auto"/>
            <w:bottom w:val="none" w:sz="0" w:space="0" w:color="auto"/>
            <w:right w:val="none" w:sz="0" w:space="0" w:color="auto"/>
          </w:divBdr>
        </w:div>
        <w:div w:id="1103918685">
          <w:marLeft w:val="640"/>
          <w:marRight w:val="0"/>
          <w:marTop w:val="0"/>
          <w:marBottom w:val="0"/>
          <w:divBdr>
            <w:top w:val="none" w:sz="0" w:space="0" w:color="auto"/>
            <w:left w:val="none" w:sz="0" w:space="0" w:color="auto"/>
            <w:bottom w:val="none" w:sz="0" w:space="0" w:color="auto"/>
            <w:right w:val="none" w:sz="0" w:space="0" w:color="auto"/>
          </w:divBdr>
        </w:div>
        <w:div w:id="1137339739">
          <w:marLeft w:val="640"/>
          <w:marRight w:val="0"/>
          <w:marTop w:val="0"/>
          <w:marBottom w:val="0"/>
          <w:divBdr>
            <w:top w:val="none" w:sz="0" w:space="0" w:color="auto"/>
            <w:left w:val="none" w:sz="0" w:space="0" w:color="auto"/>
            <w:bottom w:val="none" w:sz="0" w:space="0" w:color="auto"/>
            <w:right w:val="none" w:sz="0" w:space="0" w:color="auto"/>
          </w:divBdr>
        </w:div>
        <w:div w:id="1180654543">
          <w:marLeft w:val="640"/>
          <w:marRight w:val="0"/>
          <w:marTop w:val="0"/>
          <w:marBottom w:val="0"/>
          <w:divBdr>
            <w:top w:val="none" w:sz="0" w:space="0" w:color="auto"/>
            <w:left w:val="none" w:sz="0" w:space="0" w:color="auto"/>
            <w:bottom w:val="none" w:sz="0" w:space="0" w:color="auto"/>
            <w:right w:val="none" w:sz="0" w:space="0" w:color="auto"/>
          </w:divBdr>
        </w:div>
        <w:div w:id="1191382503">
          <w:marLeft w:val="640"/>
          <w:marRight w:val="0"/>
          <w:marTop w:val="0"/>
          <w:marBottom w:val="0"/>
          <w:divBdr>
            <w:top w:val="none" w:sz="0" w:space="0" w:color="auto"/>
            <w:left w:val="none" w:sz="0" w:space="0" w:color="auto"/>
            <w:bottom w:val="none" w:sz="0" w:space="0" w:color="auto"/>
            <w:right w:val="none" w:sz="0" w:space="0" w:color="auto"/>
          </w:divBdr>
        </w:div>
        <w:div w:id="1288269149">
          <w:marLeft w:val="640"/>
          <w:marRight w:val="0"/>
          <w:marTop w:val="0"/>
          <w:marBottom w:val="0"/>
          <w:divBdr>
            <w:top w:val="none" w:sz="0" w:space="0" w:color="auto"/>
            <w:left w:val="none" w:sz="0" w:space="0" w:color="auto"/>
            <w:bottom w:val="none" w:sz="0" w:space="0" w:color="auto"/>
            <w:right w:val="none" w:sz="0" w:space="0" w:color="auto"/>
          </w:divBdr>
        </w:div>
        <w:div w:id="1293099122">
          <w:marLeft w:val="640"/>
          <w:marRight w:val="0"/>
          <w:marTop w:val="0"/>
          <w:marBottom w:val="0"/>
          <w:divBdr>
            <w:top w:val="none" w:sz="0" w:space="0" w:color="auto"/>
            <w:left w:val="none" w:sz="0" w:space="0" w:color="auto"/>
            <w:bottom w:val="none" w:sz="0" w:space="0" w:color="auto"/>
            <w:right w:val="none" w:sz="0" w:space="0" w:color="auto"/>
          </w:divBdr>
        </w:div>
        <w:div w:id="1295722246">
          <w:marLeft w:val="640"/>
          <w:marRight w:val="0"/>
          <w:marTop w:val="0"/>
          <w:marBottom w:val="0"/>
          <w:divBdr>
            <w:top w:val="none" w:sz="0" w:space="0" w:color="auto"/>
            <w:left w:val="none" w:sz="0" w:space="0" w:color="auto"/>
            <w:bottom w:val="none" w:sz="0" w:space="0" w:color="auto"/>
            <w:right w:val="none" w:sz="0" w:space="0" w:color="auto"/>
          </w:divBdr>
        </w:div>
        <w:div w:id="1306397449">
          <w:marLeft w:val="640"/>
          <w:marRight w:val="0"/>
          <w:marTop w:val="0"/>
          <w:marBottom w:val="0"/>
          <w:divBdr>
            <w:top w:val="none" w:sz="0" w:space="0" w:color="auto"/>
            <w:left w:val="none" w:sz="0" w:space="0" w:color="auto"/>
            <w:bottom w:val="none" w:sz="0" w:space="0" w:color="auto"/>
            <w:right w:val="none" w:sz="0" w:space="0" w:color="auto"/>
          </w:divBdr>
        </w:div>
        <w:div w:id="1318656192">
          <w:marLeft w:val="640"/>
          <w:marRight w:val="0"/>
          <w:marTop w:val="0"/>
          <w:marBottom w:val="0"/>
          <w:divBdr>
            <w:top w:val="none" w:sz="0" w:space="0" w:color="auto"/>
            <w:left w:val="none" w:sz="0" w:space="0" w:color="auto"/>
            <w:bottom w:val="none" w:sz="0" w:space="0" w:color="auto"/>
            <w:right w:val="none" w:sz="0" w:space="0" w:color="auto"/>
          </w:divBdr>
        </w:div>
        <w:div w:id="1342245162">
          <w:marLeft w:val="640"/>
          <w:marRight w:val="0"/>
          <w:marTop w:val="0"/>
          <w:marBottom w:val="0"/>
          <w:divBdr>
            <w:top w:val="none" w:sz="0" w:space="0" w:color="auto"/>
            <w:left w:val="none" w:sz="0" w:space="0" w:color="auto"/>
            <w:bottom w:val="none" w:sz="0" w:space="0" w:color="auto"/>
            <w:right w:val="none" w:sz="0" w:space="0" w:color="auto"/>
          </w:divBdr>
        </w:div>
        <w:div w:id="1343823023">
          <w:marLeft w:val="640"/>
          <w:marRight w:val="0"/>
          <w:marTop w:val="0"/>
          <w:marBottom w:val="0"/>
          <w:divBdr>
            <w:top w:val="none" w:sz="0" w:space="0" w:color="auto"/>
            <w:left w:val="none" w:sz="0" w:space="0" w:color="auto"/>
            <w:bottom w:val="none" w:sz="0" w:space="0" w:color="auto"/>
            <w:right w:val="none" w:sz="0" w:space="0" w:color="auto"/>
          </w:divBdr>
        </w:div>
        <w:div w:id="1363240056">
          <w:marLeft w:val="640"/>
          <w:marRight w:val="0"/>
          <w:marTop w:val="0"/>
          <w:marBottom w:val="0"/>
          <w:divBdr>
            <w:top w:val="none" w:sz="0" w:space="0" w:color="auto"/>
            <w:left w:val="none" w:sz="0" w:space="0" w:color="auto"/>
            <w:bottom w:val="none" w:sz="0" w:space="0" w:color="auto"/>
            <w:right w:val="none" w:sz="0" w:space="0" w:color="auto"/>
          </w:divBdr>
        </w:div>
        <w:div w:id="1373116205">
          <w:marLeft w:val="640"/>
          <w:marRight w:val="0"/>
          <w:marTop w:val="0"/>
          <w:marBottom w:val="0"/>
          <w:divBdr>
            <w:top w:val="none" w:sz="0" w:space="0" w:color="auto"/>
            <w:left w:val="none" w:sz="0" w:space="0" w:color="auto"/>
            <w:bottom w:val="none" w:sz="0" w:space="0" w:color="auto"/>
            <w:right w:val="none" w:sz="0" w:space="0" w:color="auto"/>
          </w:divBdr>
        </w:div>
        <w:div w:id="1386829421">
          <w:marLeft w:val="640"/>
          <w:marRight w:val="0"/>
          <w:marTop w:val="0"/>
          <w:marBottom w:val="0"/>
          <w:divBdr>
            <w:top w:val="none" w:sz="0" w:space="0" w:color="auto"/>
            <w:left w:val="none" w:sz="0" w:space="0" w:color="auto"/>
            <w:bottom w:val="none" w:sz="0" w:space="0" w:color="auto"/>
            <w:right w:val="none" w:sz="0" w:space="0" w:color="auto"/>
          </w:divBdr>
        </w:div>
        <w:div w:id="1400858465">
          <w:marLeft w:val="640"/>
          <w:marRight w:val="0"/>
          <w:marTop w:val="0"/>
          <w:marBottom w:val="0"/>
          <w:divBdr>
            <w:top w:val="none" w:sz="0" w:space="0" w:color="auto"/>
            <w:left w:val="none" w:sz="0" w:space="0" w:color="auto"/>
            <w:bottom w:val="none" w:sz="0" w:space="0" w:color="auto"/>
            <w:right w:val="none" w:sz="0" w:space="0" w:color="auto"/>
          </w:divBdr>
        </w:div>
        <w:div w:id="1447852610">
          <w:marLeft w:val="640"/>
          <w:marRight w:val="0"/>
          <w:marTop w:val="0"/>
          <w:marBottom w:val="0"/>
          <w:divBdr>
            <w:top w:val="none" w:sz="0" w:space="0" w:color="auto"/>
            <w:left w:val="none" w:sz="0" w:space="0" w:color="auto"/>
            <w:bottom w:val="none" w:sz="0" w:space="0" w:color="auto"/>
            <w:right w:val="none" w:sz="0" w:space="0" w:color="auto"/>
          </w:divBdr>
        </w:div>
        <w:div w:id="1536962783">
          <w:marLeft w:val="640"/>
          <w:marRight w:val="0"/>
          <w:marTop w:val="0"/>
          <w:marBottom w:val="0"/>
          <w:divBdr>
            <w:top w:val="none" w:sz="0" w:space="0" w:color="auto"/>
            <w:left w:val="none" w:sz="0" w:space="0" w:color="auto"/>
            <w:bottom w:val="none" w:sz="0" w:space="0" w:color="auto"/>
            <w:right w:val="none" w:sz="0" w:space="0" w:color="auto"/>
          </w:divBdr>
        </w:div>
        <w:div w:id="1596404294">
          <w:marLeft w:val="640"/>
          <w:marRight w:val="0"/>
          <w:marTop w:val="0"/>
          <w:marBottom w:val="0"/>
          <w:divBdr>
            <w:top w:val="none" w:sz="0" w:space="0" w:color="auto"/>
            <w:left w:val="none" w:sz="0" w:space="0" w:color="auto"/>
            <w:bottom w:val="none" w:sz="0" w:space="0" w:color="auto"/>
            <w:right w:val="none" w:sz="0" w:space="0" w:color="auto"/>
          </w:divBdr>
        </w:div>
        <w:div w:id="1621111295">
          <w:marLeft w:val="640"/>
          <w:marRight w:val="0"/>
          <w:marTop w:val="0"/>
          <w:marBottom w:val="0"/>
          <w:divBdr>
            <w:top w:val="none" w:sz="0" w:space="0" w:color="auto"/>
            <w:left w:val="none" w:sz="0" w:space="0" w:color="auto"/>
            <w:bottom w:val="none" w:sz="0" w:space="0" w:color="auto"/>
            <w:right w:val="none" w:sz="0" w:space="0" w:color="auto"/>
          </w:divBdr>
        </w:div>
        <w:div w:id="1626808667">
          <w:marLeft w:val="640"/>
          <w:marRight w:val="0"/>
          <w:marTop w:val="0"/>
          <w:marBottom w:val="0"/>
          <w:divBdr>
            <w:top w:val="none" w:sz="0" w:space="0" w:color="auto"/>
            <w:left w:val="none" w:sz="0" w:space="0" w:color="auto"/>
            <w:bottom w:val="none" w:sz="0" w:space="0" w:color="auto"/>
            <w:right w:val="none" w:sz="0" w:space="0" w:color="auto"/>
          </w:divBdr>
        </w:div>
        <w:div w:id="1666199426">
          <w:marLeft w:val="640"/>
          <w:marRight w:val="0"/>
          <w:marTop w:val="0"/>
          <w:marBottom w:val="0"/>
          <w:divBdr>
            <w:top w:val="none" w:sz="0" w:space="0" w:color="auto"/>
            <w:left w:val="none" w:sz="0" w:space="0" w:color="auto"/>
            <w:bottom w:val="none" w:sz="0" w:space="0" w:color="auto"/>
            <w:right w:val="none" w:sz="0" w:space="0" w:color="auto"/>
          </w:divBdr>
        </w:div>
        <w:div w:id="1756824646">
          <w:marLeft w:val="640"/>
          <w:marRight w:val="0"/>
          <w:marTop w:val="0"/>
          <w:marBottom w:val="0"/>
          <w:divBdr>
            <w:top w:val="none" w:sz="0" w:space="0" w:color="auto"/>
            <w:left w:val="none" w:sz="0" w:space="0" w:color="auto"/>
            <w:bottom w:val="none" w:sz="0" w:space="0" w:color="auto"/>
            <w:right w:val="none" w:sz="0" w:space="0" w:color="auto"/>
          </w:divBdr>
        </w:div>
        <w:div w:id="1817723804">
          <w:marLeft w:val="640"/>
          <w:marRight w:val="0"/>
          <w:marTop w:val="0"/>
          <w:marBottom w:val="0"/>
          <w:divBdr>
            <w:top w:val="none" w:sz="0" w:space="0" w:color="auto"/>
            <w:left w:val="none" w:sz="0" w:space="0" w:color="auto"/>
            <w:bottom w:val="none" w:sz="0" w:space="0" w:color="auto"/>
            <w:right w:val="none" w:sz="0" w:space="0" w:color="auto"/>
          </w:divBdr>
        </w:div>
        <w:div w:id="1944070344">
          <w:marLeft w:val="640"/>
          <w:marRight w:val="0"/>
          <w:marTop w:val="0"/>
          <w:marBottom w:val="0"/>
          <w:divBdr>
            <w:top w:val="none" w:sz="0" w:space="0" w:color="auto"/>
            <w:left w:val="none" w:sz="0" w:space="0" w:color="auto"/>
            <w:bottom w:val="none" w:sz="0" w:space="0" w:color="auto"/>
            <w:right w:val="none" w:sz="0" w:space="0" w:color="auto"/>
          </w:divBdr>
        </w:div>
        <w:div w:id="1948192624">
          <w:marLeft w:val="640"/>
          <w:marRight w:val="0"/>
          <w:marTop w:val="0"/>
          <w:marBottom w:val="0"/>
          <w:divBdr>
            <w:top w:val="none" w:sz="0" w:space="0" w:color="auto"/>
            <w:left w:val="none" w:sz="0" w:space="0" w:color="auto"/>
            <w:bottom w:val="none" w:sz="0" w:space="0" w:color="auto"/>
            <w:right w:val="none" w:sz="0" w:space="0" w:color="auto"/>
          </w:divBdr>
        </w:div>
        <w:div w:id="1965695013">
          <w:marLeft w:val="640"/>
          <w:marRight w:val="0"/>
          <w:marTop w:val="0"/>
          <w:marBottom w:val="0"/>
          <w:divBdr>
            <w:top w:val="none" w:sz="0" w:space="0" w:color="auto"/>
            <w:left w:val="none" w:sz="0" w:space="0" w:color="auto"/>
            <w:bottom w:val="none" w:sz="0" w:space="0" w:color="auto"/>
            <w:right w:val="none" w:sz="0" w:space="0" w:color="auto"/>
          </w:divBdr>
        </w:div>
        <w:div w:id="1994022877">
          <w:marLeft w:val="640"/>
          <w:marRight w:val="0"/>
          <w:marTop w:val="0"/>
          <w:marBottom w:val="0"/>
          <w:divBdr>
            <w:top w:val="none" w:sz="0" w:space="0" w:color="auto"/>
            <w:left w:val="none" w:sz="0" w:space="0" w:color="auto"/>
            <w:bottom w:val="none" w:sz="0" w:space="0" w:color="auto"/>
            <w:right w:val="none" w:sz="0" w:space="0" w:color="auto"/>
          </w:divBdr>
        </w:div>
        <w:div w:id="1995795405">
          <w:marLeft w:val="640"/>
          <w:marRight w:val="0"/>
          <w:marTop w:val="0"/>
          <w:marBottom w:val="0"/>
          <w:divBdr>
            <w:top w:val="none" w:sz="0" w:space="0" w:color="auto"/>
            <w:left w:val="none" w:sz="0" w:space="0" w:color="auto"/>
            <w:bottom w:val="none" w:sz="0" w:space="0" w:color="auto"/>
            <w:right w:val="none" w:sz="0" w:space="0" w:color="auto"/>
          </w:divBdr>
        </w:div>
        <w:div w:id="2061324520">
          <w:marLeft w:val="640"/>
          <w:marRight w:val="0"/>
          <w:marTop w:val="0"/>
          <w:marBottom w:val="0"/>
          <w:divBdr>
            <w:top w:val="none" w:sz="0" w:space="0" w:color="auto"/>
            <w:left w:val="none" w:sz="0" w:space="0" w:color="auto"/>
            <w:bottom w:val="none" w:sz="0" w:space="0" w:color="auto"/>
            <w:right w:val="none" w:sz="0" w:space="0" w:color="auto"/>
          </w:divBdr>
        </w:div>
        <w:div w:id="2074542893">
          <w:marLeft w:val="640"/>
          <w:marRight w:val="0"/>
          <w:marTop w:val="0"/>
          <w:marBottom w:val="0"/>
          <w:divBdr>
            <w:top w:val="none" w:sz="0" w:space="0" w:color="auto"/>
            <w:left w:val="none" w:sz="0" w:space="0" w:color="auto"/>
            <w:bottom w:val="none" w:sz="0" w:space="0" w:color="auto"/>
            <w:right w:val="none" w:sz="0" w:space="0" w:color="auto"/>
          </w:divBdr>
        </w:div>
        <w:div w:id="2085452933">
          <w:marLeft w:val="640"/>
          <w:marRight w:val="0"/>
          <w:marTop w:val="0"/>
          <w:marBottom w:val="0"/>
          <w:divBdr>
            <w:top w:val="none" w:sz="0" w:space="0" w:color="auto"/>
            <w:left w:val="none" w:sz="0" w:space="0" w:color="auto"/>
            <w:bottom w:val="none" w:sz="0" w:space="0" w:color="auto"/>
            <w:right w:val="none" w:sz="0" w:space="0" w:color="auto"/>
          </w:divBdr>
        </w:div>
      </w:divsChild>
    </w:div>
    <w:div w:id="1492285428">
      <w:bodyDiv w:val="1"/>
      <w:marLeft w:val="0"/>
      <w:marRight w:val="0"/>
      <w:marTop w:val="0"/>
      <w:marBottom w:val="0"/>
      <w:divBdr>
        <w:top w:val="none" w:sz="0" w:space="0" w:color="auto"/>
        <w:left w:val="none" w:sz="0" w:space="0" w:color="auto"/>
        <w:bottom w:val="none" w:sz="0" w:space="0" w:color="auto"/>
        <w:right w:val="none" w:sz="0" w:space="0" w:color="auto"/>
      </w:divBdr>
      <w:divsChild>
        <w:div w:id="1472791925">
          <w:marLeft w:val="480"/>
          <w:marRight w:val="0"/>
          <w:marTop w:val="0"/>
          <w:marBottom w:val="0"/>
          <w:divBdr>
            <w:top w:val="none" w:sz="0" w:space="0" w:color="auto"/>
            <w:left w:val="none" w:sz="0" w:space="0" w:color="auto"/>
            <w:bottom w:val="none" w:sz="0" w:space="0" w:color="auto"/>
            <w:right w:val="none" w:sz="0" w:space="0" w:color="auto"/>
          </w:divBdr>
        </w:div>
        <w:div w:id="1534735372">
          <w:marLeft w:val="480"/>
          <w:marRight w:val="0"/>
          <w:marTop w:val="0"/>
          <w:marBottom w:val="0"/>
          <w:divBdr>
            <w:top w:val="none" w:sz="0" w:space="0" w:color="auto"/>
            <w:left w:val="none" w:sz="0" w:space="0" w:color="auto"/>
            <w:bottom w:val="none" w:sz="0" w:space="0" w:color="auto"/>
            <w:right w:val="none" w:sz="0" w:space="0" w:color="auto"/>
          </w:divBdr>
        </w:div>
        <w:div w:id="974258312">
          <w:marLeft w:val="480"/>
          <w:marRight w:val="0"/>
          <w:marTop w:val="0"/>
          <w:marBottom w:val="0"/>
          <w:divBdr>
            <w:top w:val="none" w:sz="0" w:space="0" w:color="auto"/>
            <w:left w:val="none" w:sz="0" w:space="0" w:color="auto"/>
            <w:bottom w:val="none" w:sz="0" w:space="0" w:color="auto"/>
            <w:right w:val="none" w:sz="0" w:space="0" w:color="auto"/>
          </w:divBdr>
        </w:div>
        <w:div w:id="1813865847">
          <w:marLeft w:val="480"/>
          <w:marRight w:val="0"/>
          <w:marTop w:val="0"/>
          <w:marBottom w:val="0"/>
          <w:divBdr>
            <w:top w:val="none" w:sz="0" w:space="0" w:color="auto"/>
            <w:left w:val="none" w:sz="0" w:space="0" w:color="auto"/>
            <w:bottom w:val="none" w:sz="0" w:space="0" w:color="auto"/>
            <w:right w:val="none" w:sz="0" w:space="0" w:color="auto"/>
          </w:divBdr>
        </w:div>
        <w:div w:id="721291237">
          <w:marLeft w:val="480"/>
          <w:marRight w:val="0"/>
          <w:marTop w:val="0"/>
          <w:marBottom w:val="0"/>
          <w:divBdr>
            <w:top w:val="none" w:sz="0" w:space="0" w:color="auto"/>
            <w:left w:val="none" w:sz="0" w:space="0" w:color="auto"/>
            <w:bottom w:val="none" w:sz="0" w:space="0" w:color="auto"/>
            <w:right w:val="none" w:sz="0" w:space="0" w:color="auto"/>
          </w:divBdr>
        </w:div>
        <w:div w:id="1738631301">
          <w:marLeft w:val="480"/>
          <w:marRight w:val="0"/>
          <w:marTop w:val="0"/>
          <w:marBottom w:val="0"/>
          <w:divBdr>
            <w:top w:val="none" w:sz="0" w:space="0" w:color="auto"/>
            <w:left w:val="none" w:sz="0" w:space="0" w:color="auto"/>
            <w:bottom w:val="none" w:sz="0" w:space="0" w:color="auto"/>
            <w:right w:val="none" w:sz="0" w:space="0" w:color="auto"/>
          </w:divBdr>
        </w:div>
      </w:divsChild>
    </w:div>
    <w:div w:id="1494491426">
      <w:bodyDiv w:val="1"/>
      <w:marLeft w:val="0"/>
      <w:marRight w:val="0"/>
      <w:marTop w:val="0"/>
      <w:marBottom w:val="0"/>
      <w:divBdr>
        <w:top w:val="none" w:sz="0" w:space="0" w:color="auto"/>
        <w:left w:val="none" w:sz="0" w:space="0" w:color="auto"/>
        <w:bottom w:val="none" w:sz="0" w:space="0" w:color="auto"/>
        <w:right w:val="none" w:sz="0" w:space="0" w:color="auto"/>
      </w:divBdr>
    </w:div>
    <w:div w:id="1498031063">
      <w:bodyDiv w:val="1"/>
      <w:marLeft w:val="0"/>
      <w:marRight w:val="0"/>
      <w:marTop w:val="0"/>
      <w:marBottom w:val="0"/>
      <w:divBdr>
        <w:top w:val="none" w:sz="0" w:space="0" w:color="auto"/>
        <w:left w:val="none" w:sz="0" w:space="0" w:color="auto"/>
        <w:bottom w:val="none" w:sz="0" w:space="0" w:color="auto"/>
        <w:right w:val="none" w:sz="0" w:space="0" w:color="auto"/>
      </w:divBdr>
      <w:divsChild>
        <w:div w:id="1843200417">
          <w:marLeft w:val="480"/>
          <w:marRight w:val="0"/>
          <w:marTop w:val="0"/>
          <w:marBottom w:val="0"/>
          <w:divBdr>
            <w:top w:val="none" w:sz="0" w:space="0" w:color="auto"/>
            <w:left w:val="none" w:sz="0" w:space="0" w:color="auto"/>
            <w:bottom w:val="none" w:sz="0" w:space="0" w:color="auto"/>
            <w:right w:val="none" w:sz="0" w:space="0" w:color="auto"/>
          </w:divBdr>
        </w:div>
        <w:div w:id="80565745">
          <w:marLeft w:val="480"/>
          <w:marRight w:val="0"/>
          <w:marTop w:val="0"/>
          <w:marBottom w:val="0"/>
          <w:divBdr>
            <w:top w:val="none" w:sz="0" w:space="0" w:color="auto"/>
            <w:left w:val="none" w:sz="0" w:space="0" w:color="auto"/>
            <w:bottom w:val="none" w:sz="0" w:space="0" w:color="auto"/>
            <w:right w:val="none" w:sz="0" w:space="0" w:color="auto"/>
          </w:divBdr>
        </w:div>
        <w:div w:id="698821043">
          <w:marLeft w:val="480"/>
          <w:marRight w:val="0"/>
          <w:marTop w:val="0"/>
          <w:marBottom w:val="0"/>
          <w:divBdr>
            <w:top w:val="none" w:sz="0" w:space="0" w:color="auto"/>
            <w:left w:val="none" w:sz="0" w:space="0" w:color="auto"/>
            <w:bottom w:val="none" w:sz="0" w:space="0" w:color="auto"/>
            <w:right w:val="none" w:sz="0" w:space="0" w:color="auto"/>
          </w:divBdr>
        </w:div>
        <w:div w:id="1269702262">
          <w:marLeft w:val="480"/>
          <w:marRight w:val="0"/>
          <w:marTop w:val="0"/>
          <w:marBottom w:val="0"/>
          <w:divBdr>
            <w:top w:val="none" w:sz="0" w:space="0" w:color="auto"/>
            <w:left w:val="none" w:sz="0" w:space="0" w:color="auto"/>
            <w:bottom w:val="none" w:sz="0" w:space="0" w:color="auto"/>
            <w:right w:val="none" w:sz="0" w:space="0" w:color="auto"/>
          </w:divBdr>
        </w:div>
        <w:div w:id="922642028">
          <w:marLeft w:val="480"/>
          <w:marRight w:val="0"/>
          <w:marTop w:val="0"/>
          <w:marBottom w:val="0"/>
          <w:divBdr>
            <w:top w:val="none" w:sz="0" w:space="0" w:color="auto"/>
            <w:left w:val="none" w:sz="0" w:space="0" w:color="auto"/>
            <w:bottom w:val="none" w:sz="0" w:space="0" w:color="auto"/>
            <w:right w:val="none" w:sz="0" w:space="0" w:color="auto"/>
          </w:divBdr>
        </w:div>
      </w:divsChild>
    </w:div>
    <w:div w:id="1600212517">
      <w:bodyDiv w:val="1"/>
      <w:marLeft w:val="0"/>
      <w:marRight w:val="0"/>
      <w:marTop w:val="0"/>
      <w:marBottom w:val="0"/>
      <w:divBdr>
        <w:top w:val="none" w:sz="0" w:space="0" w:color="auto"/>
        <w:left w:val="none" w:sz="0" w:space="0" w:color="auto"/>
        <w:bottom w:val="none" w:sz="0" w:space="0" w:color="auto"/>
        <w:right w:val="none" w:sz="0" w:space="0" w:color="auto"/>
      </w:divBdr>
    </w:div>
    <w:div w:id="1631865247">
      <w:bodyDiv w:val="1"/>
      <w:marLeft w:val="0"/>
      <w:marRight w:val="0"/>
      <w:marTop w:val="0"/>
      <w:marBottom w:val="0"/>
      <w:divBdr>
        <w:top w:val="none" w:sz="0" w:space="0" w:color="auto"/>
        <w:left w:val="none" w:sz="0" w:space="0" w:color="auto"/>
        <w:bottom w:val="none" w:sz="0" w:space="0" w:color="auto"/>
        <w:right w:val="none" w:sz="0" w:space="0" w:color="auto"/>
      </w:divBdr>
      <w:divsChild>
        <w:div w:id="7877703">
          <w:marLeft w:val="640"/>
          <w:marRight w:val="0"/>
          <w:marTop w:val="0"/>
          <w:marBottom w:val="0"/>
          <w:divBdr>
            <w:top w:val="none" w:sz="0" w:space="0" w:color="auto"/>
            <w:left w:val="none" w:sz="0" w:space="0" w:color="auto"/>
            <w:bottom w:val="none" w:sz="0" w:space="0" w:color="auto"/>
            <w:right w:val="none" w:sz="0" w:space="0" w:color="auto"/>
          </w:divBdr>
        </w:div>
        <w:div w:id="35548482">
          <w:marLeft w:val="640"/>
          <w:marRight w:val="0"/>
          <w:marTop w:val="0"/>
          <w:marBottom w:val="0"/>
          <w:divBdr>
            <w:top w:val="none" w:sz="0" w:space="0" w:color="auto"/>
            <w:left w:val="none" w:sz="0" w:space="0" w:color="auto"/>
            <w:bottom w:val="none" w:sz="0" w:space="0" w:color="auto"/>
            <w:right w:val="none" w:sz="0" w:space="0" w:color="auto"/>
          </w:divBdr>
        </w:div>
        <w:div w:id="36009747">
          <w:marLeft w:val="640"/>
          <w:marRight w:val="0"/>
          <w:marTop w:val="0"/>
          <w:marBottom w:val="0"/>
          <w:divBdr>
            <w:top w:val="none" w:sz="0" w:space="0" w:color="auto"/>
            <w:left w:val="none" w:sz="0" w:space="0" w:color="auto"/>
            <w:bottom w:val="none" w:sz="0" w:space="0" w:color="auto"/>
            <w:right w:val="none" w:sz="0" w:space="0" w:color="auto"/>
          </w:divBdr>
        </w:div>
        <w:div w:id="55667097">
          <w:marLeft w:val="640"/>
          <w:marRight w:val="0"/>
          <w:marTop w:val="0"/>
          <w:marBottom w:val="0"/>
          <w:divBdr>
            <w:top w:val="none" w:sz="0" w:space="0" w:color="auto"/>
            <w:left w:val="none" w:sz="0" w:space="0" w:color="auto"/>
            <w:bottom w:val="none" w:sz="0" w:space="0" w:color="auto"/>
            <w:right w:val="none" w:sz="0" w:space="0" w:color="auto"/>
          </w:divBdr>
        </w:div>
        <w:div w:id="123354279">
          <w:marLeft w:val="640"/>
          <w:marRight w:val="0"/>
          <w:marTop w:val="0"/>
          <w:marBottom w:val="0"/>
          <w:divBdr>
            <w:top w:val="none" w:sz="0" w:space="0" w:color="auto"/>
            <w:left w:val="none" w:sz="0" w:space="0" w:color="auto"/>
            <w:bottom w:val="none" w:sz="0" w:space="0" w:color="auto"/>
            <w:right w:val="none" w:sz="0" w:space="0" w:color="auto"/>
          </w:divBdr>
        </w:div>
        <w:div w:id="171144100">
          <w:marLeft w:val="640"/>
          <w:marRight w:val="0"/>
          <w:marTop w:val="0"/>
          <w:marBottom w:val="0"/>
          <w:divBdr>
            <w:top w:val="none" w:sz="0" w:space="0" w:color="auto"/>
            <w:left w:val="none" w:sz="0" w:space="0" w:color="auto"/>
            <w:bottom w:val="none" w:sz="0" w:space="0" w:color="auto"/>
            <w:right w:val="none" w:sz="0" w:space="0" w:color="auto"/>
          </w:divBdr>
        </w:div>
        <w:div w:id="211699005">
          <w:marLeft w:val="640"/>
          <w:marRight w:val="0"/>
          <w:marTop w:val="0"/>
          <w:marBottom w:val="0"/>
          <w:divBdr>
            <w:top w:val="none" w:sz="0" w:space="0" w:color="auto"/>
            <w:left w:val="none" w:sz="0" w:space="0" w:color="auto"/>
            <w:bottom w:val="none" w:sz="0" w:space="0" w:color="auto"/>
            <w:right w:val="none" w:sz="0" w:space="0" w:color="auto"/>
          </w:divBdr>
        </w:div>
        <w:div w:id="214396419">
          <w:marLeft w:val="640"/>
          <w:marRight w:val="0"/>
          <w:marTop w:val="0"/>
          <w:marBottom w:val="0"/>
          <w:divBdr>
            <w:top w:val="none" w:sz="0" w:space="0" w:color="auto"/>
            <w:left w:val="none" w:sz="0" w:space="0" w:color="auto"/>
            <w:bottom w:val="none" w:sz="0" w:space="0" w:color="auto"/>
            <w:right w:val="none" w:sz="0" w:space="0" w:color="auto"/>
          </w:divBdr>
        </w:div>
        <w:div w:id="242221788">
          <w:marLeft w:val="640"/>
          <w:marRight w:val="0"/>
          <w:marTop w:val="0"/>
          <w:marBottom w:val="0"/>
          <w:divBdr>
            <w:top w:val="none" w:sz="0" w:space="0" w:color="auto"/>
            <w:left w:val="none" w:sz="0" w:space="0" w:color="auto"/>
            <w:bottom w:val="none" w:sz="0" w:space="0" w:color="auto"/>
            <w:right w:val="none" w:sz="0" w:space="0" w:color="auto"/>
          </w:divBdr>
        </w:div>
        <w:div w:id="247661278">
          <w:marLeft w:val="640"/>
          <w:marRight w:val="0"/>
          <w:marTop w:val="0"/>
          <w:marBottom w:val="0"/>
          <w:divBdr>
            <w:top w:val="none" w:sz="0" w:space="0" w:color="auto"/>
            <w:left w:val="none" w:sz="0" w:space="0" w:color="auto"/>
            <w:bottom w:val="none" w:sz="0" w:space="0" w:color="auto"/>
            <w:right w:val="none" w:sz="0" w:space="0" w:color="auto"/>
          </w:divBdr>
        </w:div>
        <w:div w:id="268197606">
          <w:marLeft w:val="640"/>
          <w:marRight w:val="0"/>
          <w:marTop w:val="0"/>
          <w:marBottom w:val="0"/>
          <w:divBdr>
            <w:top w:val="none" w:sz="0" w:space="0" w:color="auto"/>
            <w:left w:val="none" w:sz="0" w:space="0" w:color="auto"/>
            <w:bottom w:val="none" w:sz="0" w:space="0" w:color="auto"/>
            <w:right w:val="none" w:sz="0" w:space="0" w:color="auto"/>
          </w:divBdr>
        </w:div>
        <w:div w:id="283509111">
          <w:marLeft w:val="640"/>
          <w:marRight w:val="0"/>
          <w:marTop w:val="0"/>
          <w:marBottom w:val="0"/>
          <w:divBdr>
            <w:top w:val="none" w:sz="0" w:space="0" w:color="auto"/>
            <w:left w:val="none" w:sz="0" w:space="0" w:color="auto"/>
            <w:bottom w:val="none" w:sz="0" w:space="0" w:color="auto"/>
            <w:right w:val="none" w:sz="0" w:space="0" w:color="auto"/>
          </w:divBdr>
        </w:div>
        <w:div w:id="297611457">
          <w:marLeft w:val="640"/>
          <w:marRight w:val="0"/>
          <w:marTop w:val="0"/>
          <w:marBottom w:val="0"/>
          <w:divBdr>
            <w:top w:val="none" w:sz="0" w:space="0" w:color="auto"/>
            <w:left w:val="none" w:sz="0" w:space="0" w:color="auto"/>
            <w:bottom w:val="none" w:sz="0" w:space="0" w:color="auto"/>
            <w:right w:val="none" w:sz="0" w:space="0" w:color="auto"/>
          </w:divBdr>
        </w:div>
        <w:div w:id="316687773">
          <w:marLeft w:val="640"/>
          <w:marRight w:val="0"/>
          <w:marTop w:val="0"/>
          <w:marBottom w:val="0"/>
          <w:divBdr>
            <w:top w:val="none" w:sz="0" w:space="0" w:color="auto"/>
            <w:left w:val="none" w:sz="0" w:space="0" w:color="auto"/>
            <w:bottom w:val="none" w:sz="0" w:space="0" w:color="auto"/>
            <w:right w:val="none" w:sz="0" w:space="0" w:color="auto"/>
          </w:divBdr>
        </w:div>
        <w:div w:id="359939737">
          <w:marLeft w:val="640"/>
          <w:marRight w:val="0"/>
          <w:marTop w:val="0"/>
          <w:marBottom w:val="0"/>
          <w:divBdr>
            <w:top w:val="none" w:sz="0" w:space="0" w:color="auto"/>
            <w:left w:val="none" w:sz="0" w:space="0" w:color="auto"/>
            <w:bottom w:val="none" w:sz="0" w:space="0" w:color="auto"/>
            <w:right w:val="none" w:sz="0" w:space="0" w:color="auto"/>
          </w:divBdr>
        </w:div>
        <w:div w:id="373846055">
          <w:marLeft w:val="640"/>
          <w:marRight w:val="0"/>
          <w:marTop w:val="0"/>
          <w:marBottom w:val="0"/>
          <w:divBdr>
            <w:top w:val="none" w:sz="0" w:space="0" w:color="auto"/>
            <w:left w:val="none" w:sz="0" w:space="0" w:color="auto"/>
            <w:bottom w:val="none" w:sz="0" w:space="0" w:color="auto"/>
            <w:right w:val="none" w:sz="0" w:space="0" w:color="auto"/>
          </w:divBdr>
        </w:div>
        <w:div w:id="381753072">
          <w:marLeft w:val="640"/>
          <w:marRight w:val="0"/>
          <w:marTop w:val="0"/>
          <w:marBottom w:val="0"/>
          <w:divBdr>
            <w:top w:val="none" w:sz="0" w:space="0" w:color="auto"/>
            <w:left w:val="none" w:sz="0" w:space="0" w:color="auto"/>
            <w:bottom w:val="none" w:sz="0" w:space="0" w:color="auto"/>
            <w:right w:val="none" w:sz="0" w:space="0" w:color="auto"/>
          </w:divBdr>
        </w:div>
        <w:div w:id="459570019">
          <w:marLeft w:val="640"/>
          <w:marRight w:val="0"/>
          <w:marTop w:val="0"/>
          <w:marBottom w:val="0"/>
          <w:divBdr>
            <w:top w:val="none" w:sz="0" w:space="0" w:color="auto"/>
            <w:left w:val="none" w:sz="0" w:space="0" w:color="auto"/>
            <w:bottom w:val="none" w:sz="0" w:space="0" w:color="auto"/>
            <w:right w:val="none" w:sz="0" w:space="0" w:color="auto"/>
          </w:divBdr>
        </w:div>
        <w:div w:id="507015443">
          <w:marLeft w:val="640"/>
          <w:marRight w:val="0"/>
          <w:marTop w:val="0"/>
          <w:marBottom w:val="0"/>
          <w:divBdr>
            <w:top w:val="none" w:sz="0" w:space="0" w:color="auto"/>
            <w:left w:val="none" w:sz="0" w:space="0" w:color="auto"/>
            <w:bottom w:val="none" w:sz="0" w:space="0" w:color="auto"/>
            <w:right w:val="none" w:sz="0" w:space="0" w:color="auto"/>
          </w:divBdr>
        </w:div>
        <w:div w:id="512257866">
          <w:marLeft w:val="640"/>
          <w:marRight w:val="0"/>
          <w:marTop w:val="0"/>
          <w:marBottom w:val="0"/>
          <w:divBdr>
            <w:top w:val="none" w:sz="0" w:space="0" w:color="auto"/>
            <w:left w:val="none" w:sz="0" w:space="0" w:color="auto"/>
            <w:bottom w:val="none" w:sz="0" w:space="0" w:color="auto"/>
            <w:right w:val="none" w:sz="0" w:space="0" w:color="auto"/>
          </w:divBdr>
        </w:div>
        <w:div w:id="515000293">
          <w:marLeft w:val="640"/>
          <w:marRight w:val="0"/>
          <w:marTop w:val="0"/>
          <w:marBottom w:val="0"/>
          <w:divBdr>
            <w:top w:val="none" w:sz="0" w:space="0" w:color="auto"/>
            <w:left w:val="none" w:sz="0" w:space="0" w:color="auto"/>
            <w:bottom w:val="none" w:sz="0" w:space="0" w:color="auto"/>
            <w:right w:val="none" w:sz="0" w:space="0" w:color="auto"/>
          </w:divBdr>
        </w:div>
        <w:div w:id="524370794">
          <w:marLeft w:val="640"/>
          <w:marRight w:val="0"/>
          <w:marTop w:val="0"/>
          <w:marBottom w:val="0"/>
          <w:divBdr>
            <w:top w:val="none" w:sz="0" w:space="0" w:color="auto"/>
            <w:left w:val="none" w:sz="0" w:space="0" w:color="auto"/>
            <w:bottom w:val="none" w:sz="0" w:space="0" w:color="auto"/>
            <w:right w:val="none" w:sz="0" w:space="0" w:color="auto"/>
          </w:divBdr>
        </w:div>
        <w:div w:id="527447731">
          <w:marLeft w:val="640"/>
          <w:marRight w:val="0"/>
          <w:marTop w:val="0"/>
          <w:marBottom w:val="0"/>
          <w:divBdr>
            <w:top w:val="none" w:sz="0" w:space="0" w:color="auto"/>
            <w:left w:val="none" w:sz="0" w:space="0" w:color="auto"/>
            <w:bottom w:val="none" w:sz="0" w:space="0" w:color="auto"/>
            <w:right w:val="none" w:sz="0" w:space="0" w:color="auto"/>
          </w:divBdr>
        </w:div>
        <w:div w:id="622156173">
          <w:marLeft w:val="640"/>
          <w:marRight w:val="0"/>
          <w:marTop w:val="0"/>
          <w:marBottom w:val="0"/>
          <w:divBdr>
            <w:top w:val="none" w:sz="0" w:space="0" w:color="auto"/>
            <w:left w:val="none" w:sz="0" w:space="0" w:color="auto"/>
            <w:bottom w:val="none" w:sz="0" w:space="0" w:color="auto"/>
            <w:right w:val="none" w:sz="0" w:space="0" w:color="auto"/>
          </w:divBdr>
        </w:div>
        <w:div w:id="648172185">
          <w:marLeft w:val="640"/>
          <w:marRight w:val="0"/>
          <w:marTop w:val="0"/>
          <w:marBottom w:val="0"/>
          <w:divBdr>
            <w:top w:val="none" w:sz="0" w:space="0" w:color="auto"/>
            <w:left w:val="none" w:sz="0" w:space="0" w:color="auto"/>
            <w:bottom w:val="none" w:sz="0" w:space="0" w:color="auto"/>
            <w:right w:val="none" w:sz="0" w:space="0" w:color="auto"/>
          </w:divBdr>
        </w:div>
        <w:div w:id="672881764">
          <w:marLeft w:val="640"/>
          <w:marRight w:val="0"/>
          <w:marTop w:val="0"/>
          <w:marBottom w:val="0"/>
          <w:divBdr>
            <w:top w:val="none" w:sz="0" w:space="0" w:color="auto"/>
            <w:left w:val="none" w:sz="0" w:space="0" w:color="auto"/>
            <w:bottom w:val="none" w:sz="0" w:space="0" w:color="auto"/>
            <w:right w:val="none" w:sz="0" w:space="0" w:color="auto"/>
          </w:divBdr>
        </w:div>
        <w:div w:id="678506770">
          <w:marLeft w:val="640"/>
          <w:marRight w:val="0"/>
          <w:marTop w:val="0"/>
          <w:marBottom w:val="0"/>
          <w:divBdr>
            <w:top w:val="none" w:sz="0" w:space="0" w:color="auto"/>
            <w:left w:val="none" w:sz="0" w:space="0" w:color="auto"/>
            <w:bottom w:val="none" w:sz="0" w:space="0" w:color="auto"/>
            <w:right w:val="none" w:sz="0" w:space="0" w:color="auto"/>
          </w:divBdr>
        </w:div>
        <w:div w:id="698239559">
          <w:marLeft w:val="640"/>
          <w:marRight w:val="0"/>
          <w:marTop w:val="0"/>
          <w:marBottom w:val="0"/>
          <w:divBdr>
            <w:top w:val="none" w:sz="0" w:space="0" w:color="auto"/>
            <w:left w:val="none" w:sz="0" w:space="0" w:color="auto"/>
            <w:bottom w:val="none" w:sz="0" w:space="0" w:color="auto"/>
            <w:right w:val="none" w:sz="0" w:space="0" w:color="auto"/>
          </w:divBdr>
        </w:div>
        <w:div w:id="717511444">
          <w:marLeft w:val="640"/>
          <w:marRight w:val="0"/>
          <w:marTop w:val="0"/>
          <w:marBottom w:val="0"/>
          <w:divBdr>
            <w:top w:val="none" w:sz="0" w:space="0" w:color="auto"/>
            <w:left w:val="none" w:sz="0" w:space="0" w:color="auto"/>
            <w:bottom w:val="none" w:sz="0" w:space="0" w:color="auto"/>
            <w:right w:val="none" w:sz="0" w:space="0" w:color="auto"/>
          </w:divBdr>
        </w:div>
        <w:div w:id="746803095">
          <w:marLeft w:val="640"/>
          <w:marRight w:val="0"/>
          <w:marTop w:val="0"/>
          <w:marBottom w:val="0"/>
          <w:divBdr>
            <w:top w:val="none" w:sz="0" w:space="0" w:color="auto"/>
            <w:left w:val="none" w:sz="0" w:space="0" w:color="auto"/>
            <w:bottom w:val="none" w:sz="0" w:space="0" w:color="auto"/>
            <w:right w:val="none" w:sz="0" w:space="0" w:color="auto"/>
          </w:divBdr>
        </w:div>
        <w:div w:id="809631800">
          <w:marLeft w:val="640"/>
          <w:marRight w:val="0"/>
          <w:marTop w:val="0"/>
          <w:marBottom w:val="0"/>
          <w:divBdr>
            <w:top w:val="none" w:sz="0" w:space="0" w:color="auto"/>
            <w:left w:val="none" w:sz="0" w:space="0" w:color="auto"/>
            <w:bottom w:val="none" w:sz="0" w:space="0" w:color="auto"/>
            <w:right w:val="none" w:sz="0" w:space="0" w:color="auto"/>
          </w:divBdr>
        </w:div>
        <w:div w:id="874149510">
          <w:marLeft w:val="640"/>
          <w:marRight w:val="0"/>
          <w:marTop w:val="0"/>
          <w:marBottom w:val="0"/>
          <w:divBdr>
            <w:top w:val="none" w:sz="0" w:space="0" w:color="auto"/>
            <w:left w:val="none" w:sz="0" w:space="0" w:color="auto"/>
            <w:bottom w:val="none" w:sz="0" w:space="0" w:color="auto"/>
            <w:right w:val="none" w:sz="0" w:space="0" w:color="auto"/>
          </w:divBdr>
        </w:div>
        <w:div w:id="882450505">
          <w:marLeft w:val="640"/>
          <w:marRight w:val="0"/>
          <w:marTop w:val="0"/>
          <w:marBottom w:val="0"/>
          <w:divBdr>
            <w:top w:val="none" w:sz="0" w:space="0" w:color="auto"/>
            <w:left w:val="none" w:sz="0" w:space="0" w:color="auto"/>
            <w:bottom w:val="none" w:sz="0" w:space="0" w:color="auto"/>
            <w:right w:val="none" w:sz="0" w:space="0" w:color="auto"/>
          </w:divBdr>
        </w:div>
        <w:div w:id="889222075">
          <w:marLeft w:val="640"/>
          <w:marRight w:val="0"/>
          <w:marTop w:val="0"/>
          <w:marBottom w:val="0"/>
          <w:divBdr>
            <w:top w:val="none" w:sz="0" w:space="0" w:color="auto"/>
            <w:left w:val="none" w:sz="0" w:space="0" w:color="auto"/>
            <w:bottom w:val="none" w:sz="0" w:space="0" w:color="auto"/>
            <w:right w:val="none" w:sz="0" w:space="0" w:color="auto"/>
          </w:divBdr>
        </w:div>
        <w:div w:id="954097570">
          <w:marLeft w:val="640"/>
          <w:marRight w:val="0"/>
          <w:marTop w:val="0"/>
          <w:marBottom w:val="0"/>
          <w:divBdr>
            <w:top w:val="none" w:sz="0" w:space="0" w:color="auto"/>
            <w:left w:val="none" w:sz="0" w:space="0" w:color="auto"/>
            <w:bottom w:val="none" w:sz="0" w:space="0" w:color="auto"/>
            <w:right w:val="none" w:sz="0" w:space="0" w:color="auto"/>
          </w:divBdr>
        </w:div>
        <w:div w:id="957417057">
          <w:marLeft w:val="640"/>
          <w:marRight w:val="0"/>
          <w:marTop w:val="0"/>
          <w:marBottom w:val="0"/>
          <w:divBdr>
            <w:top w:val="none" w:sz="0" w:space="0" w:color="auto"/>
            <w:left w:val="none" w:sz="0" w:space="0" w:color="auto"/>
            <w:bottom w:val="none" w:sz="0" w:space="0" w:color="auto"/>
            <w:right w:val="none" w:sz="0" w:space="0" w:color="auto"/>
          </w:divBdr>
        </w:div>
        <w:div w:id="960187021">
          <w:marLeft w:val="640"/>
          <w:marRight w:val="0"/>
          <w:marTop w:val="0"/>
          <w:marBottom w:val="0"/>
          <w:divBdr>
            <w:top w:val="none" w:sz="0" w:space="0" w:color="auto"/>
            <w:left w:val="none" w:sz="0" w:space="0" w:color="auto"/>
            <w:bottom w:val="none" w:sz="0" w:space="0" w:color="auto"/>
            <w:right w:val="none" w:sz="0" w:space="0" w:color="auto"/>
          </w:divBdr>
        </w:div>
        <w:div w:id="971712771">
          <w:marLeft w:val="640"/>
          <w:marRight w:val="0"/>
          <w:marTop w:val="0"/>
          <w:marBottom w:val="0"/>
          <w:divBdr>
            <w:top w:val="none" w:sz="0" w:space="0" w:color="auto"/>
            <w:left w:val="none" w:sz="0" w:space="0" w:color="auto"/>
            <w:bottom w:val="none" w:sz="0" w:space="0" w:color="auto"/>
            <w:right w:val="none" w:sz="0" w:space="0" w:color="auto"/>
          </w:divBdr>
        </w:div>
        <w:div w:id="1045183234">
          <w:marLeft w:val="640"/>
          <w:marRight w:val="0"/>
          <w:marTop w:val="0"/>
          <w:marBottom w:val="0"/>
          <w:divBdr>
            <w:top w:val="none" w:sz="0" w:space="0" w:color="auto"/>
            <w:left w:val="none" w:sz="0" w:space="0" w:color="auto"/>
            <w:bottom w:val="none" w:sz="0" w:space="0" w:color="auto"/>
            <w:right w:val="none" w:sz="0" w:space="0" w:color="auto"/>
          </w:divBdr>
        </w:div>
        <w:div w:id="1075322292">
          <w:marLeft w:val="640"/>
          <w:marRight w:val="0"/>
          <w:marTop w:val="0"/>
          <w:marBottom w:val="0"/>
          <w:divBdr>
            <w:top w:val="none" w:sz="0" w:space="0" w:color="auto"/>
            <w:left w:val="none" w:sz="0" w:space="0" w:color="auto"/>
            <w:bottom w:val="none" w:sz="0" w:space="0" w:color="auto"/>
            <w:right w:val="none" w:sz="0" w:space="0" w:color="auto"/>
          </w:divBdr>
        </w:div>
        <w:div w:id="1107387711">
          <w:marLeft w:val="640"/>
          <w:marRight w:val="0"/>
          <w:marTop w:val="0"/>
          <w:marBottom w:val="0"/>
          <w:divBdr>
            <w:top w:val="none" w:sz="0" w:space="0" w:color="auto"/>
            <w:left w:val="none" w:sz="0" w:space="0" w:color="auto"/>
            <w:bottom w:val="none" w:sz="0" w:space="0" w:color="auto"/>
            <w:right w:val="none" w:sz="0" w:space="0" w:color="auto"/>
          </w:divBdr>
        </w:div>
        <w:div w:id="1125733477">
          <w:marLeft w:val="640"/>
          <w:marRight w:val="0"/>
          <w:marTop w:val="0"/>
          <w:marBottom w:val="0"/>
          <w:divBdr>
            <w:top w:val="none" w:sz="0" w:space="0" w:color="auto"/>
            <w:left w:val="none" w:sz="0" w:space="0" w:color="auto"/>
            <w:bottom w:val="none" w:sz="0" w:space="0" w:color="auto"/>
            <w:right w:val="none" w:sz="0" w:space="0" w:color="auto"/>
          </w:divBdr>
        </w:div>
        <w:div w:id="1135635940">
          <w:marLeft w:val="640"/>
          <w:marRight w:val="0"/>
          <w:marTop w:val="0"/>
          <w:marBottom w:val="0"/>
          <w:divBdr>
            <w:top w:val="none" w:sz="0" w:space="0" w:color="auto"/>
            <w:left w:val="none" w:sz="0" w:space="0" w:color="auto"/>
            <w:bottom w:val="none" w:sz="0" w:space="0" w:color="auto"/>
            <w:right w:val="none" w:sz="0" w:space="0" w:color="auto"/>
          </w:divBdr>
        </w:div>
        <w:div w:id="1135639847">
          <w:marLeft w:val="640"/>
          <w:marRight w:val="0"/>
          <w:marTop w:val="0"/>
          <w:marBottom w:val="0"/>
          <w:divBdr>
            <w:top w:val="none" w:sz="0" w:space="0" w:color="auto"/>
            <w:left w:val="none" w:sz="0" w:space="0" w:color="auto"/>
            <w:bottom w:val="none" w:sz="0" w:space="0" w:color="auto"/>
            <w:right w:val="none" w:sz="0" w:space="0" w:color="auto"/>
          </w:divBdr>
        </w:div>
        <w:div w:id="1166093252">
          <w:marLeft w:val="640"/>
          <w:marRight w:val="0"/>
          <w:marTop w:val="0"/>
          <w:marBottom w:val="0"/>
          <w:divBdr>
            <w:top w:val="none" w:sz="0" w:space="0" w:color="auto"/>
            <w:left w:val="none" w:sz="0" w:space="0" w:color="auto"/>
            <w:bottom w:val="none" w:sz="0" w:space="0" w:color="auto"/>
            <w:right w:val="none" w:sz="0" w:space="0" w:color="auto"/>
          </w:divBdr>
        </w:div>
        <w:div w:id="1230382828">
          <w:marLeft w:val="640"/>
          <w:marRight w:val="0"/>
          <w:marTop w:val="0"/>
          <w:marBottom w:val="0"/>
          <w:divBdr>
            <w:top w:val="none" w:sz="0" w:space="0" w:color="auto"/>
            <w:left w:val="none" w:sz="0" w:space="0" w:color="auto"/>
            <w:bottom w:val="none" w:sz="0" w:space="0" w:color="auto"/>
            <w:right w:val="none" w:sz="0" w:space="0" w:color="auto"/>
          </w:divBdr>
        </w:div>
        <w:div w:id="1246263776">
          <w:marLeft w:val="640"/>
          <w:marRight w:val="0"/>
          <w:marTop w:val="0"/>
          <w:marBottom w:val="0"/>
          <w:divBdr>
            <w:top w:val="none" w:sz="0" w:space="0" w:color="auto"/>
            <w:left w:val="none" w:sz="0" w:space="0" w:color="auto"/>
            <w:bottom w:val="none" w:sz="0" w:space="0" w:color="auto"/>
            <w:right w:val="none" w:sz="0" w:space="0" w:color="auto"/>
          </w:divBdr>
        </w:div>
        <w:div w:id="1251699272">
          <w:marLeft w:val="640"/>
          <w:marRight w:val="0"/>
          <w:marTop w:val="0"/>
          <w:marBottom w:val="0"/>
          <w:divBdr>
            <w:top w:val="none" w:sz="0" w:space="0" w:color="auto"/>
            <w:left w:val="none" w:sz="0" w:space="0" w:color="auto"/>
            <w:bottom w:val="none" w:sz="0" w:space="0" w:color="auto"/>
            <w:right w:val="none" w:sz="0" w:space="0" w:color="auto"/>
          </w:divBdr>
        </w:div>
        <w:div w:id="1267233218">
          <w:marLeft w:val="640"/>
          <w:marRight w:val="0"/>
          <w:marTop w:val="0"/>
          <w:marBottom w:val="0"/>
          <w:divBdr>
            <w:top w:val="none" w:sz="0" w:space="0" w:color="auto"/>
            <w:left w:val="none" w:sz="0" w:space="0" w:color="auto"/>
            <w:bottom w:val="none" w:sz="0" w:space="0" w:color="auto"/>
            <w:right w:val="none" w:sz="0" w:space="0" w:color="auto"/>
          </w:divBdr>
        </w:div>
        <w:div w:id="1306860185">
          <w:marLeft w:val="640"/>
          <w:marRight w:val="0"/>
          <w:marTop w:val="0"/>
          <w:marBottom w:val="0"/>
          <w:divBdr>
            <w:top w:val="none" w:sz="0" w:space="0" w:color="auto"/>
            <w:left w:val="none" w:sz="0" w:space="0" w:color="auto"/>
            <w:bottom w:val="none" w:sz="0" w:space="0" w:color="auto"/>
            <w:right w:val="none" w:sz="0" w:space="0" w:color="auto"/>
          </w:divBdr>
        </w:div>
        <w:div w:id="1359162048">
          <w:marLeft w:val="640"/>
          <w:marRight w:val="0"/>
          <w:marTop w:val="0"/>
          <w:marBottom w:val="0"/>
          <w:divBdr>
            <w:top w:val="none" w:sz="0" w:space="0" w:color="auto"/>
            <w:left w:val="none" w:sz="0" w:space="0" w:color="auto"/>
            <w:bottom w:val="none" w:sz="0" w:space="0" w:color="auto"/>
            <w:right w:val="none" w:sz="0" w:space="0" w:color="auto"/>
          </w:divBdr>
        </w:div>
        <w:div w:id="1538201710">
          <w:marLeft w:val="640"/>
          <w:marRight w:val="0"/>
          <w:marTop w:val="0"/>
          <w:marBottom w:val="0"/>
          <w:divBdr>
            <w:top w:val="none" w:sz="0" w:space="0" w:color="auto"/>
            <w:left w:val="none" w:sz="0" w:space="0" w:color="auto"/>
            <w:bottom w:val="none" w:sz="0" w:space="0" w:color="auto"/>
            <w:right w:val="none" w:sz="0" w:space="0" w:color="auto"/>
          </w:divBdr>
        </w:div>
        <w:div w:id="1639412700">
          <w:marLeft w:val="640"/>
          <w:marRight w:val="0"/>
          <w:marTop w:val="0"/>
          <w:marBottom w:val="0"/>
          <w:divBdr>
            <w:top w:val="none" w:sz="0" w:space="0" w:color="auto"/>
            <w:left w:val="none" w:sz="0" w:space="0" w:color="auto"/>
            <w:bottom w:val="none" w:sz="0" w:space="0" w:color="auto"/>
            <w:right w:val="none" w:sz="0" w:space="0" w:color="auto"/>
          </w:divBdr>
        </w:div>
        <w:div w:id="1666666066">
          <w:marLeft w:val="640"/>
          <w:marRight w:val="0"/>
          <w:marTop w:val="0"/>
          <w:marBottom w:val="0"/>
          <w:divBdr>
            <w:top w:val="none" w:sz="0" w:space="0" w:color="auto"/>
            <w:left w:val="none" w:sz="0" w:space="0" w:color="auto"/>
            <w:bottom w:val="none" w:sz="0" w:space="0" w:color="auto"/>
            <w:right w:val="none" w:sz="0" w:space="0" w:color="auto"/>
          </w:divBdr>
        </w:div>
        <w:div w:id="1667123615">
          <w:marLeft w:val="640"/>
          <w:marRight w:val="0"/>
          <w:marTop w:val="0"/>
          <w:marBottom w:val="0"/>
          <w:divBdr>
            <w:top w:val="none" w:sz="0" w:space="0" w:color="auto"/>
            <w:left w:val="none" w:sz="0" w:space="0" w:color="auto"/>
            <w:bottom w:val="none" w:sz="0" w:space="0" w:color="auto"/>
            <w:right w:val="none" w:sz="0" w:space="0" w:color="auto"/>
          </w:divBdr>
        </w:div>
        <w:div w:id="1689479545">
          <w:marLeft w:val="640"/>
          <w:marRight w:val="0"/>
          <w:marTop w:val="0"/>
          <w:marBottom w:val="0"/>
          <w:divBdr>
            <w:top w:val="none" w:sz="0" w:space="0" w:color="auto"/>
            <w:left w:val="none" w:sz="0" w:space="0" w:color="auto"/>
            <w:bottom w:val="none" w:sz="0" w:space="0" w:color="auto"/>
            <w:right w:val="none" w:sz="0" w:space="0" w:color="auto"/>
          </w:divBdr>
        </w:div>
        <w:div w:id="1721703959">
          <w:marLeft w:val="640"/>
          <w:marRight w:val="0"/>
          <w:marTop w:val="0"/>
          <w:marBottom w:val="0"/>
          <w:divBdr>
            <w:top w:val="none" w:sz="0" w:space="0" w:color="auto"/>
            <w:left w:val="none" w:sz="0" w:space="0" w:color="auto"/>
            <w:bottom w:val="none" w:sz="0" w:space="0" w:color="auto"/>
            <w:right w:val="none" w:sz="0" w:space="0" w:color="auto"/>
          </w:divBdr>
        </w:div>
        <w:div w:id="1724714290">
          <w:marLeft w:val="640"/>
          <w:marRight w:val="0"/>
          <w:marTop w:val="0"/>
          <w:marBottom w:val="0"/>
          <w:divBdr>
            <w:top w:val="none" w:sz="0" w:space="0" w:color="auto"/>
            <w:left w:val="none" w:sz="0" w:space="0" w:color="auto"/>
            <w:bottom w:val="none" w:sz="0" w:space="0" w:color="auto"/>
            <w:right w:val="none" w:sz="0" w:space="0" w:color="auto"/>
          </w:divBdr>
        </w:div>
        <w:div w:id="1725369130">
          <w:marLeft w:val="640"/>
          <w:marRight w:val="0"/>
          <w:marTop w:val="0"/>
          <w:marBottom w:val="0"/>
          <w:divBdr>
            <w:top w:val="none" w:sz="0" w:space="0" w:color="auto"/>
            <w:left w:val="none" w:sz="0" w:space="0" w:color="auto"/>
            <w:bottom w:val="none" w:sz="0" w:space="0" w:color="auto"/>
            <w:right w:val="none" w:sz="0" w:space="0" w:color="auto"/>
          </w:divBdr>
        </w:div>
        <w:div w:id="1754005717">
          <w:marLeft w:val="640"/>
          <w:marRight w:val="0"/>
          <w:marTop w:val="0"/>
          <w:marBottom w:val="0"/>
          <w:divBdr>
            <w:top w:val="none" w:sz="0" w:space="0" w:color="auto"/>
            <w:left w:val="none" w:sz="0" w:space="0" w:color="auto"/>
            <w:bottom w:val="none" w:sz="0" w:space="0" w:color="auto"/>
            <w:right w:val="none" w:sz="0" w:space="0" w:color="auto"/>
          </w:divBdr>
        </w:div>
        <w:div w:id="1795295070">
          <w:marLeft w:val="640"/>
          <w:marRight w:val="0"/>
          <w:marTop w:val="0"/>
          <w:marBottom w:val="0"/>
          <w:divBdr>
            <w:top w:val="none" w:sz="0" w:space="0" w:color="auto"/>
            <w:left w:val="none" w:sz="0" w:space="0" w:color="auto"/>
            <w:bottom w:val="none" w:sz="0" w:space="0" w:color="auto"/>
            <w:right w:val="none" w:sz="0" w:space="0" w:color="auto"/>
          </w:divBdr>
        </w:div>
        <w:div w:id="1831018550">
          <w:marLeft w:val="640"/>
          <w:marRight w:val="0"/>
          <w:marTop w:val="0"/>
          <w:marBottom w:val="0"/>
          <w:divBdr>
            <w:top w:val="none" w:sz="0" w:space="0" w:color="auto"/>
            <w:left w:val="none" w:sz="0" w:space="0" w:color="auto"/>
            <w:bottom w:val="none" w:sz="0" w:space="0" w:color="auto"/>
            <w:right w:val="none" w:sz="0" w:space="0" w:color="auto"/>
          </w:divBdr>
        </w:div>
        <w:div w:id="1851018414">
          <w:marLeft w:val="640"/>
          <w:marRight w:val="0"/>
          <w:marTop w:val="0"/>
          <w:marBottom w:val="0"/>
          <w:divBdr>
            <w:top w:val="none" w:sz="0" w:space="0" w:color="auto"/>
            <w:left w:val="none" w:sz="0" w:space="0" w:color="auto"/>
            <w:bottom w:val="none" w:sz="0" w:space="0" w:color="auto"/>
            <w:right w:val="none" w:sz="0" w:space="0" w:color="auto"/>
          </w:divBdr>
        </w:div>
        <w:div w:id="1913738762">
          <w:marLeft w:val="640"/>
          <w:marRight w:val="0"/>
          <w:marTop w:val="0"/>
          <w:marBottom w:val="0"/>
          <w:divBdr>
            <w:top w:val="none" w:sz="0" w:space="0" w:color="auto"/>
            <w:left w:val="none" w:sz="0" w:space="0" w:color="auto"/>
            <w:bottom w:val="none" w:sz="0" w:space="0" w:color="auto"/>
            <w:right w:val="none" w:sz="0" w:space="0" w:color="auto"/>
          </w:divBdr>
        </w:div>
        <w:div w:id="1922643920">
          <w:marLeft w:val="640"/>
          <w:marRight w:val="0"/>
          <w:marTop w:val="0"/>
          <w:marBottom w:val="0"/>
          <w:divBdr>
            <w:top w:val="none" w:sz="0" w:space="0" w:color="auto"/>
            <w:left w:val="none" w:sz="0" w:space="0" w:color="auto"/>
            <w:bottom w:val="none" w:sz="0" w:space="0" w:color="auto"/>
            <w:right w:val="none" w:sz="0" w:space="0" w:color="auto"/>
          </w:divBdr>
        </w:div>
        <w:div w:id="1970160372">
          <w:marLeft w:val="640"/>
          <w:marRight w:val="0"/>
          <w:marTop w:val="0"/>
          <w:marBottom w:val="0"/>
          <w:divBdr>
            <w:top w:val="none" w:sz="0" w:space="0" w:color="auto"/>
            <w:left w:val="none" w:sz="0" w:space="0" w:color="auto"/>
            <w:bottom w:val="none" w:sz="0" w:space="0" w:color="auto"/>
            <w:right w:val="none" w:sz="0" w:space="0" w:color="auto"/>
          </w:divBdr>
        </w:div>
        <w:div w:id="1993218695">
          <w:marLeft w:val="640"/>
          <w:marRight w:val="0"/>
          <w:marTop w:val="0"/>
          <w:marBottom w:val="0"/>
          <w:divBdr>
            <w:top w:val="none" w:sz="0" w:space="0" w:color="auto"/>
            <w:left w:val="none" w:sz="0" w:space="0" w:color="auto"/>
            <w:bottom w:val="none" w:sz="0" w:space="0" w:color="auto"/>
            <w:right w:val="none" w:sz="0" w:space="0" w:color="auto"/>
          </w:divBdr>
        </w:div>
        <w:div w:id="2001276723">
          <w:marLeft w:val="640"/>
          <w:marRight w:val="0"/>
          <w:marTop w:val="0"/>
          <w:marBottom w:val="0"/>
          <w:divBdr>
            <w:top w:val="none" w:sz="0" w:space="0" w:color="auto"/>
            <w:left w:val="none" w:sz="0" w:space="0" w:color="auto"/>
            <w:bottom w:val="none" w:sz="0" w:space="0" w:color="auto"/>
            <w:right w:val="none" w:sz="0" w:space="0" w:color="auto"/>
          </w:divBdr>
        </w:div>
        <w:div w:id="2040692288">
          <w:marLeft w:val="640"/>
          <w:marRight w:val="0"/>
          <w:marTop w:val="0"/>
          <w:marBottom w:val="0"/>
          <w:divBdr>
            <w:top w:val="none" w:sz="0" w:space="0" w:color="auto"/>
            <w:left w:val="none" w:sz="0" w:space="0" w:color="auto"/>
            <w:bottom w:val="none" w:sz="0" w:space="0" w:color="auto"/>
            <w:right w:val="none" w:sz="0" w:space="0" w:color="auto"/>
          </w:divBdr>
        </w:div>
      </w:divsChild>
    </w:div>
    <w:div w:id="1633898486">
      <w:bodyDiv w:val="1"/>
      <w:marLeft w:val="0"/>
      <w:marRight w:val="0"/>
      <w:marTop w:val="0"/>
      <w:marBottom w:val="0"/>
      <w:divBdr>
        <w:top w:val="none" w:sz="0" w:space="0" w:color="auto"/>
        <w:left w:val="none" w:sz="0" w:space="0" w:color="auto"/>
        <w:bottom w:val="none" w:sz="0" w:space="0" w:color="auto"/>
        <w:right w:val="none" w:sz="0" w:space="0" w:color="auto"/>
      </w:divBdr>
      <w:divsChild>
        <w:div w:id="87121934">
          <w:marLeft w:val="640"/>
          <w:marRight w:val="0"/>
          <w:marTop w:val="0"/>
          <w:marBottom w:val="0"/>
          <w:divBdr>
            <w:top w:val="none" w:sz="0" w:space="0" w:color="auto"/>
            <w:left w:val="none" w:sz="0" w:space="0" w:color="auto"/>
            <w:bottom w:val="none" w:sz="0" w:space="0" w:color="auto"/>
            <w:right w:val="none" w:sz="0" w:space="0" w:color="auto"/>
          </w:divBdr>
        </w:div>
        <w:div w:id="163976109">
          <w:marLeft w:val="640"/>
          <w:marRight w:val="0"/>
          <w:marTop w:val="0"/>
          <w:marBottom w:val="0"/>
          <w:divBdr>
            <w:top w:val="none" w:sz="0" w:space="0" w:color="auto"/>
            <w:left w:val="none" w:sz="0" w:space="0" w:color="auto"/>
            <w:bottom w:val="none" w:sz="0" w:space="0" w:color="auto"/>
            <w:right w:val="none" w:sz="0" w:space="0" w:color="auto"/>
          </w:divBdr>
        </w:div>
        <w:div w:id="206112125">
          <w:marLeft w:val="640"/>
          <w:marRight w:val="0"/>
          <w:marTop w:val="0"/>
          <w:marBottom w:val="0"/>
          <w:divBdr>
            <w:top w:val="none" w:sz="0" w:space="0" w:color="auto"/>
            <w:left w:val="none" w:sz="0" w:space="0" w:color="auto"/>
            <w:bottom w:val="none" w:sz="0" w:space="0" w:color="auto"/>
            <w:right w:val="none" w:sz="0" w:space="0" w:color="auto"/>
          </w:divBdr>
        </w:div>
        <w:div w:id="208341229">
          <w:marLeft w:val="640"/>
          <w:marRight w:val="0"/>
          <w:marTop w:val="0"/>
          <w:marBottom w:val="0"/>
          <w:divBdr>
            <w:top w:val="none" w:sz="0" w:space="0" w:color="auto"/>
            <w:left w:val="none" w:sz="0" w:space="0" w:color="auto"/>
            <w:bottom w:val="none" w:sz="0" w:space="0" w:color="auto"/>
            <w:right w:val="none" w:sz="0" w:space="0" w:color="auto"/>
          </w:divBdr>
        </w:div>
        <w:div w:id="218059692">
          <w:marLeft w:val="640"/>
          <w:marRight w:val="0"/>
          <w:marTop w:val="0"/>
          <w:marBottom w:val="0"/>
          <w:divBdr>
            <w:top w:val="none" w:sz="0" w:space="0" w:color="auto"/>
            <w:left w:val="none" w:sz="0" w:space="0" w:color="auto"/>
            <w:bottom w:val="none" w:sz="0" w:space="0" w:color="auto"/>
            <w:right w:val="none" w:sz="0" w:space="0" w:color="auto"/>
          </w:divBdr>
        </w:div>
        <w:div w:id="226652502">
          <w:marLeft w:val="640"/>
          <w:marRight w:val="0"/>
          <w:marTop w:val="0"/>
          <w:marBottom w:val="0"/>
          <w:divBdr>
            <w:top w:val="none" w:sz="0" w:space="0" w:color="auto"/>
            <w:left w:val="none" w:sz="0" w:space="0" w:color="auto"/>
            <w:bottom w:val="none" w:sz="0" w:space="0" w:color="auto"/>
            <w:right w:val="none" w:sz="0" w:space="0" w:color="auto"/>
          </w:divBdr>
        </w:div>
        <w:div w:id="231623824">
          <w:marLeft w:val="640"/>
          <w:marRight w:val="0"/>
          <w:marTop w:val="0"/>
          <w:marBottom w:val="0"/>
          <w:divBdr>
            <w:top w:val="none" w:sz="0" w:space="0" w:color="auto"/>
            <w:left w:val="none" w:sz="0" w:space="0" w:color="auto"/>
            <w:bottom w:val="none" w:sz="0" w:space="0" w:color="auto"/>
            <w:right w:val="none" w:sz="0" w:space="0" w:color="auto"/>
          </w:divBdr>
        </w:div>
        <w:div w:id="240528159">
          <w:marLeft w:val="640"/>
          <w:marRight w:val="0"/>
          <w:marTop w:val="0"/>
          <w:marBottom w:val="0"/>
          <w:divBdr>
            <w:top w:val="none" w:sz="0" w:space="0" w:color="auto"/>
            <w:left w:val="none" w:sz="0" w:space="0" w:color="auto"/>
            <w:bottom w:val="none" w:sz="0" w:space="0" w:color="auto"/>
            <w:right w:val="none" w:sz="0" w:space="0" w:color="auto"/>
          </w:divBdr>
        </w:div>
        <w:div w:id="242222926">
          <w:marLeft w:val="640"/>
          <w:marRight w:val="0"/>
          <w:marTop w:val="0"/>
          <w:marBottom w:val="0"/>
          <w:divBdr>
            <w:top w:val="none" w:sz="0" w:space="0" w:color="auto"/>
            <w:left w:val="none" w:sz="0" w:space="0" w:color="auto"/>
            <w:bottom w:val="none" w:sz="0" w:space="0" w:color="auto"/>
            <w:right w:val="none" w:sz="0" w:space="0" w:color="auto"/>
          </w:divBdr>
        </w:div>
        <w:div w:id="247153650">
          <w:marLeft w:val="640"/>
          <w:marRight w:val="0"/>
          <w:marTop w:val="0"/>
          <w:marBottom w:val="0"/>
          <w:divBdr>
            <w:top w:val="none" w:sz="0" w:space="0" w:color="auto"/>
            <w:left w:val="none" w:sz="0" w:space="0" w:color="auto"/>
            <w:bottom w:val="none" w:sz="0" w:space="0" w:color="auto"/>
            <w:right w:val="none" w:sz="0" w:space="0" w:color="auto"/>
          </w:divBdr>
        </w:div>
        <w:div w:id="259920385">
          <w:marLeft w:val="640"/>
          <w:marRight w:val="0"/>
          <w:marTop w:val="0"/>
          <w:marBottom w:val="0"/>
          <w:divBdr>
            <w:top w:val="none" w:sz="0" w:space="0" w:color="auto"/>
            <w:left w:val="none" w:sz="0" w:space="0" w:color="auto"/>
            <w:bottom w:val="none" w:sz="0" w:space="0" w:color="auto"/>
            <w:right w:val="none" w:sz="0" w:space="0" w:color="auto"/>
          </w:divBdr>
        </w:div>
        <w:div w:id="277302736">
          <w:marLeft w:val="640"/>
          <w:marRight w:val="0"/>
          <w:marTop w:val="0"/>
          <w:marBottom w:val="0"/>
          <w:divBdr>
            <w:top w:val="none" w:sz="0" w:space="0" w:color="auto"/>
            <w:left w:val="none" w:sz="0" w:space="0" w:color="auto"/>
            <w:bottom w:val="none" w:sz="0" w:space="0" w:color="auto"/>
            <w:right w:val="none" w:sz="0" w:space="0" w:color="auto"/>
          </w:divBdr>
        </w:div>
        <w:div w:id="301622299">
          <w:marLeft w:val="640"/>
          <w:marRight w:val="0"/>
          <w:marTop w:val="0"/>
          <w:marBottom w:val="0"/>
          <w:divBdr>
            <w:top w:val="none" w:sz="0" w:space="0" w:color="auto"/>
            <w:left w:val="none" w:sz="0" w:space="0" w:color="auto"/>
            <w:bottom w:val="none" w:sz="0" w:space="0" w:color="auto"/>
            <w:right w:val="none" w:sz="0" w:space="0" w:color="auto"/>
          </w:divBdr>
        </w:div>
        <w:div w:id="320668244">
          <w:marLeft w:val="640"/>
          <w:marRight w:val="0"/>
          <w:marTop w:val="0"/>
          <w:marBottom w:val="0"/>
          <w:divBdr>
            <w:top w:val="none" w:sz="0" w:space="0" w:color="auto"/>
            <w:left w:val="none" w:sz="0" w:space="0" w:color="auto"/>
            <w:bottom w:val="none" w:sz="0" w:space="0" w:color="auto"/>
            <w:right w:val="none" w:sz="0" w:space="0" w:color="auto"/>
          </w:divBdr>
        </w:div>
        <w:div w:id="327252745">
          <w:marLeft w:val="640"/>
          <w:marRight w:val="0"/>
          <w:marTop w:val="0"/>
          <w:marBottom w:val="0"/>
          <w:divBdr>
            <w:top w:val="none" w:sz="0" w:space="0" w:color="auto"/>
            <w:left w:val="none" w:sz="0" w:space="0" w:color="auto"/>
            <w:bottom w:val="none" w:sz="0" w:space="0" w:color="auto"/>
            <w:right w:val="none" w:sz="0" w:space="0" w:color="auto"/>
          </w:divBdr>
        </w:div>
        <w:div w:id="371154700">
          <w:marLeft w:val="640"/>
          <w:marRight w:val="0"/>
          <w:marTop w:val="0"/>
          <w:marBottom w:val="0"/>
          <w:divBdr>
            <w:top w:val="none" w:sz="0" w:space="0" w:color="auto"/>
            <w:left w:val="none" w:sz="0" w:space="0" w:color="auto"/>
            <w:bottom w:val="none" w:sz="0" w:space="0" w:color="auto"/>
            <w:right w:val="none" w:sz="0" w:space="0" w:color="auto"/>
          </w:divBdr>
        </w:div>
        <w:div w:id="384256221">
          <w:marLeft w:val="640"/>
          <w:marRight w:val="0"/>
          <w:marTop w:val="0"/>
          <w:marBottom w:val="0"/>
          <w:divBdr>
            <w:top w:val="none" w:sz="0" w:space="0" w:color="auto"/>
            <w:left w:val="none" w:sz="0" w:space="0" w:color="auto"/>
            <w:bottom w:val="none" w:sz="0" w:space="0" w:color="auto"/>
            <w:right w:val="none" w:sz="0" w:space="0" w:color="auto"/>
          </w:divBdr>
        </w:div>
        <w:div w:id="435909130">
          <w:marLeft w:val="640"/>
          <w:marRight w:val="0"/>
          <w:marTop w:val="0"/>
          <w:marBottom w:val="0"/>
          <w:divBdr>
            <w:top w:val="none" w:sz="0" w:space="0" w:color="auto"/>
            <w:left w:val="none" w:sz="0" w:space="0" w:color="auto"/>
            <w:bottom w:val="none" w:sz="0" w:space="0" w:color="auto"/>
            <w:right w:val="none" w:sz="0" w:space="0" w:color="auto"/>
          </w:divBdr>
        </w:div>
        <w:div w:id="449711492">
          <w:marLeft w:val="640"/>
          <w:marRight w:val="0"/>
          <w:marTop w:val="0"/>
          <w:marBottom w:val="0"/>
          <w:divBdr>
            <w:top w:val="none" w:sz="0" w:space="0" w:color="auto"/>
            <w:left w:val="none" w:sz="0" w:space="0" w:color="auto"/>
            <w:bottom w:val="none" w:sz="0" w:space="0" w:color="auto"/>
            <w:right w:val="none" w:sz="0" w:space="0" w:color="auto"/>
          </w:divBdr>
        </w:div>
        <w:div w:id="453982854">
          <w:marLeft w:val="640"/>
          <w:marRight w:val="0"/>
          <w:marTop w:val="0"/>
          <w:marBottom w:val="0"/>
          <w:divBdr>
            <w:top w:val="none" w:sz="0" w:space="0" w:color="auto"/>
            <w:left w:val="none" w:sz="0" w:space="0" w:color="auto"/>
            <w:bottom w:val="none" w:sz="0" w:space="0" w:color="auto"/>
            <w:right w:val="none" w:sz="0" w:space="0" w:color="auto"/>
          </w:divBdr>
        </w:div>
        <w:div w:id="490760734">
          <w:marLeft w:val="640"/>
          <w:marRight w:val="0"/>
          <w:marTop w:val="0"/>
          <w:marBottom w:val="0"/>
          <w:divBdr>
            <w:top w:val="none" w:sz="0" w:space="0" w:color="auto"/>
            <w:left w:val="none" w:sz="0" w:space="0" w:color="auto"/>
            <w:bottom w:val="none" w:sz="0" w:space="0" w:color="auto"/>
            <w:right w:val="none" w:sz="0" w:space="0" w:color="auto"/>
          </w:divBdr>
        </w:div>
        <w:div w:id="521629115">
          <w:marLeft w:val="640"/>
          <w:marRight w:val="0"/>
          <w:marTop w:val="0"/>
          <w:marBottom w:val="0"/>
          <w:divBdr>
            <w:top w:val="none" w:sz="0" w:space="0" w:color="auto"/>
            <w:left w:val="none" w:sz="0" w:space="0" w:color="auto"/>
            <w:bottom w:val="none" w:sz="0" w:space="0" w:color="auto"/>
            <w:right w:val="none" w:sz="0" w:space="0" w:color="auto"/>
          </w:divBdr>
        </w:div>
        <w:div w:id="535892992">
          <w:marLeft w:val="640"/>
          <w:marRight w:val="0"/>
          <w:marTop w:val="0"/>
          <w:marBottom w:val="0"/>
          <w:divBdr>
            <w:top w:val="none" w:sz="0" w:space="0" w:color="auto"/>
            <w:left w:val="none" w:sz="0" w:space="0" w:color="auto"/>
            <w:bottom w:val="none" w:sz="0" w:space="0" w:color="auto"/>
            <w:right w:val="none" w:sz="0" w:space="0" w:color="auto"/>
          </w:divBdr>
        </w:div>
        <w:div w:id="628783622">
          <w:marLeft w:val="640"/>
          <w:marRight w:val="0"/>
          <w:marTop w:val="0"/>
          <w:marBottom w:val="0"/>
          <w:divBdr>
            <w:top w:val="none" w:sz="0" w:space="0" w:color="auto"/>
            <w:left w:val="none" w:sz="0" w:space="0" w:color="auto"/>
            <w:bottom w:val="none" w:sz="0" w:space="0" w:color="auto"/>
            <w:right w:val="none" w:sz="0" w:space="0" w:color="auto"/>
          </w:divBdr>
        </w:div>
        <w:div w:id="652951021">
          <w:marLeft w:val="640"/>
          <w:marRight w:val="0"/>
          <w:marTop w:val="0"/>
          <w:marBottom w:val="0"/>
          <w:divBdr>
            <w:top w:val="none" w:sz="0" w:space="0" w:color="auto"/>
            <w:left w:val="none" w:sz="0" w:space="0" w:color="auto"/>
            <w:bottom w:val="none" w:sz="0" w:space="0" w:color="auto"/>
            <w:right w:val="none" w:sz="0" w:space="0" w:color="auto"/>
          </w:divBdr>
        </w:div>
        <w:div w:id="709577716">
          <w:marLeft w:val="640"/>
          <w:marRight w:val="0"/>
          <w:marTop w:val="0"/>
          <w:marBottom w:val="0"/>
          <w:divBdr>
            <w:top w:val="none" w:sz="0" w:space="0" w:color="auto"/>
            <w:left w:val="none" w:sz="0" w:space="0" w:color="auto"/>
            <w:bottom w:val="none" w:sz="0" w:space="0" w:color="auto"/>
            <w:right w:val="none" w:sz="0" w:space="0" w:color="auto"/>
          </w:divBdr>
        </w:div>
        <w:div w:id="727996296">
          <w:marLeft w:val="640"/>
          <w:marRight w:val="0"/>
          <w:marTop w:val="0"/>
          <w:marBottom w:val="0"/>
          <w:divBdr>
            <w:top w:val="none" w:sz="0" w:space="0" w:color="auto"/>
            <w:left w:val="none" w:sz="0" w:space="0" w:color="auto"/>
            <w:bottom w:val="none" w:sz="0" w:space="0" w:color="auto"/>
            <w:right w:val="none" w:sz="0" w:space="0" w:color="auto"/>
          </w:divBdr>
        </w:div>
        <w:div w:id="789594557">
          <w:marLeft w:val="640"/>
          <w:marRight w:val="0"/>
          <w:marTop w:val="0"/>
          <w:marBottom w:val="0"/>
          <w:divBdr>
            <w:top w:val="none" w:sz="0" w:space="0" w:color="auto"/>
            <w:left w:val="none" w:sz="0" w:space="0" w:color="auto"/>
            <w:bottom w:val="none" w:sz="0" w:space="0" w:color="auto"/>
            <w:right w:val="none" w:sz="0" w:space="0" w:color="auto"/>
          </w:divBdr>
        </w:div>
        <w:div w:id="802037005">
          <w:marLeft w:val="640"/>
          <w:marRight w:val="0"/>
          <w:marTop w:val="0"/>
          <w:marBottom w:val="0"/>
          <w:divBdr>
            <w:top w:val="none" w:sz="0" w:space="0" w:color="auto"/>
            <w:left w:val="none" w:sz="0" w:space="0" w:color="auto"/>
            <w:bottom w:val="none" w:sz="0" w:space="0" w:color="auto"/>
            <w:right w:val="none" w:sz="0" w:space="0" w:color="auto"/>
          </w:divBdr>
        </w:div>
        <w:div w:id="818423324">
          <w:marLeft w:val="640"/>
          <w:marRight w:val="0"/>
          <w:marTop w:val="0"/>
          <w:marBottom w:val="0"/>
          <w:divBdr>
            <w:top w:val="none" w:sz="0" w:space="0" w:color="auto"/>
            <w:left w:val="none" w:sz="0" w:space="0" w:color="auto"/>
            <w:bottom w:val="none" w:sz="0" w:space="0" w:color="auto"/>
            <w:right w:val="none" w:sz="0" w:space="0" w:color="auto"/>
          </w:divBdr>
        </w:div>
        <w:div w:id="871382559">
          <w:marLeft w:val="640"/>
          <w:marRight w:val="0"/>
          <w:marTop w:val="0"/>
          <w:marBottom w:val="0"/>
          <w:divBdr>
            <w:top w:val="none" w:sz="0" w:space="0" w:color="auto"/>
            <w:left w:val="none" w:sz="0" w:space="0" w:color="auto"/>
            <w:bottom w:val="none" w:sz="0" w:space="0" w:color="auto"/>
            <w:right w:val="none" w:sz="0" w:space="0" w:color="auto"/>
          </w:divBdr>
        </w:div>
        <w:div w:id="911424578">
          <w:marLeft w:val="640"/>
          <w:marRight w:val="0"/>
          <w:marTop w:val="0"/>
          <w:marBottom w:val="0"/>
          <w:divBdr>
            <w:top w:val="none" w:sz="0" w:space="0" w:color="auto"/>
            <w:left w:val="none" w:sz="0" w:space="0" w:color="auto"/>
            <w:bottom w:val="none" w:sz="0" w:space="0" w:color="auto"/>
            <w:right w:val="none" w:sz="0" w:space="0" w:color="auto"/>
          </w:divBdr>
        </w:div>
        <w:div w:id="953563533">
          <w:marLeft w:val="640"/>
          <w:marRight w:val="0"/>
          <w:marTop w:val="0"/>
          <w:marBottom w:val="0"/>
          <w:divBdr>
            <w:top w:val="none" w:sz="0" w:space="0" w:color="auto"/>
            <w:left w:val="none" w:sz="0" w:space="0" w:color="auto"/>
            <w:bottom w:val="none" w:sz="0" w:space="0" w:color="auto"/>
            <w:right w:val="none" w:sz="0" w:space="0" w:color="auto"/>
          </w:divBdr>
        </w:div>
        <w:div w:id="1019548822">
          <w:marLeft w:val="640"/>
          <w:marRight w:val="0"/>
          <w:marTop w:val="0"/>
          <w:marBottom w:val="0"/>
          <w:divBdr>
            <w:top w:val="none" w:sz="0" w:space="0" w:color="auto"/>
            <w:left w:val="none" w:sz="0" w:space="0" w:color="auto"/>
            <w:bottom w:val="none" w:sz="0" w:space="0" w:color="auto"/>
            <w:right w:val="none" w:sz="0" w:space="0" w:color="auto"/>
          </w:divBdr>
        </w:div>
        <w:div w:id="1041444372">
          <w:marLeft w:val="640"/>
          <w:marRight w:val="0"/>
          <w:marTop w:val="0"/>
          <w:marBottom w:val="0"/>
          <w:divBdr>
            <w:top w:val="none" w:sz="0" w:space="0" w:color="auto"/>
            <w:left w:val="none" w:sz="0" w:space="0" w:color="auto"/>
            <w:bottom w:val="none" w:sz="0" w:space="0" w:color="auto"/>
            <w:right w:val="none" w:sz="0" w:space="0" w:color="auto"/>
          </w:divBdr>
        </w:div>
        <w:div w:id="1046949629">
          <w:marLeft w:val="640"/>
          <w:marRight w:val="0"/>
          <w:marTop w:val="0"/>
          <w:marBottom w:val="0"/>
          <w:divBdr>
            <w:top w:val="none" w:sz="0" w:space="0" w:color="auto"/>
            <w:left w:val="none" w:sz="0" w:space="0" w:color="auto"/>
            <w:bottom w:val="none" w:sz="0" w:space="0" w:color="auto"/>
            <w:right w:val="none" w:sz="0" w:space="0" w:color="auto"/>
          </w:divBdr>
        </w:div>
        <w:div w:id="1067073344">
          <w:marLeft w:val="640"/>
          <w:marRight w:val="0"/>
          <w:marTop w:val="0"/>
          <w:marBottom w:val="0"/>
          <w:divBdr>
            <w:top w:val="none" w:sz="0" w:space="0" w:color="auto"/>
            <w:left w:val="none" w:sz="0" w:space="0" w:color="auto"/>
            <w:bottom w:val="none" w:sz="0" w:space="0" w:color="auto"/>
            <w:right w:val="none" w:sz="0" w:space="0" w:color="auto"/>
          </w:divBdr>
        </w:div>
        <w:div w:id="1161384345">
          <w:marLeft w:val="640"/>
          <w:marRight w:val="0"/>
          <w:marTop w:val="0"/>
          <w:marBottom w:val="0"/>
          <w:divBdr>
            <w:top w:val="none" w:sz="0" w:space="0" w:color="auto"/>
            <w:left w:val="none" w:sz="0" w:space="0" w:color="auto"/>
            <w:bottom w:val="none" w:sz="0" w:space="0" w:color="auto"/>
            <w:right w:val="none" w:sz="0" w:space="0" w:color="auto"/>
          </w:divBdr>
        </w:div>
        <w:div w:id="1180513281">
          <w:marLeft w:val="640"/>
          <w:marRight w:val="0"/>
          <w:marTop w:val="0"/>
          <w:marBottom w:val="0"/>
          <w:divBdr>
            <w:top w:val="none" w:sz="0" w:space="0" w:color="auto"/>
            <w:left w:val="none" w:sz="0" w:space="0" w:color="auto"/>
            <w:bottom w:val="none" w:sz="0" w:space="0" w:color="auto"/>
            <w:right w:val="none" w:sz="0" w:space="0" w:color="auto"/>
          </w:divBdr>
        </w:div>
        <w:div w:id="1224482646">
          <w:marLeft w:val="640"/>
          <w:marRight w:val="0"/>
          <w:marTop w:val="0"/>
          <w:marBottom w:val="0"/>
          <w:divBdr>
            <w:top w:val="none" w:sz="0" w:space="0" w:color="auto"/>
            <w:left w:val="none" w:sz="0" w:space="0" w:color="auto"/>
            <w:bottom w:val="none" w:sz="0" w:space="0" w:color="auto"/>
            <w:right w:val="none" w:sz="0" w:space="0" w:color="auto"/>
          </w:divBdr>
        </w:div>
        <w:div w:id="1228418451">
          <w:marLeft w:val="640"/>
          <w:marRight w:val="0"/>
          <w:marTop w:val="0"/>
          <w:marBottom w:val="0"/>
          <w:divBdr>
            <w:top w:val="none" w:sz="0" w:space="0" w:color="auto"/>
            <w:left w:val="none" w:sz="0" w:space="0" w:color="auto"/>
            <w:bottom w:val="none" w:sz="0" w:space="0" w:color="auto"/>
            <w:right w:val="none" w:sz="0" w:space="0" w:color="auto"/>
          </w:divBdr>
        </w:div>
        <w:div w:id="1229078584">
          <w:marLeft w:val="640"/>
          <w:marRight w:val="0"/>
          <w:marTop w:val="0"/>
          <w:marBottom w:val="0"/>
          <w:divBdr>
            <w:top w:val="none" w:sz="0" w:space="0" w:color="auto"/>
            <w:left w:val="none" w:sz="0" w:space="0" w:color="auto"/>
            <w:bottom w:val="none" w:sz="0" w:space="0" w:color="auto"/>
            <w:right w:val="none" w:sz="0" w:space="0" w:color="auto"/>
          </w:divBdr>
        </w:div>
        <w:div w:id="1236666108">
          <w:marLeft w:val="640"/>
          <w:marRight w:val="0"/>
          <w:marTop w:val="0"/>
          <w:marBottom w:val="0"/>
          <w:divBdr>
            <w:top w:val="none" w:sz="0" w:space="0" w:color="auto"/>
            <w:left w:val="none" w:sz="0" w:space="0" w:color="auto"/>
            <w:bottom w:val="none" w:sz="0" w:space="0" w:color="auto"/>
            <w:right w:val="none" w:sz="0" w:space="0" w:color="auto"/>
          </w:divBdr>
        </w:div>
        <w:div w:id="1240477455">
          <w:marLeft w:val="640"/>
          <w:marRight w:val="0"/>
          <w:marTop w:val="0"/>
          <w:marBottom w:val="0"/>
          <w:divBdr>
            <w:top w:val="none" w:sz="0" w:space="0" w:color="auto"/>
            <w:left w:val="none" w:sz="0" w:space="0" w:color="auto"/>
            <w:bottom w:val="none" w:sz="0" w:space="0" w:color="auto"/>
            <w:right w:val="none" w:sz="0" w:space="0" w:color="auto"/>
          </w:divBdr>
        </w:div>
        <w:div w:id="1275406002">
          <w:marLeft w:val="640"/>
          <w:marRight w:val="0"/>
          <w:marTop w:val="0"/>
          <w:marBottom w:val="0"/>
          <w:divBdr>
            <w:top w:val="none" w:sz="0" w:space="0" w:color="auto"/>
            <w:left w:val="none" w:sz="0" w:space="0" w:color="auto"/>
            <w:bottom w:val="none" w:sz="0" w:space="0" w:color="auto"/>
            <w:right w:val="none" w:sz="0" w:space="0" w:color="auto"/>
          </w:divBdr>
        </w:div>
        <w:div w:id="1299921746">
          <w:marLeft w:val="640"/>
          <w:marRight w:val="0"/>
          <w:marTop w:val="0"/>
          <w:marBottom w:val="0"/>
          <w:divBdr>
            <w:top w:val="none" w:sz="0" w:space="0" w:color="auto"/>
            <w:left w:val="none" w:sz="0" w:space="0" w:color="auto"/>
            <w:bottom w:val="none" w:sz="0" w:space="0" w:color="auto"/>
            <w:right w:val="none" w:sz="0" w:space="0" w:color="auto"/>
          </w:divBdr>
        </w:div>
        <w:div w:id="1306273498">
          <w:marLeft w:val="640"/>
          <w:marRight w:val="0"/>
          <w:marTop w:val="0"/>
          <w:marBottom w:val="0"/>
          <w:divBdr>
            <w:top w:val="none" w:sz="0" w:space="0" w:color="auto"/>
            <w:left w:val="none" w:sz="0" w:space="0" w:color="auto"/>
            <w:bottom w:val="none" w:sz="0" w:space="0" w:color="auto"/>
            <w:right w:val="none" w:sz="0" w:space="0" w:color="auto"/>
          </w:divBdr>
        </w:div>
        <w:div w:id="1340809374">
          <w:marLeft w:val="640"/>
          <w:marRight w:val="0"/>
          <w:marTop w:val="0"/>
          <w:marBottom w:val="0"/>
          <w:divBdr>
            <w:top w:val="none" w:sz="0" w:space="0" w:color="auto"/>
            <w:left w:val="none" w:sz="0" w:space="0" w:color="auto"/>
            <w:bottom w:val="none" w:sz="0" w:space="0" w:color="auto"/>
            <w:right w:val="none" w:sz="0" w:space="0" w:color="auto"/>
          </w:divBdr>
        </w:div>
        <w:div w:id="1343629172">
          <w:marLeft w:val="640"/>
          <w:marRight w:val="0"/>
          <w:marTop w:val="0"/>
          <w:marBottom w:val="0"/>
          <w:divBdr>
            <w:top w:val="none" w:sz="0" w:space="0" w:color="auto"/>
            <w:left w:val="none" w:sz="0" w:space="0" w:color="auto"/>
            <w:bottom w:val="none" w:sz="0" w:space="0" w:color="auto"/>
            <w:right w:val="none" w:sz="0" w:space="0" w:color="auto"/>
          </w:divBdr>
        </w:div>
        <w:div w:id="1356157161">
          <w:marLeft w:val="640"/>
          <w:marRight w:val="0"/>
          <w:marTop w:val="0"/>
          <w:marBottom w:val="0"/>
          <w:divBdr>
            <w:top w:val="none" w:sz="0" w:space="0" w:color="auto"/>
            <w:left w:val="none" w:sz="0" w:space="0" w:color="auto"/>
            <w:bottom w:val="none" w:sz="0" w:space="0" w:color="auto"/>
            <w:right w:val="none" w:sz="0" w:space="0" w:color="auto"/>
          </w:divBdr>
        </w:div>
        <w:div w:id="1356930069">
          <w:marLeft w:val="640"/>
          <w:marRight w:val="0"/>
          <w:marTop w:val="0"/>
          <w:marBottom w:val="0"/>
          <w:divBdr>
            <w:top w:val="none" w:sz="0" w:space="0" w:color="auto"/>
            <w:left w:val="none" w:sz="0" w:space="0" w:color="auto"/>
            <w:bottom w:val="none" w:sz="0" w:space="0" w:color="auto"/>
            <w:right w:val="none" w:sz="0" w:space="0" w:color="auto"/>
          </w:divBdr>
        </w:div>
        <w:div w:id="1368218257">
          <w:marLeft w:val="640"/>
          <w:marRight w:val="0"/>
          <w:marTop w:val="0"/>
          <w:marBottom w:val="0"/>
          <w:divBdr>
            <w:top w:val="none" w:sz="0" w:space="0" w:color="auto"/>
            <w:left w:val="none" w:sz="0" w:space="0" w:color="auto"/>
            <w:bottom w:val="none" w:sz="0" w:space="0" w:color="auto"/>
            <w:right w:val="none" w:sz="0" w:space="0" w:color="auto"/>
          </w:divBdr>
        </w:div>
        <w:div w:id="1399786624">
          <w:marLeft w:val="640"/>
          <w:marRight w:val="0"/>
          <w:marTop w:val="0"/>
          <w:marBottom w:val="0"/>
          <w:divBdr>
            <w:top w:val="none" w:sz="0" w:space="0" w:color="auto"/>
            <w:left w:val="none" w:sz="0" w:space="0" w:color="auto"/>
            <w:bottom w:val="none" w:sz="0" w:space="0" w:color="auto"/>
            <w:right w:val="none" w:sz="0" w:space="0" w:color="auto"/>
          </w:divBdr>
        </w:div>
        <w:div w:id="1404789124">
          <w:marLeft w:val="640"/>
          <w:marRight w:val="0"/>
          <w:marTop w:val="0"/>
          <w:marBottom w:val="0"/>
          <w:divBdr>
            <w:top w:val="none" w:sz="0" w:space="0" w:color="auto"/>
            <w:left w:val="none" w:sz="0" w:space="0" w:color="auto"/>
            <w:bottom w:val="none" w:sz="0" w:space="0" w:color="auto"/>
            <w:right w:val="none" w:sz="0" w:space="0" w:color="auto"/>
          </w:divBdr>
        </w:div>
        <w:div w:id="1424765065">
          <w:marLeft w:val="640"/>
          <w:marRight w:val="0"/>
          <w:marTop w:val="0"/>
          <w:marBottom w:val="0"/>
          <w:divBdr>
            <w:top w:val="none" w:sz="0" w:space="0" w:color="auto"/>
            <w:left w:val="none" w:sz="0" w:space="0" w:color="auto"/>
            <w:bottom w:val="none" w:sz="0" w:space="0" w:color="auto"/>
            <w:right w:val="none" w:sz="0" w:space="0" w:color="auto"/>
          </w:divBdr>
        </w:div>
        <w:div w:id="1485927247">
          <w:marLeft w:val="640"/>
          <w:marRight w:val="0"/>
          <w:marTop w:val="0"/>
          <w:marBottom w:val="0"/>
          <w:divBdr>
            <w:top w:val="none" w:sz="0" w:space="0" w:color="auto"/>
            <w:left w:val="none" w:sz="0" w:space="0" w:color="auto"/>
            <w:bottom w:val="none" w:sz="0" w:space="0" w:color="auto"/>
            <w:right w:val="none" w:sz="0" w:space="0" w:color="auto"/>
          </w:divBdr>
        </w:div>
        <w:div w:id="1487094021">
          <w:marLeft w:val="640"/>
          <w:marRight w:val="0"/>
          <w:marTop w:val="0"/>
          <w:marBottom w:val="0"/>
          <w:divBdr>
            <w:top w:val="none" w:sz="0" w:space="0" w:color="auto"/>
            <w:left w:val="none" w:sz="0" w:space="0" w:color="auto"/>
            <w:bottom w:val="none" w:sz="0" w:space="0" w:color="auto"/>
            <w:right w:val="none" w:sz="0" w:space="0" w:color="auto"/>
          </w:divBdr>
        </w:div>
        <w:div w:id="1504322187">
          <w:marLeft w:val="640"/>
          <w:marRight w:val="0"/>
          <w:marTop w:val="0"/>
          <w:marBottom w:val="0"/>
          <w:divBdr>
            <w:top w:val="none" w:sz="0" w:space="0" w:color="auto"/>
            <w:left w:val="none" w:sz="0" w:space="0" w:color="auto"/>
            <w:bottom w:val="none" w:sz="0" w:space="0" w:color="auto"/>
            <w:right w:val="none" w:sz="0" w:space="0" w:color="auto"/>
          </w:divBdr>
        </w:div>
        <w:div w:id="1514102836">
          <w:marLeft w:val="640"/>
          <w:marRight w:val="0"/>
          <w:marTop w:val="0"/>
          <w:marBottom w:val="0"/>
          <w:divBdr>
            <w:top w:val="none" w:sz="0" w:space="0" w:color="auto"/>
            <w:left w:val="none" w:sz="0" w:space="0" w:color="auto"/>
            <w:bottom w:val="none" w:sz="0" w:space="0" w:color="auto"/>
            <w:right w:val="none" w:sz="0" w:space="0" w:color="auto"/>
          </w:divBdr>
        </w:div>
        <w:div w:id="1558084805">
          <w:marLeft w:val="640"/>
          <w:marRight w:val="0"/>
          <w:marTop w:val="0"/>
          <w:marBottom w:val="0"/>
          <w:divBdr>
            <w:top w:val="none" w:sz="0" w:space="0" w:color="auto"/>
            <w:left w:val="none" w:sz="0" w:space="0" w:color="auto"/>
            <w:bottom w:val="none" w:sz="0" w:space="0" w:color="auto"/>
            <w:right w:val="none" w:sz="0" w:space="0" w:color="auto"/>
          </w:divBdr>
        </w:div>
        <w:div w:id="1639408323">
          <w:marLeft w:val="640"/>
          <w:marRight w:val="0"/>
          <w:marTop w:val="0"/>
          <w:marBottom w:val="0"/>
          <w:divBdr>
            <w:top w:val="none" w:sz="0" w:space="0" w:color="auto"/>
            <w:left w:val="none" w:sz="0" w:space="0" w:color="auto"/>
            <w:bottom w:val="none" w:sz="0" w:space="0" w:color="auto"/>
            <w:right w:val="none" w:sz="0" w:space="0" w:color="auto"/>
          </w:divBdr>
        </w:div>
        <w:div w:id="1645501945">
          <w:marLeft w:val="640"/>
          <w:marRight w:val="0"/>
          <w:marTop w:val="0"/>
          <w:marBottom w:val="0"/>
          <w:divBdr>
            <w:top w:val="none" w:sz="0" w:space="0" w:color="auto"/>
            <w:left w:val="none" w:sz="0" w:space="0" w:color="auto"/>
            <w:bottom w:val="none" w:sz="0" w:space="0" w:color="auto"/>
            <w:right w:val="none" w:sz="0" w:space="0" w:color="auto"/>
          </w:divBdr>
        </w:div>
        <w:div w:id="1666543965">
          <w:marLeft w:val="640"/>
          <w:marRight w:val="0"/>
          <w:marTop w:val="0"/>
          <w:marBottom w:val="0"/>
          <w:divBdr>
            <w:top w:val="none" w:sz="0" w:space="0" w:color="auto"/>
            <w:left w:val="none" w:sz="0" w:space="0" w:color="auto"/>
            <w:bottom w:val="none" w:sz="0" w:space="0" w:color="auto"/>
            <w:right w:val="none" w:sz="0" w:space="0" w:color="auto"/>
          </w:divBdr>
        </w:div>
        <w:div w:id="1778409924">
          <w:marLeft w:val="640"/>
          <w:marRight w:val="0"/>
          <w:marTop w:val="0"/>
          <w:marBottom w:val="0"/>
          <w:divBdr>
            <w:top w:val="none" w:sz="0" w:space="0" w:color="auto"/>
            <w:left w:val="none" w:sz="0" w:space="0" w:color="auto"/>
            <w:bottom w:val="none" w:sz="0" w:space="0" w:color="auto"/>
            <w:right w:val="none" w:sz="0" w:space="0" w:color="auto"/>
          </w:divBdr>
        </w:div>
        <w:div w:id="1845395300">
          <w:marLeft w:val="640"/>
          <w:marRight w:val="0"/>
          <w:marTop w:val="0"/>
          <w:marBottom w:val="0"/>
          <w:divBdr>
            <w:top w:val="none" w:sz="0" w:space="0" w:color="auto"/>
            <w:left w:val="none" w:sz="0" w:space="0" w:color="auto"/>
            <w:bottom w:val="none" w:sz="0" w:space="0" w:color="auto"/>
            <w:right w:val="none" w:sz="0" w:space="0" w:color="auto"/>
          </w:divBdr>
        </w:div>
        <w:div w:id="1897204464">
          <w:marLeft w:val="640"/>
          <w:marRight w:val="0"/>
          <w:marTop w:val="0"/>
          <w:marBottom w:val="0"/>
          <w:divBdr>
            <w:top w:val="none" w:sz="0" w:space="0" w:color="auto"/>
            <w:left w:val="none" w:sz="0" w:space="0" w:color="auto"/>
            <w:bottom w:val="none" w:sz="0" w:space="0" w:color="auto"/>
            <w:right w:val="none" w:sz="0" w:space="0" w:color="auto"/>
          </w:divBdr>
        </w:div>
        <w:div w:id="1985743723">
          <w:marLeft w:val="640"/>
          <w:marRight w:val="0"/>
          <w:marTop w:val="0"/>
          <w:marBottom w:val="0"/>
          <w:divBdr>
            <w:top w:val="none" w:sz="0" w:space="0" w:color="auto"/>
            <w:left w:val="none" w:sz="0" w:space="0" w:color="auto"/>
            <w:bottom w:val="none" w:sz="0" w:space="0" w:color="auto"/>
            <w:right w:val="none" w:sz="0" w:space="0" w:color="auto"/>
          </w:divBdr>
        </w:div>
        <w:div w:id="2009627171">
          <w:marLeft w:val="640"/>
          <w:marRight w:val="0"/>
          <w:marTop w:val="0"/>
          <w:marBottom w:val="0"/>
          <w:divBdr>
            <w:top w:val="none" w:sz="0" w:space="0" w:color="auto"/>
            <w:left w:val="none" w:sz="0" w:space="0" w:color="auto"/>
            <w:bottom w:val="none" w:sz="0" w:space="0" w:color="auto"/>
            <w:right w:val="none" w:sz="0" w:space="0" w:color="auto"/>
          </w:divBdr>
        </w:div>
        <w:div w:id="2027439516">
          <w:marLeft w:val="640"/>
          <w:marRight w:val="0"/>
          <w:marTop w:val="0"/>
          <w:marBottom w:val="0"/>
          <w:divBdr>
            <w:top w:val="none" w:sz="0" w:space="0" w:color="auto"/>
            <w:left w:val="none" w:sz="0" w:space="0" w:color="auto"/>
            <w:bottom w:val="none" w:sz="0" w:space="0" w:color="auto"/>
            <w:right w:val="none" w:sz="0" w:space="0" w:color="auto"/>
          </w:divBdr>
        </w:div>
        <w:div w:id="2032677790">
          <w:marLeft w:val="640"/>
          <w:marRight w:val="0"/>
          <w:marTop w:val="0"/>
          <w:marBottom w:val="0"/>
          <w:divBdr>
            <w:top w:val="none" w:sz="0" w:space="0" w:color="auto"/>
            <w:left w:val="none" w:sz="0" w:space="0" w:color="auto"/>
            <w:bottom w:val="none" w:sz="0" w:space="0" w:color="auto"/>
            <w:right w:val="none" w:sz="0" w:space="0" w:color="auto"/>
          </w:divBdr>
        </w:div>
        <w:div w:id="2048868736">
          <w:marLeft w:val="640"/>
          <w:marRight w:val="0"/>
          <w:marTop w:val="0"/>
          <w:marBottom w:val="0"/>
          <w:divBdr>
            <w:top w:val="none" w:sz="0" w:space="0" w:color="auto"/>
            <w:left w:val="none" w:sz="0" w:space="0" w:color="auto"/>
            <w:bottom w:val="none" w:sz="0" w:space="0" w:color="auto"/>
            <w:right w:val="none" w:sz="0" w:space="0" w:color="auto"/>
          </w:divBdr>
        </w:div>
        <w:div w:id="2090761234">
          <w:marLeft w:val="640"/>
          <w:marRight w:val="0"/>
          <w:marTop w:val="0"/>
          <w:marBottom w:val="0"/>
          <w:divBdr>
            <w:top w:val="none" w:sz="0" w:space="0" w:color="auto"/>
            <w:left w:val="none" w:sz="0" w:space="0" w:color="auto"/>
            <w:bottom w:val="none" w:sz="0" w:space="0" w:color="auto"/>
            <w:right w:val="none" w:sz="0" w:space="0" w:color="auto"/>
          </w:divBdr>
        </w:div>
        <w:div w:id="2095005829">
          <w:marLeft w:val="640"/>
          <w:marRight w:val="0"/>
          <w:marTop w:val="0"/>
          <w:marBottom w:val="0"/>
          <w:divBdr>
            <w:top w:val="none" w:sz="0" w:space="0" w:color="auto"/>
            <w:left w:val="none" w:sz="0" w:space="0" w:color="auto"/>
            <w:bottom w:val="none" w:sz="0" w:space="0" w:color="auto"/>
            <w:right w:val="none" w:sz="0" w:space="0" w:color="auto"/>
          </w:divBdr>
        </w:div>
      </w:divsChild>
    </w:div>
    <w:div w:id="1634629382">
      <w:bodyDiv w:val="1"/>
      <w:marLeft w:val="0"/>
      <w:marRight w:val="0"/>
      <w:marTop w:val="0"/>
      <w:marBottom w:val="0"/>
      <w:divBdr>
        <w:top w:val="none" w:sz="0" w:space="0" w:color="auto"/>
        <w:left w:val="none" w:sz="0" w:space="0" w:color="auto"/>
        <w:bottom w:val="none" w:sz="0" w:space="0" w:color="auto"/>
        <w:right w:val="none" w:sz="0" w:space="0" w:color="auto"/>
      </w:divBdr>
    </w:div>
    <w:div w:id="1657226835">
      <w:bodyDiv w:val="1"/>
      <w:marLeft w:val="0"/>
      <w:marRight w:val="0"/>
      <w:marTop w:val="0"/>
      <w:marBottom w:val="0"/>
      <w:divBdr>
        <w:top w:val="none" w:sz="0" w:space="0" w:color="auto"/>
        <w:left w:val="none" w:sz="0" w:space="0" w:color="auto"/>
        <w:bottom w:val="none" w:sz="0" w:space="0" w:color="auto"/>
        <w:right w:val="none" w:sz="0" w:space="0" w:color="auto"/>
      </w:divBdr>
      <w:divsChild>
        <w:div w:id="279341036">
          <w:marLeft w:val="480"/>
          <w:marRight w:val="0"/>
          <w:marTop w:val="0"/>
          <w:marBottom w:val="0"/>
          <w:divBdr>
            <w:top w:val="none" w:sz="0" w:space="0" w:color="auto"/>
            <w:left w:val="none" w:sz="0" w:space="0" w:color="auto"/>
            <w:bottom w:val="none" w:sz="0" w:space="0" w:color="auto"/>
            <w:right w:val="none" w:sz="0" w:space="0" w:color="auto"/>
          </w:divBdr>
        </w:div>
      </w:divsChild>
    </w:div>
    <w:div w:id="1687554617">
      <w:bodyDiv w:val="1"/>
      <w:marLeft w:val="0"/>
      <w:marRight w:val="0"/>
      <w:marTop w:val="0"/>
      <w:marBottom w:val="0"/>
      <w:divBdr>
        <w:top w:val="none" w:sz="0" w:space="0" w:color="auto"/>
        <w:left w:val="none" w:sz="0" w:space="0" w:color="auto"/>
        <w:bottom w:val="none" w:sz="0" w:space="0" w:color="auto"/>
        <w:right w:val="none" w:sz="0" w:space="0" w:color="auto"/>
      </w:divBdr>
      <w:divsChild>
        <w:div w:id="1233849137">
          <w:marLeft w:val="480"/>
          <w:marRight w:val="0"/>
          <w:marTop w:val="0"/>
          <w:marBottom w:val="0"/>
          <w:divBdr>
            <w:top w:val="none" w:sz="0" w:space="0" w:color="auto"/>
            <w:left w:val="none" w:sz="0" w:space="0" w:color="auto"/>
            <w:bottom w:val="none" w:sz="0" w:space="0" w:color="auto"/>
            <w:right w:val="none" w:sz="0" w:space="0" w:color="auto"/>
          </w:divBdr>
        </w:div>
        <w:div w:id="1369647298">
          <w:marLeft w:val="480"/>
          <w:marRight w:val="0"/>
          <w:marTop w:val="0"/>
          <w:marBottom w:val="0"/>
          <w:divBdr>
            <w:top w:val="none" w:sz="0" w:space="0" w:color="auto"/>
            <w:left w:val="none" w:sz="0" w:space="0" w:color="auto"/>
            <w:bottom w:val="none" w:sz="0" w:space="0" w:color="auto"/>
            <w:right w:val="none" w:sz="0" w:space="0" w:color="auto"/>
          </w:divBdr>
        </w:div>
        <w:div w:id="627472222">
          <w:marLeft w:val="480"/>
          <w:marRight w:val="0"/>
          <w:marTop w:val="0"/>
          <w:marBottom w:val="0"/>
          <w:divBdr>
            <w:top w:val="none" w:sz="0" w:space="0" w:color="auto"/>
            <w:left w:val="none" w:sz="0" w:space="0" w:color="auto"/>
            <w:bottom w:val="none" w:sz="0" w:space="0" w:color="auto"/>
            <w:right w:val="none" w:sz="0" w:space="0" w:color="auto"/>
          </w:divBdr>
        </w:div>
        <w:div w:id="2108693857">
          <w:marLeft w:val="480"/>
          <w:marRight w:val="0"/>
          <w:marTop w:val="0"/>
          <w:marBottom w:val="0"/>
          <w:divBdr>
            <w:top w:val="none" w:sz="0" w:space="0" w:color="auto"/>
            <w:left w:val="none" w:sz="0" w:space="0" w:color="auto"/>
            <w:bottom w:val="none" w:sz="0" w:space="0" w:color="auto"/>
            <w:right w:val="none" w:sz="0" w:space="0" w:color="auto"/>
          </w:divBdr>
        </w:div>
        <w:div w:id="277222948">
          <w:marLeft w:val="480"/>
          <w:marRight w:val="0"/>
          <w:marTop w:val="0"/>
          <w:marBottom w:val="0"/>
          <w:divBdr>
            <w:top w:val="none" w:sz="0" w:space="0" w:color="auto"/>
            <w:left w:val="none" w:sz="0" w:space="0" w:color="auto"/>
            <w:bottom w:val="none" w:sz="0" w:space="0" w:color="auto"/>
            <w:right w:val="none" w:sz="0" w:space="0" w:color="auto"/>
          </w:divBdr>
        </w:div>
      </w:divsChild>
    </w:div>
    <w:div w:id="1689016201">
      <w:bodyDiv w:val="1"/>
      <w:marLeft w:val="0"/>
      <w:marRight w:val="0"/>
      <w:marTop w:val="0"/>
      <w:marBottom w:val="0"/>
      <w:divBdr>
        <w:top w:val="none" w:sz="0" w:space="0" w:color="auto"/>
        <w:left w:val="none" w:sz="0" w:space="0" w:color="auto"/>
        <w:bottom w:val="none" w:sz="0" w:space="0" w:color="auto"/>
        <w:right w:val="none" w:sz="0" w:space="0" w:color="auto"/>
      </w:divBdr>
    </w:div>
    <w:div w:id="1690982215">
      <w:bodyDiv w:val="1"/>
      <w:marLeft w:val="0"/>
      <w:marRight w:val="0"/>
      <w:marTop w:val="0"/>
      <w:marBottom w:val="0"/>
      <w:divBdr>
        <w:top w:val="none" w:sz="0" w:space="0" w:color="auto"/>
        <w:left w:val="none" w:sz="0" w:space="0" w:color="auto"/>
        <w:bottom w:val="none" w:sz="0" w:space="0" w:color="auto"/>
        <w:right w:val="none" w:sz="0" w:space="0" w:color="auto"/>
      </w:divBdr>
      <w:divsChild>
        <w:div w:id="1507554923">
          <w:marLeft w:val="480"/>
          <w:marRight w:val="0"/>
          <w:marTop w:val="0"/>
          <w:marBottom w:val="0"/>
          <w:divBdr>
            <w:top w:val="none" w:sz="0" w:space="0" w:color="auto"/>
            <w:left w:val="none" w:sz="0" w:space="0" w:color="auto"/>
            <w:bottom w:val="none" w:sz="0" w:space="0" w:color="auto"/>
            <w:right w:val="none" w:sz="0" w:space="0" w:color="auto"/>
          </w:divBdr>
        </w:div>
        <w:div w:id="528495842">
          <w:marLeft w:val="480"/>
          <w:marRight w:val="0"/>
          <w:marTop w:val="0"/>
          <w:marBottom w:val="0"/>
          <w:divBdr>
            <w:top w:val="none" w:sz="0" w:space="0" w:color="auto"/>
            <w:left w:val="none" w:sz="0" w:space="0" w:color="auto"/>
            <w:bottom w:val="none" w:sz="0" w:space="0" w:color="auto"/>
            <w:right w:val="none" w:sz="0" w:space="0" w:color="auto"/>
          </w:divBdr>
        </w:div>
        <w:div w:id="1361589905">
          <w:marLeft w:val="480"/>
          <w:marRight w:val="0"/>
          <w:marTop w:val="0"/>
          <w:marBottom w:val="0"/>
          <w:divBdr>
            <w:top w:val="none" w:sz="0" w:space="0" w:color="auto"/>
            <w:left w:val="none" w:sz="0" w:space="0" w:color="auto"/>
            <w:bottom w:val="none" w:sz="0" w:space="0" w:color="auto"/>
            <w:right w:val="none" w:sz="0" w:space="0" w:color="auto"/>
          </w:divBdr>
        </w:div>
      </w:divsChild>
    </w:div>
    <w:div w:id="1692074483">
      <w:bodyDiv w:val="1"/>
      <w:marLeft w:val="0"/>
      <w:marRight w:val="0"/>
      <w:marTop w:val="0"/>
      <w:marBottom w:val="0"/>
      <w:divBdr>
        <w:top w:val="none" w:sz="0" w:space="0" w:color="auto"/>
        <w:left w:val="none" w:sz="0" w:space="0" w:color="auto"/>
        <w:bottom w:val="none" w:sz="0" w:space="0" w:color="auto"/>
        <w:right w:val="none" w:sz="0" w:space="0" w:color="auto"/>
      </w:divBdr>
      <w:divsChild>
        <w:div w:id="1013428">
          <w:marLeft w:val="640"/>
          <w:marRight w:val="0"/>
          <w:marTop w:val="0"/>
          <w:marBottom w:val="0"/>
          <w:divBdr>
            <w:top w:val="none" w:sz="0" w:space="0" w:color="auto"/>
            <w:left w:val="none" w:sz="0" w:space="0" w:color="auto"/>
            <w:bottom w:val="none" w:sz="0" w:space="0" w:color="auto"/>
            <w:right w:val="none" w:sz="0" w:space="0" w:color="auto"/>
          </w:divBdr>
        </w:div>
        <w:div w:id="10575257">
          <w:marLeft w:val="640"/>
          <w:marRight w:val="0"/>
          <w:marTop w:val="0"/>
          <w:marBottom w:val="0"/>
          <w:divBdr>
            <w:top w:val="none" w:sz="0" w:space="0" w:color="auto"/>
            <w:left w:val="none" w:sz="0" w:space="0" w:color="auto"/>
            <w:bottom w:val="none" w:sz="0" w:space="0" w:color="auto"/>
            <w:right w:val="none" w:sz="0" w:space="0" w:color="auto"/>
          </w:divBdr>
        </w:div>
        <w:div w:id="120419404">
          <w:marLeft w:val="640"/>
          <w:marRight w:val="0"/>
          <w:marTop w:val="0"/>
          <w:marBottom w:val="0"/>
          <w:divBdr>
            <w:top w:val="none" w:sz="0" w:space="0" w:color="auto"/>
            <w:left w:val="none" w:sz="0" w:space="0" w:color="auto"/>
            <w:bottom w:val="none" w:sz="0" w:space="0" w:color="auto"/>
            <w:right w:val="none" w:sz="0" w:space="0" w:color="auto"/>
          </w:divBdr>
        </w:div>
        <w:div w:id="151799141">
          <w:marLeft w:val="640"/>
          <w:marRight w:val="0"/>
          <w:marTop w:val="0"/>
          <w:marBottom w:val="0"/>
          <w:divBdr>
            <w:top w:val="none" w:sz="0" w:space="0" w:color="auto"/>
            <w:left w:val="none" w:sz="0" w:space="0" w:color="auto"/>
            <w:bottom w:val="none" w:sz="0" w:space="0" w:color="auto"/>
            <w:right w:val="none" w:sz="0" w:space="0" w:color="auto"/>
          </w:divBdr>
        </w:div>
        <w:div w:id="272834470">
          <w:marLeft w:val="640"/>
          <w:marRight w:val="0"/>
          <w:marTop w:val="0"/>
          <w:marBottom w:val="0"/>
          <w:divBdr>
            <w:top w:val="none" w:sz="0" w:space="0" w:color="auto"/>
            <w:left w:val="none" w:sz="0" w:space="0" w:color="auto"/>
            <w:bottom w:val="none" w:sz="0" w:space="0" w:color="auto"/>
            <w:right w:val="none" w:sz="0" w:space="0" w:color="auto"/>
          </w:divBdr>
        </w:div>
        <w:div w:id="365839116">
          <w:marLeft w:val="640"/>
          <w:marRight w:val="0"/>
          <w:marTop w:val="0"/>
          <w:marBottom w:val="0"/>
          <w:divBdr>
            <w:top w:val="none" w:sz="0" w:space="0" w:color="auto"/>
            <w:left w:val="none" w:sz="0" w:space="0" w:color="auto"/>
            <w:bottom w:val="none" w:sz="0" w:space="0" w:color="auto"/>
            <w:right w:val="none" w:sz="0" w:space="0" w:color="auto"/>
          </w:divBdr>
        </w:div>
        <w:div w:id="370541523">
          <w:marLeft w:val="640"/>
          <w:marRight w:val="0"/>
          <w:marTop w:val="0"/>
          <w:marBottom w:val="0"/>
          <w:divBdr>
            <w:top w:val="none" w:sz="0" w:space="0" w:color="auto"/>
            <w:left w:val="none" w:sz="0" w:space="0" w:color="auto"/>
            <w:bottom w:val="none" w:sz="0" w:space="0" w:color="auto"/>
            <w:right w:val="none" w:sz="0" w:space="0" w:color="auto"/>
          </w:divBdr>
        </w:div>
        <w:div w:id="383414556">
          <w:marLeft w:val="640"/>
          <w:marRight w:val="0"/>
          <w:marTop w:val="0"/>
          <w:marBottom w:val="0"/>
          <w:divBdr>
            <w:top w:val="none" w:sz="0" w:space="0" w:color="auto"/>
            <w:left w:val="none" w:sz="0" w:space="0" w:color="auto"/>
            <w:bottom w:val="none" w:sz="0" w:space="0" w:color="auto"/>
            <w:right w:val="none" w:sz="0" w:space="0" w:color="auto"/>
          </w:divBdr>
        </w:div>
        <w:div w:id="436601738">
          <w:marLeft w:val="640"/>
          <w:marRight w:val="0"/>
          <w:marTop w:val="0"/>
          <w:marBottom w:val="0"/>
          <w:divBdr>
            <w:top w:val="none" w:sz="0" w:space="0" w:color="auto"/>
            <w:left w:val="none" w:sz="0" w:space="0" w:color="auto"/>
            <w:bottom w:val="none" w:sz="0" w:space="0" w:color="auto"/>
            <w:right w:val="none" w:sz="0" w:space="0" w:color="auto"/>
          </w:divBdr>
        </w:div>
        <w:div w:id="462503832">
          <w:marLeft w:val="640"/>
          <w:marRight w:val="0"/>
          <w:marTop w:val="0"/>
          <w:marBottom w:val="0"/>
          <w:divBdr>
            <w:top w:val="none" w:sz="0" w:space="0" w:color="auto"/>
            <w:left w:val="none" w:sz="0" w:space="0" w:color="auto"/>
            <w:bottom w:val="none" w:sz="0" w:space="0" w:color="auto"/>
            <w:right w:val="none" w:sz="0" w:space="0" w:color="auto"/>
          </w:divBdr>
        </w:div>
        <w:div w:id="530143157">
          <w:marLeft w:val="640"/>
          <w:marRight w:val="0"/>
          <w:marTop w:val="0"/>
          <w:marBottom w:val="0"/>
          <w:divBdr>
            <w:top w:val="none" w:sz="0" w:space="0" w:color="auto"/>
            <w:left w:val="none" w:sz="0" w:space="0" w:color="auto"/>
            <w:bottom w:val="none" w:sz="0" w:space="0" w:color="auto"/>
            <w:right w:val="none" w:sz="0" w:space="0" w:color="auto"/>
          </w:divBdr>
        </w:div>
        <w:div w:id="582645873">
          <w:marLeft w:val="640"/>
          <w:marRight w:val="0"/>
          <w:marTop w:val="0"/>
          <w:marBottom w:val="0"/>
          <w:divBdr>
            <w:top w:val="none" w:sz="0" w:space="0" w:color="auto"/>
            <w:left w:val="none" w:sz="0" w:space="0" w:color="auto"/>
            <w:bottom w:val="none" w:sz="0" w:space="0" w:color="auto"/>
            <w:right w:val="none" w:sz="0" w:space="0" w:color="auto"/>
          </w:divBdr>
        </w:div>
        <w:div w:id="586379488">
          <w:marLeft w:val="640"/>
          <w:marRight w:val="0"/>
          <w:marTop w:val="0"/>
          <w:marBottom w:val="0"/>
          <w:divBdr>
            <w:top w:val="none" w:sz="0" w:space="0" w:color="auto"/>
            <w:left w:val="none" w:sz="0" w:space="0" w:color="auto"/>
            <w:bottom w:val="none" w:sz="0" w:space="0" w:color="auto"/>
            <w:right w:val="none" w:sz="0" w:space="0" w:color="auto"/>
          </w:divBdr>
        </w:div>
        <w:div w:id="609823340">
          <w:marLeft w:val="640"/>
          <w:marRight w:val="0"/>
          <w:marTop w:val="0"/>
          <w:marBottom w:val="0"/>
          <w:divBdr>
            <w:top w:val="none" w:sz="0" w:space="0" w:color="auto"/>
            <w:left w:val="none" w:sz="0" w:space="0" w:color="auto"/>
            <w:bottom w:val="none" w:sz="0" w:space="0" w:color="auto"/>
            <w:right w:val="none" w:sz="0" w:space="0" w:color="auto"/>
          </w:divBdr>
        </w:div>
        <w:div w:id="625309262">
          <w:marLeft w:val="640"/>
          <w:marRight w:val="0"/>
          <w:marTop w:val="0"/>
          <w:marBottom w:val="0"/>
          <w:divBdr>
            <w:top w:val="none" w:sz="0" w:space="0" w:color="auto"/>
            <w:left w:val="none" w:sz="0" w:space="0" w:color="auto"/>
            <w:bottom w:val="none" w:sz="0" w:space="0" w:color="auto"/>
            <w:right w:val="none" w:sz="0" w:space="0" w:color="auto"/>
          </w:divBdr>
        </w:div>
        <w:div w:id="664479706">
          <w:marLeft w:val="640"/>
          <w:marRight w:val="0"/>
          <w:marTop w:val="0"/>
          <w:marBottom w:val="0"/>
          <w:divBdr>
            <w:top w:val="none" w:sz="0" w:space="0" w:color="auto"/>
            <w:left w:val="none" w:sz="0" w:space="0" w:color="auto"/>
            <w:bottom w:val="none" w:sz="0" w:space="0" w:color="auto"/>
            <w:right w:val="none" w:sz="0" w:space="0" w:color="auto"/>
          </w:divBdr>
        </w:div>
        <w:div w:id="683361211">
          <w:marLeft w:val="640"/>
          <w:marRight w:val="0"/>
          <w:marTop w:val="0"/>
          <w:marBottom w:val="0"/>
          <w:divBdr>
            <w:top w:val="none" w:sz="0" w:space="0" w:color="auto"/>
            <w:left w:val="none" w:sz="0" w:space="0" w:color="auto"/>
            <w:bottom w:val="none" w:sz="0" w:space="0" w:color="auto"/>
            <w:right w:val="none" w:sz="0" w:space="0" w:color="auto"/>
          </w:divBdr>
        </w:div>
        <w:div w:id="713239547">
          <w:marLeft w:val="640"/>
          <w:marRight w:val="0"/>
          <w:marTop w:val="0"/>
          <w:marBottom w:val="0"/>
          <w:divBdr>
            <w:top w:val="none" w:sz="0" w:space="0" w:color="auto"/>
            <w:left w:val="none" w:sz="0" w:space="0" w:color="auto"/>
            <w:bottom w:val="none" w:sz="0" w:space="0" w:color="auto"/>
            <w:right w:val="none" w:sz="0" w:space="0" w:color="auto"/>
          </w:divBdr>
        </w:div>
        <w:div w:id="839395726">
          <w:marLeft w:val="640"/>
          <w:marRight w:val="0"/>
          <w:marTop w:val="0"/>
          <w:marBottom w:val="0"/>
          <w:divBdr>
            <w:top w:val="none" w:sz="0" w:space="0" w:color="auto"/>
            <w:left w:val="none" w:sz="0" w:space="0" w:color="auto"/>
            <w:bottom w:val="none" w:sz="0" w:space="0" w:color="auto"/>
            <w:right w:val="none" w:sz="0" w:space="0" w:color="auto"/>
          </w:divBdr>
        </w:div>
        <w:div w:id="848835038">
          <w:marLeft w:val="640"/>
          <w:marRight w:val="0"/>
          <w:marTop w:val="0"/>
          <w:marBottom w:val="0"/>
          <w:divBdr>
            <w:top w:val="none" w:sz="0" w:space="0" w:color="auto"/>
            <w:left w:val="none" w:sz="0" w:space="0" w:color="auto"/>
            <w:bottom w:val="none" w:sz="0" w:space="0" w:color="auto"/>
            <w:right w:val="none" w:sz="0" w:space="0" w:color="auto"/>
          </w:divBdr>
        </w:div>
        <w:div w:id="857816250">
          <w:marLeft w:val="640"/>
          <w:marRight w:val="0"/>
          <w:marTop w:val="0"/>
          <w:marBottom w:val="0"/>
          <w:divBdr>
            <w:top w:val="none" w:sz="0" w:space="0" w:color="auto"/>
            <w:left w:val="none" w:sz="0" w:space="0" w:color="auto"/>
            <w:bottom w:val="none" w:sz="0" w:space="0" w:color="auto"/>
            <w:right w:val="none" w:sz="0" w:space="0" w:color="auto"/>
          </w:divBdr>
        </w:div>
        <w:div w:id="920213502">
          <w:marLeft w:val="640"/>
          <w:marRight w:val="0"/>
          <w:marTop w:val="0"/>
          <w:marBottom w:val="0"/>
          <w:divBdr>
            <w:top w:val="none" w:sz="0" w:space="0" w:color="auto"/>
            <w:left w:val="none" w:sz="0" w:space="0" w:color="auto"/>
            <w:bottom w:val="none" w:sz="0" w:space="0" w:color="auto"/>
            <w:right w:val="none" w:sz="0" w:space="0" w:color="auto"/>
          </w:divBdr>
        </w:div>
        <w:div w:id="933514107">
          <w:marLeft w:val="640"/>
          <w:marRight w:val="0"/>
          <w:marTop w:val="0"/>
          <w:marBottom w:val="0"/>
          <w:divBdr>
            <w:top w:val="none" w:sz="0" w:space="0" w:color="auto"/>
            <w:left w:val="none" w:sz="0" w:space="0" w:color="auto"/>
            <w:bottom w:val="none" w:sz="0" w:space="0" w:color="auto"/>
            <w:right w:val="none" w:sz="0" w:space="0" w:color="auto"/>
          </w:divBdr>
        </w:div>
        <w:div w:id="947080952">
          <w:marLeft w:val="640"/>
          <w:marRight w:val="0"/>
          <w:marTop w:val="0"/>
          <w:marBottom w:val="0"/>
          <w:divBdr>
            <w:top w:val="none" w:sz="0" w:space="0" w:color="auto"/>
            <w:left w:val="none" w:sz="0" w:space="0" w:color="auto"/>
            <w:bottom w:val="none" w:sz="0" w:space="0" w:color="auto"/>
            <w:right w:val="none" w:sz="0" w:space="0" w:color="auto"/>
          </w:divBdr>
        </w:div>
        <w:div w:id="991566645">
          <w:marLeft w:val="640"/>
          <w:marRight w:val="0"/>
          <w:marTop w:val="0"/>
          <w:marBottom w:val="0"/>
          <w:divBdr>
            <w:top w:val="none" w:sz="0" w:space="0" w:color="auto"/>
            <w:left w:val="none" w:sz="0" w:space="0" w:color="auto"/>
            <w:bottom w:val="none" w:sz="0" w:space="0" w:color="auto"/>
            <w:right w:val="none" w:sz="0" w:space="0" w:color="auto"/>
          </w:divBdr>
        </w:div>
        <w:div w:id="1002245537">
          <w:marLeft w:val="640"/>
          <w:marRight w:val="0"/>
          <w:marTop w:val="0"/>
          <w:marBottom w:val="0"/>
          <w:divBdr>
            <w:top w:val="none" w:sz="0" w:space="0" w:color="auto"/>
            <w:left w:val="none" w:sz="0" w:space="0" w:color="auto"/>
            <w:bottom w:val="none" w:sz="0" w:space="0" w:color="auto"/>
            <w:right w:val="none" w:sz="0" w:space="0" w:color="auto"/>
          </w:divBdr>
        </w:div>
        <w:div w:id="1052969680">
          <w:marLeft w:val="640"/>
          <w:marRight w:val="0"/>
          <w:marTop w:val="0"/>
          <w:marBottom w:val="0"/>
          <w:divBdr>
            <w:top w:val="none" w:sz="0" w:space="0" w:color="auto"/>
            <w:left w:val="none" w:sz="0" w:space="0" w:color="auto"/>
            <w:bottom w:val="none" w:sz="0" w:space="0" w:color="auto"/>
            <w:right w:val="none" w:sz="0" w:space="0" w:color="auto"/>
          </w:divBdr>
        </w:div>
        <w:div w:id="1054429351">
          <w:marLeft w:val="640"/>
          <w:marRight w:val="0"/>
          <w:marTop w:val="0"/>
          <w:marBottom w:val="0"/>
          <w:divBdr>
            <w:top w:val="none" w:sz="0" w:space="0" w:color="auto"/>
            <w:left w:val="none" w:sz="0" w:space="0" w:color="auto"/>
            <w:bottom w:val="none" w:sz="0" w:space="0" w:color="auto"/>
            <w:right w:val="none" w:sz="0" w:space="0" w:color="auto"/>
          </w:divBdr>
        </w:div>
        <w:div w:id="1070732824">
          <w:marLeft w:val="640"/>
          <w:marRight w:val="0"/>
          <w:marTop w:val="0"/>
          <w:marBottom w:val="0"/>
          <w:divBdr>
            <w:top w:val="none" w:sz="0" w:space="0" w:color="auto"/>
            <w:left w:val="none" w:sz="0" w:space="0" w:color="auto"/>
            <w:bottom w:val="none" w:sz="0" w:space="0" w:color="auto"/>
            <w:right w:val="none" w:sz="0" w:space="0" w:color="auto"/>
          </w:divBdr>
        </w:div>
        <w:div w:id="1090737501">
          <w:marLeft w:val="640"/>
          <w:marRight w:val="0"/>
          <w:marTop w:val="0"/>
          <w:marBottom w:val="0"/>
          <w:divBdr>
            <w:top w:val="none" w:sz="0" w:space="0" w:color="auto"/>
            <w:left w:val="none" w:sz="0" w:space="0" w:color="auto"/>
            <w:bottom w:val="none" w:sz="0" w:space="0" w:color="auto"/>
            <w:right w:val="none" w:sz="0" w:space="0" w:color="auto"/>
          </w:divBdr>
        </w:div>
        <w:div w:id="1130712429">
          <w:marLeft w:val="640"/>
          <w:marRight w:val="0"/>
          <w:marTop w:val="0"/>
          <w:marBottom w:val="0"/>
          <w:divBdr>
            <w:top w:val="none" w:sz="0" w:space="0" w:color="auto"/>
            <w:left w:val="none" w:sz="0" w:space="0" w:color="auto"/>
            <w:bottom w:val="none" w:sz="0" w:space="0" w:color="auto"/>
            <w:right w:val="none" w:sz="0" w:space="0" w:color="auto"/>
          </w:divBdr>
        </w:div>
        <w:div w:id="1157459784">
          <w:marLeft w:val="640"/>
          <w:marRight w:val="0"/>
          <w:marTop w:val="0"/>
          <w:marBottom w:val="0"/>
          <w:divBdr>
            <w:top w:val="none" w:sz="0" w:space="0" w:color="auto"/>
            <w:left w:val="none" w:sz="0" w:space="0" w:color="auto"/>
            <w:bottom w:val="none" w:sz="0" w:space="0" w:color="auto"/>
            <w:right w:val="none" w:sz="0" w:space="0" w:color="auto"/>
          </w:divBdr>
        </w:div>
        <w:div w:id="1206673282">
          <w:marLeft w:val="640"/>
          <w:marRight w:val="0"/>
          <w:marTop w:val="0"/>
          <w:marBottom w:val="0"/>
          <w:divBdr>
            <w:top w:val="none" w:sz="0" w:space="0" w:color="auto"/>
            <w:left w:val="none" w:sz="0" w:space="0" w:color="auto"/>
            <w:bottom w:val="none" w:sz="0" w:space="0" w:color="auto"/>
            <w:right w:val="none" w:sz="0" w:space="0" w:color="auto"/>
          </w:divBdr>
        </w:div>
        <w:div w:id="1274172822">
          <w:marLeft w:val="640"/>
          <w:marRight w:val="0"/>
          <w:marTop w:val="0"/>
          <w:marBottom w:val="0"/>
          <w:divBdr>
            <w:top w:val="none" w:sz="0" w:space="0" w:color="auto"/>
            <w:left w:val="none" w:sz="0" w:space="0" w:color="auto"/>
            <w:bottom w:val="none" w:sz="0" w:space="0" w:color="auto"/>
            <w:right w:val="none" w:sz="0" w:space="0" w:color="auto"/>
          </w:divBdr>
        </w:div>
        <w:div w:id="1296982511">
          <w:marLeft w:val="640"/>
          <w:marRight w:val="0"/>
          <w:marTop w:val="0"/>
          <w:marBottom w:val="0"/>
          <w:divBdr>
            <w:top w:val="none" w:sz="0" w:space="0" w:color="auto"/>
            <w:left w:val="none" w:sz="0" w:space="0" w:color="auto"/>
            <w:bottom w:val="none" w:sz="0" w:space="0" w:color="auto"/>
            <w:right w:val="none" w:sz="0" w:space="0" w:color="auto"/>
          </w:divBdr>
        </w:div>
        <w:div w:id="1370839996">
          <w:marLeft w:val="640"/>
          <w:marRight w:val="0"/>
          <w:marTop w:val="0"/>
          <w:marBottom w:val="0"/>
          <w:divBdr>
            <w:top w:val="none" w:sz="0" w:space="0" w:color="auto"/>
            <w:left w:val="none" w:sz="0" w:space="0" w:color="auto"/>
            <w:bottom w:val="none" w:sz="0" w:space="0" w:color="auto"/>
            <w:right w:val="none" w:sz="0" w:space="0" w:color="auto"/>
          </w:divBdr>
        </w:div>
        <w:div w:id="1380399297">
          <w:marLeft w:val="640"/>
          <w:marRight w:val="0"/>
          <w:marTop w:val="0"/>
          <w:marBottom w:val="0"/>
          <w:divBdr>
            <w:top w:val="none" w:sz="0" w:space="0" w:color="auto"/>
            <w:left w:val="none" w:sz="0" w:space="0" w:color="auto"/>
            <w:bottom w:val="none" w:sz="0" w:space="0" w:color="auto"/>
            <w:right w:val="none" w:sz="0" w:space="0" w:color="auto"/>
          </w:divBdr>
        </w:div>
        <w:div w:id="1381125934">
          <w:marLeft w:val="640"/>
          <w:marRight w:val="0"/>
          <w:marTop w:val="0"/>
          <w:marBottom w:val="0"/>
          <w:divBdr>
            <w:top w:val="none" w:sz="0" w:space="0" w:color="auto"/>
            <w:left w:val="none" w:sz="0" w:space="0" w:color="auto"/>
            <w:bottom w:val="none" w:sz="0" w:space="0" w:color="auto"/>
            <w:right w:val="none" w:sz="0" w:space="0" w:color="auto"/>
          </w:divBdr>
        </w:div>
        <w:div w:id="1387484337">
          <w:marLeft w:val="640"/>
          <w:marRight w:val="0"/>
          <w:marTop w:val="0"/>
          <w:marBottom w:val="0"/>
          <w:divBdr>
            <w:top w:val="none" w:sz="0" w:space="0" w:color="auto"/>
            <w:left w:val="none" w:sz="0" w:space="0" w:color="auto"/>
            <w:bottom w:val="none" w:sz="0" w:space="0" w:color="auto"/>
            <w:right w:val="none" w:sz="0" w:space="0" w:color="auto"/>
          </w:divBdr>
        </w:div>
        <w:div w:id="1387870376">
          <w:marLeft w:val="640"/>
          <w:marRight w:val="0"/>
          <w:marTop w:val="0"/>
          <w:marBottom w:val="0"/>
          <w:divBdr>
            <w:top w:val="none" w:sz="0" w:space="0" w:color="auto"/>
            <w:left w:val="none" w:sz="0" w:space="0" w:color="auto"/>
            <w:bottom w:val="none" w:sz="0" w:space="0" w:color="auto"/>
            <w:right w:val="none" w:sz="0" w:space="0" w:color="auto"/>
          </w:divBdr>
        </w:div>
        <w:div w:id="1433160722">
          <w:marLeft w:val="640"/>
          <w:marRight w:val="0"/>
          <w:marTop w:val="0"/>
          <w:marBottom w:val="0"/>
          <w:divBdr>
            <w:top w:val="none" w:sz="0" w:space="0" w:color="auto"/>
            <w:left w:val="none" w:sz="0" w:space="0" w:color="auto"/>
            <w:bottom w:val="none" w:sz="0" w:space="0" w:color="auto"/>
            <w:right w:val="none" w:sz="0" w:space="0" w:color="auto"/>
          </w:divBdr>
        </w:div>
        <w:div w:id="1475871771">
          <w:marLeft w:val="640"/>
          <w:marRight w:val="0"/>
          <w:marTop w:val="0"/>
          <w:marBottom w:val="0"/>
          <w:divBdr>
            <w:top w:val="none" w:sz="0" w:space="0" w:color="auto"/>
            <w:left w:val="none" w:sz="0" w:space="0" w:color="auto"/>
            <w:bottom w:val="none" w:sz="0" w:space="0" w:color="auto"/>
            <w:right w:val="none" w:sz="0" w:space="0" w:color="auto"/>
          </w:divBdr>
        </w:div>
        <w:div w:id="1505708252">
          <w:marLeft w:val="640"/>
          <w:marRight w:val="0"/>
          <w:marTop w:val="0"/>
          <w:marBottom w:val="0"/>
          <w:divBdr>
            <w:top w:val="none" w:sz="0" w:space="0" w:color="auto"/>
            <w:left w:val="none" w:sz="0" w:space="0" w:color="auto"/>
            <w:bottom w:val="none" w:sz="0" w:space="0" w:color="auto"/>
            <w:right w:val="none" w:sz="0" w:space="0" w:color="auto"/>
          </w:divBdr>
        </w:div>
        <w:div w:id="1553275347">
          <w:marLeft w:val="640"/>
          <w:marRight w:val="0"/>
          <w:marTop w:val="0"/>
          <w:marBottom w:val="0"/>
          <w:divBdr>
            <w:top w:val="none" w:sz="0" w:space="0" w:color="auto"/>
            <w:left w:val="none" w:sz="0" w:space="0" w:color="auto"/>
            <w:bottom w:val="none" w:sz="0" w:space="0" w:color="auto"/>
            <w:right w:val="none" w:sz="0" w:space="0" w:color="auto"/>
          </w:divBdr>
        </w:div>
        <w:div w:id="1567033777">
          <w:marLeft w:val="640"/>
          <w:marRight w:val="0"/>
          <w:marTop w:val="0"/>
          <w:marBottom w:val="0"/>
          <w:divBdr>
            <w:top w:val="none" w:sz="0" w:space="0" w:color="auto"/>
            <w:left w:val="none" w:sz="0" w:space="0" w:color="auto"/>
            <w:bottom w:val="none" w:sz="0" w:space="0" w:color="auto"/>
            <w:right w:val="none" w:sz="0" w:space="0" w:color="auto"/>
          </w:divBdr>
        </w:div>
        <w:div w:id="1579637100">
          <w:marLeft w:val="640"/>
          <w:marRight w:val="0"/>
          <w:marTop w:val="0"/>
          <w:marBottom w:val="0"/>
          <w:divBdr>
            <w:top w:val="none" w:sz="0" w:space="0" w:color="auto"/>
            <w:left w:val="none" w:sz="0" w:space="0" w:color="auto"/>
            <w:bottom w:val="none" w:sz="0" w:space="0" w:color="auto"/>
            <w:right w:val="none" w:sz="0" w:space="0" w:color="auto"/>
          </w:divBdr>
        </w:div>
        <w:div w:id="1580016623">
          <w:marLeft w:val="640"/>
          <w:marRight w:val="0"/>
          <w:marTop w:val="0"/>
          <w:marBottom w:val="0"/>
          <w:divBdr>
            <w:top w:val="none" w:sz="0" w:space="0" w:color="auto"/>
            <w:left w:val="none" w:sz="0" w:space="0" w:color="auto"/>
            <w:bottom w:val="none" w:sz="0" w:space="0" w:color="auto"/>
            <w:right w:val="none" w:sz="0" w:space="0" w:color="auto"/>
          </w:divBdr>
        </w:div>
        <w:div w:id="1613391596">
          <w:marLeft w:val="640"/>
          <w:marRight w:val="0"/>
          <w:marTop w:val="0"/>
          <w:marBottom w:val="0"/>
          <w:divBdr>
            <w:top w:val="none" w:sz="0" w:space="0" w:color="auto"/>
            <w:left w:val="none" w:sz="0" w:space="0" w:color="auto"/>
            <w:bottom w:val="none" w:sz="0" w:space="0" w:color="auto"/>
            <w:right w:val="none" w:sz="0" w:space="0" w:color="auto"/>
          </w:divBdr>
        </w:div>
        <w:div w:id="1666784430">
          <w:marLeft w:val="640"/>
          <w:marRight w:val="0"/>
          <w:marTop w:val="0"/>
          <w:marBottom w:val="0"/>
          <w:divBdr>
            <w:top w:val="none" w:sz="0" w:space="0" w:color="auto"/>
            <w:left w:val="none" w:sz="0" w:space="0" w:color="auto"/>
            <w:bottom w:val="none" w:sz="0" w:space="0" w:color="auto"/>
            <w:right w:val="none" w:sz="0" w:space="0" w:color="auto"/>
          </w:divBdr>
        </w:div>
        <w:div w:id="1671712459">
          <w:marLeft w:val="640"/>
          <w:marRight w:val="0"/>
          <w:marTop w:val="0"/>
          <w:marBottom w:val="0"/>
          <w:divBdr>
            <w:top w:val="none" w:sz="0" w:space="0" w:color="auto"/>
            <w:left w:val="none" w:sz="0" w:space="0" w:color="auto"/>
            <w:bottom w:val="none" w:sz="0" w:space="0" w:color="auto"/>
            <w:right w:val="none" w:sz="0" w:space="0" w:color="auto"/>
          </w:divBdr>
        </w:div>
        <w:div w:id="1695885442">
          <w:marLeft w:val="640"/>
          <w:marRight w:val="0"/>
          <w:marTop w:val="0"/>
          <w:marBottom w:val="0"/>
          <w:divBdr>
            <w:top w:val="none" w:sz="0" w:space="0" w:color="auto"/>
            <w:left w:val="none" w:sz="0" w:space="0" w:color="auto"/>
            <w:bottom w:val="none" w:sz="0" w:space="0" w:color="auto"/>
            <w:right w:val="none" w:sz="0" w:space="0" w:color="auto"/>
          </w:divBdr>
        </w:div>
        <w:div w:id="1715689707">
          <w:marLeft w:val="640"/>
          <w:marRight w:val="0"/>
          <w:marTop w:val="0"/>
          <w:marBottom w:val="0"/>
          <w:divBdr>
            <w:top w:val="none" w:sz="0" w:space="0" w:color="auto"/>
            <w:left w:val="none" w:sz="0" w:space="0" w:color="auto"/>
            <w:bottom w:val="none" w:sz="0" w:space="0" w:color="auto"/>
            <w:right w:val="none" w:sz="0" w:space="0" w:color="auto"/>
          </w:divBdr>
        </w:div>
        <w:div w:id="1783265331">
          <w:marLeft w:val="640"/>
          <w:marRight w:val="0"/>
          <w:marTop w:val="0"/>
          <w:marBottom w:val="0"/>
          <w:divBdr>
            <w:top w:val="none" w:sz="0" w:space="0" w:color="auto"/>
            <w:left w:val="none" w:sz="0" w:space="0" w:color="auto"/>
            <w:bottom w:val="none" w:sz="0" w:space="0" w:color="auto"/>
            <w:right w:val="none" w:sz="0" w:space="0" w:color="auto"/>
          </w:divBdr>
        </w:div>
        <w:div w:id="1809398901">
          <w:marLeft w:val="640"/>
          <w:marRight w:val="0"/>
          <w:marTop w:val="0"/>
          <w:marBottom w:val="0"/>
          <w:divBdr>
            <w:top w:val="none" w:sz="0" w:space="0" w:color="auto"/>
            <w:left w:val="none" w:sz="0" w:space="0" w:color="auto"/>
            <w:bottom w:val="none" w:sz="0" w:space="0" w:color="auto"/>
            <w:right w:val="none" w:sz="0" w:space="0" w:color="auto"/>
          </w:divBdr>
        </w:div>
        <w:div w:id="1811551578">
          <w:marLeft w:val="640"/>
          <w:marRight w:val="0"/>
          <w:marTop w:val="0"/>
          <w:marBottom w:val="0"/>
          <w:divBdr>
            <w:top w:val="none" w:sz="0" w:space="0" w:color="auto"/>
            <w:left w:val="none" w:sz="0" w:space="0" w:color="auto"/>
            <w:bottom w:val="none" w:sz="0" w:space="0" w:color="auto"/>
            <w:right w:val="none" w:sz="0" w:space="0" w:color="auto"/>
          </w:divBdr>
        </w:div>
        <w:div w:id="1813598229">
          <w:marLeft w:val="640"/>
          <w:marRight w:val="0"/>
          <w:marTop w:val="0"/>
          <w:marBottom w:val="0"/>
          <w:divBdr>
            <w:top w:val="none" w:sz="0" w:space="0" w:color="auto"/>
            <w:left w:val="none" w:sz="0" w:space="0" w:color="auto"/>
            <w:bottom w:val="none" w:sz="0" w:space="0" w:color="auto"/>
            <w:right w:val="none" w:sz="0" w:space="0" w:color="auto"/>
          </w:divBdr>
        </w:div>
        <w:div w:id="1852379527">
          <w:marLeft w:val="640"/>
          <w:marRight w:val="0"/>
          <w:marTop w:val="0"/>
          <w:marBottom w:val="0"/>
          <w:divBdr>
            <w:top w:val="none" w:sz="0" w:space="0" w:color="auto"/>
            <w:left w:val="none" w:sz="0" w:space="0" w:color="auto"/>
            <w:bottom w:val="none" w:sz="0" w:space="0" w:color="auto"/>
            <w:right w:val="none" w:sz="0" w:space="0" w:color="auto"/>
          </w:divBdr>
        </w:div>
        <w:div w:id="1860466309">
          <w:marLeft w:val="640"/>
          <w:marRight w:val="0"/>
          <w:marTop w:val="0"/>
          <w:marBottom w:val="0"/>
          <w:divBdr>
            <w:top w:val="none" w:sz="0" w:space="0" w:color="auto"/>
            <w:left w:val="none" w:sz="0" w:space="0" w:color="auto"/>
            <w:bottom w:val="none" w:sz="0" w:space="0" w:color="auto"/>
            <w:right w:val="none" w:sz="0" w:space="0" w:color="auto"/>
          </w:divBdr>
        </w:div>
        <w:div w:id="1941645755">
          <w:marLeft w:val="640"/>
          <w:marRight w:val="0"/>
          <w:marTop w:val="0"/>
          <w:marBottom w:val="0"/>
          <w:divBdr>
            <w:top w:val="none" w:sz="0" w:space="0" w:color="auto"/>
            <w:left w:val="none" w:sz="0" w:space="0" w:color="auto"/>
            <w:bottom w:val="none" w:sz="0" w:space="0" w:color="auto"/>
            <w:right w:val="none" w:sz="0" w:space="0" w:color="auto"/>
          </w:divBdr>
        </w:div>
        <w:div w:id="1976252581">
          <w:marLeft w:val="640"/>
          <w:marRight w:val="0"/>
          <w:marTop w:val="0"/>
          <w:marBottom w:val="0"/>
          <w:divBdr>
            <w:top w:val="none" w:sz="0" w:space="0" w:color="auto"/>
            <w:left w:val="none" w:sz="0" w:space="0" w:color="auto"/>
            <w:bottom w:val="none" w:sz="0" w:space="0" w:color="auto"/>
            <w:right w:val="none" w:sz="0" w:space="0" w:color="auto"/>
          </w:divBdr>
        </w:div>
        <w:div w:id="1991249289">
          <w:marLeft w:val="640"/>
          <w:marRight w:val="0"/>
          <w:marTop w:val="0"/>
          <w:marBottom w:val="0"/>
          <w:divBdr>
            <w:top w:val="none" w:sz="0" w:space="0" w:color="auto"/>
            <w:left w:val="none" w:sz="0" w:space="0" w:color="auto"/>
            <w:bottom w:val="none" w:sz="0" w:space="0" w:color="auto"/>
            <w:right w:val="none" w:sz="0" w:space="0" w:color="auto"/>
          </w:divBdr>
        </w:div>
        <w:div w:id="2057467503">
          <w:marLeft w:val="640"/>
          <w:marRight w:val="0"/>
          <w:marTop w:val="0"/>
          <w:marBottom w:val="0"/>
          <w:divBdr>
            <w:top w:val="none" w:sz="0" w:space="0" w:color="auto"/>
            <w:left w:val="none" w:sz="0" w:space="0" w:color="auto"/>
            <w:bottom w:val="none" w:sz="0" w:space="0" w:color="auto"/>
            <w:right w:val="none" w:sz="0" w:space="0" w:color="auto"/>
          </w:divBdr>
        </w:div>
        <w:div w:id="2076925268">
          <w:marLeft w:val="640"/>
          <w:marRight w:val="0"/>
          <w:marTop w:val="0"/>
          <w:marBottom w:val="0"/>
          <w:divBdr>
            <w:top w:val="none" w:sz="0" w:space="0" w:color="auto"/>
            <w:left w:val="none" w:sz="0" w:space="0" w:color="auto"/>
            <w:bottom w:val="none" w:sz="0" w:space="0" w:color="auto"/>
            <w:right w:val="none" w:sz="0" w:space="0" w:color="auto"/>
          </w:divBdr>
        </w:div>
        <w:div w:id="2111273617">
          <w:marLeft w:val="640"/>
          <w:marRight w:val="0"/>
          <w:marTop w:val="0"/>
          <w:marBottom w:val="0"/>
          <w:divBdr>
            <w:top w:val="none" w:sz="0" w:space="0" w:color="auto"/>
            <w:left w:val="none" w:sz="0" w:space="0" w:color="auto"/>
            <w:bottom w:val="none" w:sz="0" w:space="0" w:color="auto"/>
            <w:right w:val="none" w:sz="0" w:space="0" w:color="auto"/>
          </w:divBdr>
        </w:div>
        <w:div w:id="2130933895">
          <w:marLeft w:val="640"/>
          <w:marRight w:val="0"/>
          <w:marTop w:val="0"/>
          <w:marBottom w:val="0"/>
          <w:divBdr>
            <w:top w:val="none" w:sz="0" w:space="0" w:color="auto"/>
            <w:left w:val="none" w:sz="0" w:space="0" w:color="auto"/>
            <w:bottom w:val="none" w:sz="0" w:space="0" w:color="auto"/>
            <w:right w:val="none" w:sz="0" w:space="0" w:color="auto"/>
          </w:divBdr>
        </w:div>
      </w:divsChild>
    </w:div>
    <w:div w:id="1749229381">
      <w:bodyDiv w:val="1"/>
      <w:marLeft w:val="0"/>
      <w:marRight w:val="0"/>
      <w:marTop w:val="0"/>
      <w:marBottom w:val="0"/>
      <w:divBdr>
        <w:top w:val="none" w:sz="0" w:space="0" w:color="auto"/>
        <w:left w:val="none" w:sz="0" w:space="0" w:color="auto"/>
        <w:bottom w:val="none" w:sz="0" w:space="0" w:color="auto"/>
        <w:right w:val="none" w:sz="0" w:space="0" w:color="auto"/>
      </w:divBdr>
    </w:div>
    <w:div w:id="1758600721">
      <w:bodyDiv w:val="1"/>
      <w:marLeft w:val="0"/>
      <w:marRight w:val="0"/>
      <w:marTop w:val="0"/>
      <w:marBottom w:val="0"/>
      <w:divBdr>
        <w:top w:val="none" w:sz="0" w:space="0" w:color="auto"/>
        <w:left w:val="none" w:sz="0" w:space="0" w:color="auto"/>
        <w:bottom w:val="none" w:sz="0" w:space="0" w:color="auto"/>
        <w:right w:val="none" w:sz="0" w:space="0" w:color="auto"/>
      </w:divBdr>
      <w:divsChild>
        <w:div w:id="76631426">
          <w:marLeft w:val="480"/>
          <w:marRight w:val="0"/>
          <w:marTop w:val="0"/>
          <w:marBottom w:val="0"/>
          <w:divBdr>
            <w:top w:val="none" w:sz="0" w:space="0" w:color="auto"/>
            <w:left w:val="none" w:sz="0" w:space="0" w:color="auto"/>
            <w:bottom w:val="none" w:sz="0" w:space="0" w:color="auto"/>
            <w:right w:val="none" w:sz="0" w:space="0" w:color="auto"/>
          </w:divBdr>
        </w:div>
        <w:div w:id="380905013">
          <w:marLeft w:val="480"/>
          <w:marRight w:val="0"/>
          <w:marTop w:val="0"/>
          <w:marBottom w:val="0"/>
          <w:divBdr>
            <w:top w:val="none" w:sz="0" w:space="0" w:color="auto"/>
            <w:left w:val="none" w:sz="0" w:space="0" w:color="auto"/>
            <w:bottom w:val="none" w:sz="0" w:space="0" w:color="auto"/>
            <w:right w:val="none" w:sz="0" w:space="0" w:color="auto"/>
          </w:divBdr>
        </w:div>
        <w:div w:id="1663970690">
          <w:marLeft w:val="480"/>
          <w:marRight w:val="0"/>
          <w:marTop w:val="0"/>
          <w:marBottom w:val="0"/>
          <w:divBdr>
            <w:top w:val="none" w:sz="0" w:space="0" w:color="auto"/>
            <w:left w:val="none" w:sz="0" w:space="0" w:color="auto"/>
            <w:bottom w:val="none" w:sz="0" w:space="0" w:color="auto"/>
            <w:right w:val="none" w:sz="0" w:space="0" w:color="auto"/>
          </w:divBdr>
        </w:div>
        <w:div w:id="1907717385">
          <w:marLeft w:val="480"/>
          <w:marRight w:val="0"/>
          <w:marTop w:val="0"/>
          <w:marBottom w:val="0"/>
          <w:divBdr>
            <w:top w:val="none" w:sz="0" w:space="0" w:color="auto"/>
            <w:left w:val="none" w:sz="0" w:space="0" w:color="auto"/>
            <w:bottom w:val="none" w:sz="0" w:space="0" w:color="auto"/>
            <w:right w:val="none" w:sz="0" w:space="0" w:color="auto"/>
          </w:divBdr>
        </w:div>
        <w:div w:id="2054380530">
          <w:marLeft w:val="480"/>
          <w:marRight w:val="0"/>
          <w:marTop w:val="0"/>
          <w:marBottom w:val="0"/>
          <w:divBdr>
            <w:top w:val="none" w:sz="0" w:space="0" w:color="auto"/>
            <w:left w:val="none" w:sz="0" w:space="0" w:color="auto"/>
            <w:bottom w:val="none" w:sz="0" w:space="0" w:color="auto"/>
            <w:right w:val="none" w:sz="0" w:space="0" w:color="auto"/>
          </w:divBdr>
        </w:div>
        <w:div w:id="1736397425">
          <w:marLeft w:val="480"/>
          <w:marRight w:val="0"/>
          <w:marTop w:val="0"/>
          <w:marBottom w:val="0"/>
          <w:divBdr>
            <w:top w:val="none" w:sz="0" w:space="0" w:color="auto"/>
            <w:left w:val="none" w:sz="0" w:space="0" w:color="auto"/>
            <w:bottom w:val="none" w:sz="0" w:space="0" w:color="auto"/>
            <w:right w:val="none" w:sz="0" w:space="0" w:color="auto"/>
          </w:divBdr>
        </w:div>
      </w:divsChild>
    </w:div>
    <w:div w:id="1776829599">
      <w:bodyDiv w:val="1"/>
      <w:marLeft w:val="0"/>
      <w:marRight w:val="0"/>
      <w:marTop w:val="0"/>
      <w:marBottom w:val="0"/>
      <w:divBdr>
        <w:top w:val="none" w:sz="0" w:space="0" w:color="auto"/>
        <w:left w:val="none" w:sz="0" w:space="0" w:color="auto"/>
        <w:bottom w:val="none" w:sz="0" w:space="0" w:color="auto"/>
        <w:right w:val="none" w:sz="0" w:space="0" w:color="auto"/>
      </w:divBdr>
    </w:div>
    <w:div w:id="1786607881">
      <w:bodyDiv w:val="1"/>
      <w:marLeft w:val="0"/>
      <w:marRight w:val="0"/>
      <w:marTop w:val="0"/>
      <w:marBottom w:val="0"/>
      <w:divBdr>
        <w:top w:val="none" w:sz="0" w:space="0" w:color="auto"/>
        <w:left w:val="none" w:sz="0" w:space="0" w:color="auto"/>
        <w:bottom w:val="none" w:sz="0" w:space="0" w:color="auto"/>
        <w:right w:val="none" w:sz="0" w:space="0" w:color="auto"/>
      </w:divBdr>
    </w:div>
    <w:div w:id="1793750015">
      <w:bodyDiv w:val="1"/>
      <w:marLeft w:val="0"/>
      <w:marRight w:val="0"/>
      <w:marTop w:val="0"/>
      <w:marBottom w:val="0"/>
      <w:divBdr>
        <w:top w:val="none" w:sz="0" w:space="0" w:color="auto"/>
        <w:left w:val="none" w:sz="0" w:space="0" w:color="auto"/>
        <w:bottom w:val="none" w:sz="0" w:space="0" w:color="auto"/>
        <w:right w:val="none" w:sz="0" w:space="0" w:color="auto"/>
      </w:divBdr>
      <w:divsChild>
        <w:div w:id="1250700200">
          <w:marLeft w:val="480"/>
          <w:marRight w:val="0"/>
          <w:marTop w:val="0"/>
          <w:marBottom w:val="0"/>
          <w:divBdr>
            <w:top w:val="none" w:sz="0" w:space="0" w:color="auto"/>
            <w:left w:val="none" w:sz="0" w:space="0" w:color="auto"/>
            <w:bottom w:val="none" w:sz="0" w:space="0" w:color="auto"/>
            <w:right w:val="none" w:sz="0" w:space="0" w:color="auto"/>
          </w:divBdr>
        </w:div>
        <w:div w:id="1486319009">
          <w:marLeft w:val="480"/>
          <w:marRight w:val="0"/>
          <w:marTop w:val="0"/>
          <w:marBottom w:val="0"/>
          <w:divBdr>
            <w:top w:val="none" w:sz="0" w:space="0" w:color="auto"/>
            <w:left w:val="none" w:sz="0" w:space="0" w:color="auto"/>
            <w:bottom w:val="none" w:sz="0" w:space="0" w:color="auto"/>
            <w:right w:val="none" w:sz="0" w:space="0" w:color="auto"/>
          </w:divBdr>
        </w:div>
      </w:divsChild>
    </w:div>
    <w:div w:id="1801151323">
      <w:bodyDiv w:val="1"/>
      <w:marLeft w:val="0"/>
      <w:marRight w:val="0"/>
      <w:marTop w:val="0"/>
      <w:marBottom w:val="0"/>
      <w:divBdr>
        <w:top w:val="none" w:sz="0" w:space="0" w:color="auto"/>
        <w:left w:val="none" w:sz="0" w:space="0" w:color="auto"/>
        <w:bottom w:val="none" w:sz="0" w:space="0" w:color="auto"/>
        <w:right w:val="none" w:sz="0" w:space="0" w:color="auto"/>
      </w:divBdr>
    </w:div>
    <w:div w:id="1825730600">
      <w:bodyDiv w:val="1"/>
      <w:marLeft w:val="0"/>
      <w:marRight w:val="0"/>
      <w:marTop w:val="0"/>
      <w:marBottom w:val="0"/>
      <w:divBdr>
        <w:top w:val="none" w:sz="0" w:space="0" w:color="auto"/>
        <w:left w:val="none" w:sz="0" w:space="0" w:color="auto"/>
        <w:bottom w:val="none" w:sz="0" w:space="0" w:color="auto"/>
        <w:right w:val="none" w:sz="0" w:space="0" w:color="auto"/>
      </w:divBdr>
    </w:div>
    <w:div w:id="1835412074">
      <w:bodyDiv w:val="1"/>
      <w:marLeft w:val="0"/>
      <w:marRight w:val="0"/>
      <w:marTop w:val="0"/>
      <w:marBottom w:val="0"/>
      <w:divBdr>
        <w:top w:val="none" w:sz="0" w:space="0" w:color="auto"/>
        <w:left w:val="none" w:sz="0" w:space="0" w:color="auto"/>
        <w:bottom w:val="none" w:sz="0" w:space="0" w:color="auto"/>
        <w:right w:val="none" w:sz="0" w:space="0" w:color="auto"/>
      </w:divBdr>
    </w:div>
    <w:div w:id="1844200717">
      <w:bodyDiv w:val="1"/>
      <w:marLeft w:val="0"/>
      <w:marRight w:val="0"/>
      <w:marTop w:val="0"/>
      <w:marBottom w:val="0"/>
      <w:divBdr>
        <w:top w:val="none" w:sz="0" w:space="0" w:color="auto"/>
        <w:left w:val="none" w:sz="0" w:space="0" w:color="auto"/>
        <w:bottom w:val="none" w:sz="0" w:space="0" w:color="auto"/>
        <w:right w:val="none" w:sz="0" w:space="0" w:color="auto"/>
      </w:divBdr>
    </w:div>
    <w:div w:id="1846825162">
      <w:bodyDiv w:val="1"/>
      <w:marLeft w:val="0"/>
      <w:marRight w:val="0"/>
      <w:marTop w:val="0"/>
      <w:marBottom w:val="0"/>
      <w:divBdr>
        <w:top w:val="none" w:sz="0" w:space="0" w:color="auto"/>
        <w:left w:val="none" w:sz="0" w:space="0" w:color="auto"/>
        <w:bottom w:val="none" w:sz="0" w:space="0" w:color="auto"/>
        <w:right w:val="none" w:sz="0" w:space="0" w:color="auto"/>
      </w:divBdr>
    </w:div>
    <w:div w:id="1853378724">
      <w:bodyDiv w:val="1"/>
      <w:marLeft w:val="0"/>
      <w:marRight w:val="0"/>
      <w:marTop w:val="0"/>
      <w:marBottom w:val="0"/>
      <w:divBdr>
        <w:top w:val="none" w:sz="0" w:space="0" w:color="auto"/>
        <w:left w:val="none" w:sz="0" w:space="0" w:color="auto"/>
        <w:bottom w:val="none" w:sz="0" w:space="0" w:color="auto"/>
        <w:right w:val="none" w:sz="0" w:space="0" w:color="auto"/>
      </w:divBdr>
    </w:div>
    <w:div w:id="1860659733">
      <w:bodyDiv w:val="1"/>
      <w:marLeft w:val="0"/>
      <w:marRight w:val="0"/>
      <w:marTop w:val="0"/>
      <w:marBottom w:val="0"/>
      <w:divBdr>
        <w:top w:val="none" w:sz="0" w:space="0" w:color="auto"/>
        <w:left w:val="none" w:sz="0" w:space="0" w:color="auto"/>
        <w:bottom w:val="none" w:sz="0" w:space="0" w:color="auto"/>
        <w:right w:val="none" w:sz="0" w:space="0" w:color="auto"/>
      </w:divBdr>
      <w:divsChild>
        <w:div w:id="923799602">
          <w:marLeft w:val="480"/>
          <w:marRight w:val="0"/>
          <w:marTop w:val="0"/>
          <w:marBottom w:val="0"/>
          <w:divBdr>
            <w:top w:val="none" w:sz="0" w:space="0" w:color="auto"/>
            <w:left w:val="none" w:sz="0" w:space="0" w:color="auto"/>
            <w:bottom w:val="none" w:sz="0" w:space="0" w:color="auto"/>
            <w:right w:val="none" w:sz="0" w:space="0" w:color="auto"/>
          </w:divBdr>
        </w:div>
        <w:div w:id="1496843616">
          <w:marLeft w:val="480"/>
          <w:marRight w:val="0"/>
          <w:marTop w:val="0"/>
          <w:marBottom w:val="0"/>
          <w:divBdr>
            <w:top w:val="none" w:sz="0" w:space="0" w:color="auto"/>
            <w:left w:val="none" w:sz="0" w:space="0" w:color="auto"/>
            <w:bottom w:val="none" w:sz="0" w:space="0" w:color="auto"/>
            <w:right w:val="none" w:sz="0" w:space="0" w:color="auto"/>
          </w:divBdr>
        </w:div>
        <w:div w:id="1153569785">
          <w:marLeft w:val="480"/>
          <w:marRight w:val="0"/>
          <w:marTop w:val="0"/>
          <w:marBottom w:val="0"/>
          <w:divBdr>
            <w:top w:val="none" w:sz="0" w:space="0" w:color="auto"/>
            <w:left w:val="none" w:sz="0" w:space="0" w:color="auto"/>
            <w:bottom w:val="none" w:sz="0" w:space="0" w:color="auto"/>
            <w:right w:val="none" w:sz="0" w:space="0" w:color="auto"/>
          </w:divBdr>
        </w:div>
        <w:div w:id="891381802">
          <w:marLeft w:val="480"/>
          <w:marRight w:val="0"/>
          <w:marTop w:val="0"/>
          <w:marBottom w:val="0"/>
          <w:divBdr>
            <w:top w:val="none" w:sz="0" w:space="0" w:color="auto"/>
            <w:left w:val="none" w:sz="0" w:space="0" w:color="auto"/>
            <w:bottom w:val="none" w:sz="0" w:space="0" w:color="auto"/>
            <w:right w:val="none" w:sz="0" w:space="0" w:color="auto"/>
          </w:divBdr>
        </w:div>
        <w:div w:id="1113597953">
          <w:marLeft w:val="480"/>
          <w:marRight w:val="0"/>
          <w:marTop w:val="0"/>
          <w:marBottom w:val="0"/>
          <w:divBdr>
            <w:top w:val="none" w:sz="0" w:space="0" w:color="auto"/>
            <w:left w:val="none" w:sz="0" w:space="0" w:color="auto"/>
            <w:bottom w:val="none" w:sz="0" w:space="0" w:color="auto"/>
            <w:right w:val="none" w:sz="0" w:space="0" w:color="auto"/>
          </w:divBdr>
        </w:div>
        <w:div w:id="997928946">
          <w:marLeft w:val="480"/>
          <w:marRight w:val="0"/>
          <w:marTop w:val="0"/>
          <w:marBottom w:val="0"/>
          <w:divBdr>
            <w:top w:val="none" w:sz="0" w:space="0" w:color="auto"/>
            <w:left w:val="none" w:sz="0" w:space="0" w:color="auto"/>
            <w:bottom w:val="none" w:sz="0" w:space="0" w:color="auto"/>
            <w:right w:val="none" w:sz="0" w:space="0" w:color="auto"/>
          </w:divBdr>
        </w:div>
        <w:div w:id="1995065909">
          <w:marLeft w:val="480"/>
          <w:marRight w:val="0"/>
          <w:marTop w:val="0"/>
          <w:marBottom w:val="0"/>
          <w:divBdr>
            <w:top w:val="none" w:sz="0" w:space="0" w:color="auto"/>
            <w:left w:val="none" w:sz="0" w:space="0" w:color="auto"/>
            <w:bottom w:val="none" w:sz="0" w:space="0" w:color="auto"/>
            <w:right w:val="none" w:sz="0" w:space="0" w:color="auto"/>
          </w:divBdr>
        </w:div>
      </w:divsChild>
    </w:div>
    <w:div w:id="1863279609">
      <w:bodyDiv w:val="1"/>
      <w:marLeft w:val="0"/>
      <w:marRight w:val="0"/>
      <w:marTop w:val="0"/>
      <w:marBottom w:val="0"/>
      <w:divBdr>
        <w:top w:val="none" w:sz="0" w:space="0" w:color="auto"/>
        <w:left w:val="none" w:sz="0" w:space="0" w:color="auto"/>
        <w:bottom w:val="none" w:sz="0" w:space="0" w:color="auto"/>
        <w:right w:val="none" w:sz="0" w:space="0" w:color="auto"/>
      </w:divBdr>
      <w:divsChild>
        <w:div w:id="58216581">
          <w:marLeft w:val="640"/>
          <w:marRight w:val="0"/>
          <w:marTop w:val="0"/>
          <w:marBottom w:val="0"/>
          <w:divBdr>
            <w:top w:val="none" w:sz="0" w:space="0" w:color="auto"/>
            <w:left w:val="none" w:sz="0" w:space="0" w:color="auto"/>
            <w:bottom w:val="none" w:sz="0" w:space="0" w:color="auto"/>
            <w:right w:val="none" w:sz="0" w:space="0" w:color="auto"/>
          </w:divBdr>
        </w:div>
        <w:div w:id="59210460">
          <w:marLeft w:val="640"/>
          <w:marRight w:val="0"/>
          <w:marTop w:val="0"/>
          <w:marBottom w:val="0"/>
          <w:divBdr>
            <w:top w:val="none" w:sz="0" w:space="0" w:color="auto"/>
            <w:left w:val="none" w:sz="0" w:space="0" w:color="auto"/>
            <w:bottom w:val="none" w:sz="0" w:space="0" w:color="auto"/>
            <w:right w:val="none" w:sz="0" w:space="0" w:color="auto"/>
          </w:divBdr>
        </w:div>
        <w:div w:id="281304160">
          <w:marLeft w:val="640"/>
          <w:marRight w:val="0"/>
          <w:marTop w:val="0"/>
          <w:marBottom w:val="0"/>
          <w:divBdr>
            <w:top w:val="none" w:sz="0" w:space="0" w:color="auto"/>
            <w:left w:val="none" w:sz="0" w:space="0" w:color="auto"/>
            <w:bottom w:val="none" w:sz="0" w:space="0" w:color="auto"/>
            <w:right w:val="none" w:sz="0" w:space="0" w:color="auto"/>
          </w:divBdr>
        </w:div>
        <w:div w:id="354423646">
          <w:marLeft w:val="640"/>
          <w:marRight w:val="0"/>
          <w:marTop w:val="0"/>
          <w:marBottom w:val="0"/>
          <w:divBdr>
            <w:top w:val="none" w:sz="0" w:space="0" w:color="auto"/>
            <w:left w:val="none" w:sz="0" w:space="0" w:color="auto"/>
            <w:bottom w:val="none" w:sz="0" w:space="0" w:color="auto"/>
            <w:right w:val="none" w:sz="0" w:space="0" w:color="auto"/>
          </w:divBdr>
        </w:div>
        <w:div w:id="355736764">
          <w:marLeft w:val="640"/>
          <w:marRight w:val="0"/>
          <w:marTop w:val="0"/>
          <w:marBottom w:val="0"/>
          <w:divBdr>
            <w:top w:val="none" w:sz="0" w:space="0" w:color="auto"/>
            <w:left w:val="none" w:sz="0" w:space="0" w:color="auto"/>
            <w:bottom w:val="none" w:sz="0" w:space="0" w:color="auto"/>
            <w:right w:val="none" w:sz="0" w:space="0" w:color="auto"/>
          </w:divBdr>
        </w:div>
        <w:div w:id="423577866">
          <w:marLeft w:val="640"/>
          <w:marRight w:val="0"/>
          <w:marTop w:val="0"/>
          <w:marBottom w:val="0"/>
          <w:divBdr>
            <w:top w:val="none" w:sz="0" w:space="0" w:color="auto"/>
            <w:left w:val="none" w:sz="0" w:space="0" w:color="auto"/>
            <w:bottom w:val="none" w:sz="0" w:space="0" w:color="auto"/>
            <w:right w:val="none" w:sz="0" w:space="0" w:color="auto"/>
          </w:divBdr>
        </w:div>
        <w:div w:id="425075819">
          <w:marLeft w:val="640"/>
          <w:marRight w:val="0"/>
          <w:marTop w:val="0"/>
          <w:marBottom w:val="0"/>
          <w:divBdr>
            <w:top w:val="none" w:sz="0" w:space="0" w:color="auto"/>
            <w:left w:val="none" w:sz="0" w:space="0" w:color="auto"/>
            <w:bottom w:val="none" w:sz="0" w:space="0" w:color="auto"/>
            <w:right w:val="none" w:sz="0" w:space="0" w:color="auto"/>
          </w:divBdr>
        </w:div>
        <w:div w:id="463081659">
          <w:marLeft w:val="640"/>
          <w:marRight w:val="0"/>
          <w:marTop w:val="0"/>
          <w:marBottom w:val="0"/>
          <w:divBdr>
            <w:top w:val="none" w:sz="0" w:space="0" w:color="auto"/>
            <w:left w:val="none" w:sz="0" w:space="0" w:color="auto"/>
            <w:bottom w:val="none" w:sz="0" w:space="0" w:color="auto"/>
            <w:right w:val="none" w:sz="0" w:space="0" w:color="auto"/>
          </w:divBdr>
        </w:div>
        <w:div w:id="476872666">
          <w:marLeft w:val="640"/>
          <w:marRight w:val="0"/>
          <w:marTop w:val="0"/>
          <w:marBottom w:val="0"/>
          <w:divBdr>
            <w:top w:val="none" w:sz="0" w:space="0" w:color="auto"/>
            <w:left w:val="none" w:sz="0" w:space="0" w:color="auto"/>
            <w:bottom w:val="none" w:sz="0" w:space="0" w:color="auto"/>
            <w:right w:val="none" w:sz="0" w:space="0" w:color="auto"/>
          </w:divBdr>
        </w:div>
        <w:div w:id="482086199">
          <w:marLeft w:val="640"/>
          <w:marRight w:val="0"/>
          <w:marTop w:val="0"/>
          <w:marBottom w:val="0"/>
          <w:divBdr>
            <w:top w:val="none" w:sz="0" w:space="0" w:color="auto"/>
            <w:left w:val="none" w:sz="0" w:space="0" w:color="auto"/>
            <w:bottom w:val="none" w:sz="0" w:space="0" w:color="auto"/>
            <w:right w:val="none" w:sz="0" w:space="0" w:color="auto"/>
          </w:divBdr>
        </w:div>
        <w:div w:id="497694413">
          <w:marLeft w:val="640"/>
          <w:marRight w:val="0"/>
          <w:marTop w:val="0"/>
          <w:marBottom w:val="0"/>
          <w:divBdr>
            <w:top w:val="none" w:sz="0" w:space="0" w:color="auto"/>
            <w:left w:val="none" w:sz="0" w:space="0" w:color="auto"/>
            <w:bottom w:val="none" w:sz="0" w:space="0" w:color="auto"/>
            <w:right w:val="none" w:sz="0" w:space="0" w:color="auto"/>
          </w:divBdr>
        </w:div>
        <w:div w:id="499465993">
          <w:marLeft w:val="640"/>
          <w:marRight w:val="0"/>
          <w:marTop w:val="0"/>
          <w:marBottom w:val="0"/>
          <w:divBdr>
            <w:top w:val="none" w:sz="0" w:space="0" w:color="auto"/>
            <w:left w:val="none" w:sz="0" w:space="0" w:color="auto"/>
            <w:bottom w:val="none" w:sz="0" w:space="0" w:color="auto"/>
            <w:right w:val="none" w:sz="0" w:space="0" w:color="auto"/>
          </w:divBdr>
        </w:div>
        <w:div w:id="519583982">
          <w:marLeft w:val="640"/>
          <w:marRight w:val="0"/>
          <w:marTop w:val="0"/>
          <w:marBottom w:val="0"/>
          <w:divBdr>
            <w:top w:val="none" w:sz="0" w:space="0" w:color="auto"/>
            <w:left w:val="none" w:sz="0" w:space="0" w:color="auto"/>
            <w:bottom w:val="none" w:sz="0" w:space="0" w:color="auto"/>
            <w:right w:val="none" w:sz="0" w:space="0" w:color="auto"/>
          </w:divBdr>
        </w:div>
        <w:div w:id="565725093">
          <w:marLeft w:val="640"/>
          <w:marRight w:val="0"/>
          <w:marTop w:val="0"/>
          <w:marBottom w:val="0"/>
          <w:divBdr>
            <w:top w:val="none" w:sz="0" w:space="0" w:color="auto"/>
            <w:left w:val="none" w:sz="0" w:space="0" w:color="auto"/>
            <w:bottom w:val="none" w:sz="0" w:space="0" w:color="auto"/>
            <w:right w:val="none" w:sz="0" w:space="0" w:color="auto"/>
          </w:divBdr>
        </w:div>
        <w:div w:id="574435626">
          <w:marLeft w:val="640"/>
          <w:marRight w:val="0"/>
          <w:marTop w:val="0"/>
          <w:marBottom w:val="0"/>
          <w:divBdr>
            <w:top w:val="none" w:sz="0" w:space="0" w:color="auto"/>
            <w:left w:val="none" w:sz="0" w:space="0" w:color="auto"/>
            <w:bottom w:val="none" w:sz="0" w:space="0" w:color="auto"/>
            <w:right w:val="none" w:sz="0" w:space="0" w:color="auto"/>
          </w:divBdr>
        </w:div>
        <w:div w:id="580943838">
          <w:marLeft w:val="640"/>
          <w:marRight w:val="0"/>
          <w:marTop w:val="0"/>
          <w:marBottom w:val="0"/>
          <w:divBdr>
            <w:top w:val="none" w:sz="0" w:space="0" w:color="auto"/>
            <w:left w:val="none" w:sz="0" w:space="0" w:color="auto"/>
            <w:bottom w:val="none" w:sz="0" w:space="0" w:color="auto"/>
            <w:right w:val="none" w:sz="0" w:space="0" w:color="auto"/>
          </w:divBdr>
        </w:div>
        <w:div w:id="588854295">
          <w:marLeft w:val="640"/>
          <w:marRight w:val="0"/>
          <w:marTop w:val="0"/>
          <w:marBottom w:val="0"/>
          <w:divBdr>
            <w:top w:val="none" w:sz="0" w:space="0" w:color="auto"/>
            <w:left w:val="none" w:sz="0" w:space="0" w:color="auto"/>
            <w:bottom w:val="none" w:sz="0" w:space="0" w:color="auto"/>
            <w:right w:val="none" w:sz="0" w:space="0" w:color="auto"/>
          </w:divBdr>
        </w:div>
        <w:div w:id="604921622">
          <w:marLeft w:val="640"/>
          <w:marRight w:val="0"/>
          <w:marTop w:val="0"/>
          <w:marBottom w:val="0"/>
          <w:divBdr>
            <w:top w:val="none" w:sz="0" w:space="0" w:color="auto"/>
            <w:left w:val="none" w:sz="0" w:space="0" w:color="auto"/>
            <w:bottom w:val="none" w:sz="0" w:space="0" w:color="auto"/>
            <w:right w:val="none" w:sz="0" w:space="0" w:color="auto"/>
          </w:divBdr>
        </w:div>
        <w:div w:id="658315106">
          <w:marLeft w:val="640"/>
          <w:marRight w:val="0"/>
          <w:marTop w:val="0"/>
          <w:marBottom w:val="0"/>
          <w:divBdr>
            <w:top w:val="none" w:sz="0" w:space="0" w:color="auto"/>
            <w:left w:val="none" w:sz="0" w:space="0" w:color="auto"/>
            <w:bottom w:val="none" w:sz="0" w:space="0" w:color="auto"/>
            <w:right w:val="none" w:sz="0" w:space="0" w:color="auto"/>
          </w:divBdr>
        </w:div>
        <w:div w:id="733089990">
          <w:marLeft w:val="640"/>
          <w:marRight w:val="0"/>
          <w:marTop w:val="0"/>
          <w:marBottom w:val="0"/>
          <w:divBdr>
            <w:top w:val="none" w:sz="0" w:space="0" w:color="auto"/>
            <w:left w:val="none" w:sz="0" w:space="0" w:color="auto"/>
            <w:bottom w:val="none" w:sz="0" w:space="0" w:color="auto"/>
            <w:right w:val="none" w:sz="0" w:space="0" w:color="auto"/>
          </w:divBdr>
        </w:div>
        <w:div w:id="756560855">
          <w:marLeft w:val="640"/>
          <w:marRight w:val="0"/>
          <w:marTop w:val="0"/>
          <w:marBottom w:val="0"/>
          <w:divBdr>
            <w:top w:val="none" w:sz="0" w:space="0" w:color="auto"/>
            <w:left w:val="none" w:sz="0" w:space="0" w:color="auto"/>
            <w:bottom w:val="none" w:sz="0" w:space="0" w:color="auto"/>
            <w:right w:val="none" w:sz="0" w:space="0" w:color="auto"/>
          </w:divBdr>
        </w:div>
        <w:div w:id="880626839">
          <w:marLeft w:val="640"/>
          <w:marRight w:val="0"/>
          <w:marTop w:val="0"/>
          <w:marBottom w:val="0"/>
          <w:divBdr>
            <w:top w:val="none" w:sz="0" w:space="0" w:color="auto"/>
            <w:left w:val="none" w:sz="0" w:space="0" w:color="auto"/>
            <w:bottom w:val="none" w:sz="0" w:space="0" w:color="auto"/>
            <w:right w:val="none" w:sz="0" w:space="0" w:color="auto"/>
          </w:divBdr>
        </w:div>
        <w:div w:id="933438467">
          <w:marLeft w:val="640"/>
          <w:marRight w:val="0"/>
          <w:marTop w:val="0"/>
          <w:marBottom w:val="0"/>
          <w:divBdr>
            <w:top w:val="none" w:sz="0" w:space="0" w:color="auto"/>
            <w:left w:val="none" w:sz="0" w:space="0" w:color="auto"/>
            <w:bottom w:val="none" w:sz="0" w:space="0" w:color="auto"/>
            <w:right w:val="none" w:sz="0" w:space="0" w:color="auto"/>
          </w:divBdr>
        </w:div>
        <w:div w:id="935942592">
          <w:marLeft w:val="640"/>
          <w:marRight w:val="0"/>
          <w:marTop w:val="0"/>
          <w:marBottom w:val="0"/>
          <w:divBdr>
            <w:top w:val="none" w:sz="0" w:space="0" w:color="auto"/>
            <w:left w:val="none" w:sz="0" w:space="0" w:color="auto"/>
            <w:bottom w:val="none" w:sz="0" w:space="0" w:color="auto"/>
            <w:right w:val="none" w:sz="0" w:space="0" w:color="auto"/>
          </w:divBdr>
        </w:div>
        <w:div w:id="951015236">
          <w:marLeft w:val="640"/>
          <w:marRight w:val="0"/>
          <w:marTop w:val="0"/>
          <w:marBottom w:val="0"/>
          <w:divBdr>
            <w:top w:val="none" w:sz="0" w:space="0" w:color="auto"/>
            <w:left w:val="none" w:sz="0" w:space="0" w:color="auto"/>
            <w:bottom w:val="none" w:sz="0" w:space="0" w:color="auto"/>
            <w:right w:val="none" w:sz="0" w:space="0" w:color="auto"/>
          </w:divBdr>
        </w:div>
        <w:div w:id="986591723">
          <w:marLeft w:val="640"/>
          <w:marRight w:val="0"/>
          <w:marTop w:val="0"/>
          <w:marBottom w:val="0"/>
          <w:divBdr>
            <w:top w:val="none" w:sz="0" w:space="0" w:color="auto"/>
            <w:left w:val="none" w:sz="0" w:space="0" w:color="auto"/>
            <w:bottom w:val="none" w:sz="0" w:space="0" w:color="auto"/>
            <w:right w:val="none" w:sz="0" w:space="0" w:color="auto"/>
          </w:divBdr>
        </w:div>
        <w:div w:id="1036347057">
          <w:marLeft w:val="640"/>
          <w:marRight w:val="0"/>
          <w:marTop w:val="0"/>
          <w:marBottom w:val="0"/>
          <w:divBdr>
            <w:top w:val="none" w:sz="0" w:space="0" w:color="auto"/>
            <w:left w:val="none" w:sz="0" w:space="0" w:color="auto"/>
            <w:bottom w:val="none" w:sz="0" w:space="0" w:color="auto"/>
            <w:right w:val="none" w:sz="0" w:space="0" w:color="auto"/>
          </w:divBdr>
        </w:div>
        <w:div w:id="1054817000">
          <w:marLeft w:val="640"/>
          <w:marRight w:val="0"/>
          <w:marTop w:val="0"/>
          <w:marBottom w:val="0"/>
          <w:divBdr>
            <w:top w:val="none" w:sz="0" w:space="0" w:color="auto"/>
            <w:left w:val="none" w:sz="0" w:space="0" w:color="auto"/>
            <w:bottom w:val="none" w:sz="0" w:space="0" w:color="auto"/>
            <w:right w:val="none" w:sz="0" w:space="0" w:color="auto"/>
          </w:divBdr>
        </w:div>
        <w:div w:id="1144469449">
          <w:marLeft w:val="640"/>
          <w:marRight w:val="0"/>
          <w:marTop w:val="0"/>
          <w:marBottom w:val="0"/>
          <w:divBdr>
            <w:top w:val="none" w:sz="0" w:space="0" w:color="auto"/>
            <w:left w:val="none" w:sz="0" w:space="0" w:color="auto"/>
            <w:bottom w:val="none" w:sz="0" w:space="0" w:color="auto"/>
            <w:right w:val="none" w:sz="0" w:space="0" w:color="auto"/>
          </w:divBdr>
        </w:div>
        <w:div w:id="1183787825">
          <w:marLeft w:val="640"/>
          <w:marRight w:val="0"/>
          <w:marTop w:val="0"/>
          <w:marBottom w:val="0"/>
          <w:divBdr>
            <w:top w:val="none" w:sz="0" w:space="0" w:color="auto"/>
            <w:left w:val="none" w:sz="0" w:space="0" w:color="auto"/>
            <w:bottom w:val="none" w:sz="0" w:space="0" w:color="auto"/>
            <w:right w:val="none" w:sz="0" w:space="0" w:color="auto"/>
          </w:divBdr>
        </w:div>
        <w:div w:id="1186866064">
          <w:marLeft w:val="640"/>
          <w:marRight w:val="0"/>
          <w:marTop w:val="0"/>
          <w:marBottom w:val="0"/>
          <w:divBdr>
            <w:top w:val="none" w:sz="0" w:space="0" w:color="auto"/>
            <w:left w:val="none" w:sz="0" w:space="0" w:color="auto"/>
            <w:bottom w:val="none" w:sz="0" w:space="0" w:color="auto"/>
            <w:right w:val="none" w:sz="0" w:space="0" w:color="auto"/>
          </w:divBdr>
        </w:div>
        <w:div w:id="1286883368">
          <w:marLeft w:val="640"/>
          <w:marRight w:val="0"/>
          <w:marTop w:val="0"/>
          <w:marBottom w:val="0"/>
          <w:divBdr>
            <w:top w:val="none" w:sz="0" w:space="0" w:color="auto"/>
            <w:left w:val="none" w:sz="0" w:space="0" w:color="auto"/>
            <w:bottom w:val="none" w:sz="0" w:space="0" w:color="auto"/>
            <w:right w:val="none" w:sz="0" w:space="0" w:color="auto"/>
          </w:divBdr>
        </w:div>
        <w:div w:id="1344359978">
          <w:marLeft w:val="640"/>
          <w:marRight w:val="0"/>
          <w:marTop w:val="0"/>
          <w:marBottom w:val="0"/>
          <w:divBdr>
            <w:top w:val="none" w:sz="0" w:space="0" w:color="auto"/>
            <w:left w:val="none" w:sz="0" w:space="0" w:color="auto"/>
            <w:bottom w:val="none" w:sz="0" w:space="0" w:color="auto"/>
            <w:right w:val="none" w:sz="0" w:space="0" w:color="auto"/>
          </w:divBdr>
        </w:div>
        <w:div w:id="1368531853">
          <w:marLeft w:val="640"/>
          <w:marRight w:val="0"/>
          <w:marTop w:val="0"/>
          <w:marBottom w:val="0"/>
          <w:divBdr>
            <w:top w:val="none" w:sz="0" w:space="0" w:color="auto"/>
            <w:left w:val="none" w:sz="0" w:space="0" w:color="auto"/>
            <w:bottom w:val="none" w:sz="0" w:space="0" w:color="auto"/>
            <w:right w:val="none" w:sz="0" w:space="0" w:color="auto"/>
          </w:divBdr>
        </w:div>
        <w:div w:id="1428579243">
          <w:marLeft w:val="640"/>
          <w:marRight w:val="0"/>
          <w:marTop w:val="0"/>
          <w:marBottom w:val="0"/>
          <w:divBdr>
            <w:top w:val="none" w:sz="0" w:space="0" w:color="auto"/>
            <w:left w:val="none" w:sz="0" w:space="0" w:color="auto"/>
            <w:bottom w:val="none" w:sz="0" w:space="0" w:color="auto"/>
            <w:right w:val="none" w:sz="0" w:space="0" w:color="auto"/>
          </w:divBdr>
        </w:div>
        <w:div w:id="1439711601">
          <w:marLeft w:val="640"/>
          <w:marRight w:val="0"/>
          <w:marTop w:val="0"/>
          <w:marBottom w:val="0"/>
          <w:divBdr>
            <w:top w:val="none" w:sz="0" w:space="0" w:color="auto"/>
            <w:left w:val="none" w:sz="0" w:space="0" w:color="auto"/>
            <w:bottom w:val="none" w:sz="0" w:space="0" w:color="auto"/>
            <w:right w:val="none" w:sz="0" w:space="0" w:color="auto"/>
          </w:divBdr>
        </w:div>
        <w:div w:id="1441073080">
          <w:marLeft w:val="640"/>
          <w:marRight w:val="0"/>
          <w:marTop w:val="0"/>
          <w:marBottom w:val="0"/>
          <w:divBdr>
            <w:top w:val="none" w:sz="0" w:space="0" w:color="auto"/>
            <w:left w:val="none" w:sz="0" w:space="0" w:color="auto"/>
            <w:bottom w:val="none" w:sz="0" w:space="0" w:color="auto"/>
            <w:right w:val="none" w:sz="0" w:space="0" w:color="auto"/>
          </w:divBdr>
        </w:div>
        <w:div w:id="1468208990">
          <w:marLeft w:val="640"/>
          <w:marRight w:val="0"/>
          <w:marTop w:val="0"/>
          <w:marBottom w:val="0"/>
          <w:divBdr>
            <w:top w:val="none" w:sz="0" w:space="0" w:color="auto"/>
            <w:left w:val="none" w:sz="0" w:space="0" w:color="auto"/>
            <w:bottom w:val="none" w:sz="0" w:space="0" w:color="auto"/>
            <w:right w:val="none" w:sz="0" w:space="0" w:color="auto"/>
          </w:divBdr>
        </w:div>
        <w:div w:id="1529952140">
          <w:marLeft w:val="640"/>
          <w:marRight w:val="0"/>
          <w:marTop w:val="0"/>
          <w:marBottom w:val="0"/>
          <w:divBdr>
            <w:top w:val="none" w:sz="0" w:space="0" w:color="auto"/>
            <w:left w:val="none" w:sz="0" w:space="0" w:color="auto"/>
            <w:bottom w:val="none" w:sz="0" w:space="0" w:color="auto"/>
            <w:right w:val="none" w:sz="0" w:space="0" w:color="auto"/>
          </w:divBdr>
        </w:div>
        <w:div w:id="1531793667">
          <w:marLeft w:val="640"/>
          <w:marRight w:val="0"/>
          <w:marTop w:val="0"/>
          <w:marBottom w:val="0"/>
          <w:divBdr>
            <w:top w:val="none" w:sz="0" w:space="0" w:color="auto"/>
            <w:left w:val="none" w:sz="0" w:space="0" w:color="auto"/>
            <w:bottom w:val="none" w:sz="0" w:space="0" w:color="auto"/>
            <w:right w:val="none" w:sz="0" w:space="0" w:color="auto"/>
          </w:divBdr>
        </w:div>
        <w:div w:id="1613705636">
          <w:marLeft w:val="640"/>
          <w:marRight w:val="0"/>
          <w:marTop w:val="0"/>
          <w:marBottom w:val="0"/>
          <w:divBdr>
            <w:top w:val="none" w:sz="0" w:space="0" w:color="auto"/>
            <w:left w:val="none" w:sz="0" w:space="0" w:color="auto"/>
            <w:bottom w:val="none" w:sz="0" w:space="0" w:color="auto"/>
            <w:right w:val="none" w:sz="0" w:space="0" w:color="auto"/>
          </w:divBdr>
        </w:div>
        <w:div w:id="1626619239">
          <w:marLeft w:val="640"/>
          <w:marRight w:val="0"/>
          <w:marTop w:val="0"/>
          <w:marBottom w:val="0"/>
          <w:divBdr>
            <w:top w:val="none" w:sz="0" w:space="0" w:color="auto"/>
            <w:left w:val="none" w:sz="0" w:space="0" w:color="auto"/>
            <w:bottom w:val="none" w:sz="0" w:space="0" w:color="auto"/>
            <w:right w:val="none" w:sz="0" w:space="0" w:color="auto"/>
          </w:divBdr>
        </w:div>
        <w:div w:id="1629048954">
          <w:marLeft w:val="640"/>
          <w:marRight w:val="0"/>
          <w:marTop w:val="0"/>
          <w:marBottom w:val="0"/>
          <w:divBdr>
            <w:top w:val="none" w:sz="0" w:space="0" w:color="auto"/>
            <w:left w:val="none" w:sz="0" w:space="0" w:color="auto"/>
            <w:bottom w:val="none" w:sz="0" w:space="0" w:color="auto"/>
            <w:right w:val="none" w:sz="0" w:space="0" w:color="auto"/>
          </w:divBdr>
        </w:div>
        <w:div w:id="1644699432">
          <w:marLeft w:val="640"/>
          <w:marRight w:val="0"/>
          <w:marTop w:val="0"/>
          <w:marBottom w:val="0"/>
          <w:divBdr>
            <w:top w:val="none" w:sz="0" w:space="0" w:color="auto"/>
            <w:left w:val="none" w:sz="0" w:space="0" w:color="auto"/>
            <w:bottom w:val="none" w:sz="0" w:space="0" w:color="auto"/>
            <w:right w:val="none" w:sz="0" w:space="0" w:color="auto"/>
          </w:divBdr>
        </w:div>
        <w:div w:id="1664964918">
          <w:marLeft w:val="640"/>
          <w:marRight w:val="0"/>
          <w:marTop w:val="0"/>
          <w:marBottom w:val="0"/>
          <w:divBdr>
            <w:top w:val="none" w:sz="0" w:space="0" w:color="auto"/>
            <w:left w:val="none" w:sz="0" w:space="0" w:color="auto"/>
            <w:bottom w:val="none" w:sz="0" w:space="0" w:color="auto"/>
            <w:right w:val="none" w:sz="0" w:space="0" w:color="auto"/>
          </w:divBdr>
        </w:div>
        <w:div w:id="1682047498">
          <w:marLeft w:val="640"/>
          <w:marRight w:val="0"/>
          <w:marTop w:val="0"/>
          <w:marBottom w:val="0"/>
          <w:divBdr>
            <w:top w:val="none" w:sz="0" w:space="0" w:color="auto"/>
            <w:left w:val="none" w:sz="0" w:space="0" w:color="auto"/>
            <w:bottom w:val="none" w:sz="0" w:space="0" w:color="auto"/>
            <w:right w:val="none" w:sz="0" w:space="0" w:color="auto"/>
          </w:divBdr>
        </w:div>
        <w:div w:id="1695501999">
          <w:marLeft w:val="640"/>
          <w:marRight w:val="0"/>
          <w:marTop w:val="0"/>
          <w:marBottom w:val="0"/>
          <w:divBdr>
            <w:top w:val="none" w:sz="0" w:space="0" w:color="auto"/>
            <w:left w:val="none" w:sz="0" w:space="0" w:color="auto"/>
            <w:bottom w:val="none" w:sz="0" w:space="0" w:color="auto"/>
            <w:right w:val="none" w:sz="0" w:space="0" w:color="auto"/>
          </w:divBdr>
        </w:div>
        <w:div w:id="1711030006">
          <w:marLeft w:val="640"/>
          <w:marRight w:val="0"/>
          <w:marTop w:val="0"/>
          <w:marBottom w:val="0"/>
          <w:divBdr>
            <w:top w:val="none" w:sz="0" w:space="0" w:color="auto"/>
            <w:left w:val="none" w:sz="0" w:space="0" w:color="auto"/>
            <w:bottom w:val="none" w:sz="0" w:space="0" w:color="auto"/>
            <w:right w:val="none" w:sz="0" w:space="0" w:color="auto"/>
          </w:divBdr>
        </w:div>
        <w:div w:id="1727679820">
          <w:marLeft w:val="640"/>
          <w:marRight w:val="0"/>
          <w:marTop w:val="0"/>
          <w:marBottom w:val="0"/>
          <w:divBdr>
            <w:top w:val="none" w:sz="0" w:space="0" w:color="auto"/>
            <w:left w:val="none" w:sz="0" w:space="0" w:color="auto"/>
            <w:bottom w:val="none" w:sz="0" w:space="0" w:color="auto"/>
            <w:right w:val="none" w:sz="0" w:space="0" w:color="auto"/>
          </w:divBdr>
        </w:div>
        <w:div w:id="1821921075">
          <w:marLeft w:val="640"/>
          <w:marRight w:val="0"/>
          <w:marTop w:val="0"/>
          <w:marBottom w:val="0"/>
          <w:divBdr>
            <w:top w:val="none" w:sz="0" w:space="0" w:color="auto"/>
            <w:left w:val="none" w:sz="0" w:space="0" w:color="auto"/>
            <w:bottom w:val="none" w:sz="0" w:space="0" w:color="auto"/>
            <w:right w:val="none" w:sz="0" w:space="0" w:color="auto"/>
          </w:divBdr>
        </w:div>
        <w:div w:id="1832402346">
          <w:marLeft w:val="640"/>
          <w:marRight w:val="0"/>
          <w:marTop w:val="0"/>
          <w:marBottom w:val="0"/>
          <w:divBdr>
            <w:top w:val="none" w:sz="0" w:space="0" w:color="auto"/>
            <w:left w:val="none" w:sz="0" w:space="0" w:color="auto"/>
            <w:bottom w:val="none" w:sz="0" w:space="0" w:color="auto"/>
            <w:right w:val="none" w:sz="0" w:space="0" w:color="auto"/>
          </w:divBdr>
        </w:div>
        <w:div w:id="1842429895">
          <w:marLeft w:val="640"/>
          <w:marRight w:val="0"/>
          <w:marTop w:val="0"/>
          <w:marBottom w:val="0"/>
          <w:divBdr>
            <w:top w:val="none" w:sz="0" w:space="0" w:color="auto"/>
            <w:left w:val="none" w:sz="0" w:space="0" w:color="auto"/>
            <w:bottom w:val="none" w:sz="0" w:space="0" w:color="auto"/>
            <w:right w:val="none" w:sz="0" w:space="0" w:color="auto"/>
          </w:divBdr>
        </w:div>
        <w:div w:id="1861161144">
          <w:marLeft w:val="640"/>
          <w:marRight w:val="0"/>
          <w:marTop w:val="0"/>
          <w:marBottom w:val="0"/>
          <w:divBdr>
            <w:top w:val="none" w:sz="0" w:space="0" w:color="auto"/>
            <w:left w:val="none" w:sz="0" w:space="0" w:color="auto"/>
            <w:bottom w:val="none" w:sz="0" w:space="0" w:color="auto"/>
            <w:right w:val="none" w:sz="0" w:space="0" w:color="auto"/>
          </w:divBdr>
        </w:div>
        <w:div w:id="1865749043">
          <w:marLeft w:val="640"/>
          <w:marRight w:val="0"/>
          <w:marTop w:val="0"/>
          <w:marBottom w:val="0"/>
          <w:divBdr>
            <w:top w:val="none" w:sz="0" w:space="0" w:color="auto"/>
            <w:left w:val="none" w:sz="0" w:space="0" w:color="auto"/>
            <w:bottom w:val="none" w:sz="0" w:space="0" w:color="auto"/>
            <w:right w:val="none" w:sz="0" w:space="0" w:color="auto"/>
          </w:divBdr>
        </w:div>
        <w:div w:id="1878007306">
          <w:marLeft w:val="640"/>
          <w:marRight w:val="0"/>
          <w:marTop w:val="0"/>
          <w:marBottom w:val="0"/>
          <w:divBdr>
            <w:top w:val="none" w:sz="0" w:space="0" w:color="auto"/>
            <w:left w:val="none" w:sz="0" w:space="0" w:color="auto"/>
            <w:bottom w:val="none" w:sz="0" w:space="0" w:color="auto"/>
            <w:right w:val="none" w:sz="0" w:space="0" w:color="auto"/>
          </w:divBdr>
        </w:div>
        <w:div w:id="1881550293">
          <w:marLeft w:val="640"/>
          <w:marRight w:val="0"/>
          <w:marTop w:val="0"/>
          <w:marBottom w:val="0"/>
          <w:divBdr>
            <w:top w:val="none" w:sz="0" w:space="0" w:color="auto"/>
            <w:left w:val="none" w:sz="0" w:space="0" w:color="auto"/>
            <w:bottom w:val="none" w:sz="0" w:space="0" w:color="auto"/>
            <w:right w:val="none" w:sz="0" w:space="0" w:color="auto"/>
          </w:divBdr>
        </w:div>
        <w:div w:id="1897473275">
          <w:marLeft w:val="640"/>
          <w:marRight w:val="0"/>
          <w:marTop w:val="0"/>
          <w:marBottom w:val="0"/>
          <w:divBdr>
            <w:top w:val="none" w:sz="0" w:space="0" w:color="auto"/>
            <w:left w:val="none" w:sz="0" w:space="0" w:color="auto"/>
            <w:bottom w:val="none" w:sz="0" w:space="0" w:color="auto"/>
            <w:right w:val="none" w:sz="0" w:space="0" w:color="auto"/>
          </w:divBdr>
        </w:div>
        <w:div w:id="1943996934">
          <w:marLeft w:val="640"/>
          <w:marRight w:val="0"/>
          <w:marTop w:val="0"/>
          <w:marBottom w:val="0"/>
          <w:divBdr>
            <w:top w:val="none" w:sz="0" w:space="0" w:color="auto"/>
            <w:left w:val="none" w:sz="0" w:space="0" w:color="auto"/>
            <w:bottom w:val="none" w:sz="0" w:space="0" w:color="auto"/>
            <w:right w:val="none" w:sz="0" w:space="0" w:color="auto"/>
          </w:divBdr>
        </w:div>
        <w:div w:id="1944609296">
          <w:marLeft w:val="640"/>
          <w:marRight w:val="0"/>
          <w:marTop w:val="0"/>
          <w:marBottom w:val="0"/>
          <w:divBdr>
            <w:top w:val="none" w:sz="0" w:space="0" w:color="auto"/>
            <w:left w:val="none" w:sz="0" w:space="0" w:color="auto"/>
            <w:bottom w:val="none" w:sz="0" w:space="0" w:color="auto"/>
            <w:right w:val="none" w:sz="0" w:space="0" w:color="auto"/>
          </w:divBdr>
        </w:div>
        <w:div w:id="1944875437">
          <w:marLeft w:val="640"/>
          <w:marRight w:val="0"/>
          <w:marTop w:val="0"/>
          <w:marBottom w:val="0"/>
          <w:divBdr>
            <w:top w:val="none" w:sz="0" w:space="0" w:color="auto"/>
            <w:left w:val="none" w:sz="0" w:space="0" w:color="auto"/>
            <w:bottom w:val="none" w:sz="0" w:space="0" w:color="auto"/>
            <w:right w:val="none" w:sz="0" w:space="0" w:color="auto"/>
          </w:divBdr>
        </w:div>
        <w:div w:id="1985501223">
          <w:marLeft w:val="640"/>
          <w:marRight w:val="0"/>
          <w:marTop w:val="0"/>
          <w:marBottom w:val="0"/>
          <w:divBdr>
            <w:top w:val="none" w:sz="0" w:space="0" w:color="auto"/>
            <w:left w:val="none" w:sz="0" w:space="0" w:color="auto"/>
            <w:bottom w:val="none" w:sz="0" w:space="0" w:color="auto"/>
            <w:right w:val="none" w:sz="0" w:space="0" w:color="auto"/>
          </w:divBdr>
        </w:div>
        <w:div w:id="1995405997">
          <w:marLeft w:val="640"/>
          <w:marRight w:val="0"/>
          <w:marTop w:val="0"/>
          <w:marBottom w:val="0"/>
          <w:divBdr>
            <w:top w:val="none" w:sz="0" w:space="0" w:color="auto"/>
            <w:left w:val="none" w:sz="0" w:space="0" w:color="auto"/>
            <w:bottom w:val="none" w:sz="0" w:space="0" w:color="auto"/>
            <w:right w:val="none" w:sz="0" w:space="0" w:color="auto"/>
          </w:divBdr>
        </w:div>
        <w:div w:id="2035419830">
          <w:marLeft w:val="640"/>
          <w:marRight w:val="0"/>
          <w:marTop w:val="0"/>
          <w:marBottom w:val="0"/>
          <w:divBdr>
            <w:top w:val="none" w:sz="0" w:space="0" w:color="auto"/>
            <w:left w:val="none" w:sz="0" w:space="0" w:color="auto"/>
            <w:bottom w:val="none" w:sz="0" w:space="0" w:color="auto"/>
            <w:right w:val="none" w:sz="0" w:space="0" w:color="auto"/>
          </w:divBdr>
        </w:div>
        <w:div w:id="2054192346">
          <w:marLeft w:val="640"/>
          <w:marRight w:val="0"/>
          <w:marTop w:val="0"/>
          <w:marBottom w:val="0"/>
          <w:divBdr>
            <w:top w:val="none" w:sz="0" w:space="0" w:color="auto"/>
            <w:left w:val="none" w:sz="0" w:space="0" w:color="auto"/>
            <w:bottom w:val="none" w:sz="0" w:space="0" w:color="auto"/>
            <w:right w:val="none" w:sz="0" w:space="0" w:color="auto"/>
          </w:divBdr>
        </w:div>
        <w:div w:id="2076200141">
          <w:marLeft w:val="640"/>
          <w:marRight w:val="0"/>
          <w:marTop w:val="0"/>
          <w:marBottom w:val="0"/>
          <w:divBdr>
            <w:top w:val="none" w:sz="0" w:space="0" w:color="auto"/>
            <w:left w:val="none" w:sz="0" w:space="0" w:color="auto"/>
            <w:bottom w:val="none" w:sz="0" w:space="0" w:color="auto"/>
            <w:right w:val="none" w:sz="0" w:space="0" w:color="auto"/>
          </w:divBdr>
        </w:div>
        <w:div w:id="2077893331">
          <w:marLeft w:val="640"/>
          <w:marRight w:val="0"/>
          <w:marTop w:val="0"/>
          <w:marBottom w:val="0"/>
          <w:divBdr>
            <w:top w:val="none" w:sz="0" w:space="0" w:color="auto"/>
            <w:left w:val="none" w:sz="0" w:space="0" w:color="auto"/>
            <w:bottom w:val="none" w:sz="0" w:space="0" w:color="auto"/>
            <w:right w:val="none" w:sz="0" w:space="0" w:color="auto"/>
          </w:divBdr>
        </w:div>
        <w:div w:id="2110854635">
          <w:marLeft w:val="640"/>
          <w:marRight w:val="0"/>
          <w:marTop w:val="0"/>
          <w:marBottom w:val="0"/>
          <w:divBdr>
            <w:top w:val="none" w:sz="0" w:space="0" w:color="auto"/>
            <w:left w:val="none" w:sz="0" w:space="0" w:color="auto"/>
            <w:bottom w:val="none" w:sz="0" w:space="0" w:color="auto"/>
            <w:right w:val="none" w:sz="0" w:space="0" w:color="auto"/>
          </w:divBdr>
        </w:div>
        <w:div w:id="2131582471">
          <w:marLeft w:val="640"/>
          <w:marRight w:val="0"/>
          <w:marTop w:val="0"/>
          <w:marBottom w:val="0"/>
          <w:divBdr>
            <w:top w:val="none" w:sz="0" w:space="0" w:color="auto"/>
            <w:left w:val="none" w:sz="0" w:space="0" w:color="auto"/>
            <w:bottom w:val="none" w:sz="0" w:space="0" w:color="auto"/>
            <w:right w:val="none" w:sz="0" w:space="0" w:color="auto"/>
          </w:divBdr>
        </w:div>
        <w:div w:id="2137216315">
          <w:marLeft w:val="640"/>
          <w:marRight w:val="0"/>
          <w:marTop w:val="0"/>
          <w:marBottom w:val="0"/>
          <w:divBdr>
            <w:top w:val="none" w:sz="0" w:space="0" w:color="auto"/>
            <w:left w:val="none" w:sz="0" w:space="0" w:color="auto"/>
            <w:bottom w:val="none" w:sz="0" w:space="0" w:color="auto"/>
            <w:right w:val="none" w:sz="0" w:space="0" w:color="auto"/>
          </w:divBdr>
        </w:div>
        <w:div w:id="2147358933">
          <w:marLeft w:val="640"/>
          <w:marRight w:val="0"/>
          <w:marTop w:val="0"/>
          <w:marBottom w:val="0"/>
          <w:divBdr>
            <w:top w:val="none" w:sz="0" w:space="0" w:color="auto"/>
            <w:left w:val="none" w:sz="0" w:space="0" w:color="auto"/>
            <w:bottom w:val="none" w:sz="0" w:space="0" w:color="auto"/>
            <w:right w:val="none" w:sz="0" w:space="0" w:color="auto"/>
          </w:divBdr>
        </w:div>
      </w:divsChild>
    </w:div>
    <w:div w:id="1872189014">
      <w:bodyDiv w:val="1"/>
      <w:marLeft w:val="0"/>
      <w:marRight w:val="0"/>
      <w:marTop w:val="0"/>
      <w:marBottom w:val="0"/>
      <w:divBdr>
        <w:top w:val="none" w:sz="0" w:space="0" w:color="auto"/>
        <w:left w:val="none" w:sz="0" w:space="0" w:color="auto"/>
        <w:bottom w:val="none" w:sz="0" w:space="0" w:color="auto"/>
        <w:right w:val="none" w:sz="0" w:space="0" w:color="auto"/>
      </w:divBdr>
      <w:divsChild>
        <w:div w:id="2014721457">
          <w:marLeft w:val="480"/>
          <w:marRight w:val="0"/>
          <w:marTop w:val="0"/>
          <w:marBottom w:val="0"/>
          <w:divBdr>
            <w:top w:val="none" w:sz="0" w:space="0" w:color="auto"/>
            <w:left w:val="none" w:sz="0" w:space="0" w:color="auto"/>
            <w:bottom w:val="none" w:sz="0" w:space="0" w:color="auto"/>
            <w:right w:val="none" w:sz="0" w:space="0" w:color="auto"/>
          </w:divBdr>
        </w:div>
        <w:div w:id="1365902704">
          <w:marLeft w:val="480"/>
          <w:marRight w:val="0"/>
          <w:marTop w:val="0"/>
          <w:marBottom w:val="0"/>
          <w:divBdr>
            <w:top w:val="none" w:sz="0" w:space="0" w:color="auto"/>
            <w:left w:val="none" w:sz="0" w:space="0" w:color="auto"/>
            <w:bottom w:val="none" w:sz="0" w:space="0" w:color="auto"/>
            <w:right w:val="none" w:sz="0" w:space="0" w:color="auto"/>
          </w:divBdr>
        </w:div>
        <w:div w:id="768501029">
          <w:marLeft w:val="480"/>
          <w:marRight w:val="0"/>
          <w:marTop w:val="0"/>
          <w:marBottom w:val="0"/>
          <w:divBdr>
            <w:top w:val="none" w:sz="0" w:space="0" w:color="auto"/>
            <w:left w:val="none" w:sz="0" w:space="0" w:color="auto"/>
            <w:bottom w:val="none" w:sz="0" w:space="0" w:color="auto"/>
            <w:right w:val="none" w:sz="0" w:space="0" w:color="auto"/>
          </w:divBdr>
        </w:div>
        <w:div w:id="1907447034">
          <w:marLeft w:val="480"/>
          <w:marRight w:val="0"/>
          <w:marTop w:val="0"/>
          <w:marBottom w:val="0"/>
          <w:divBdr>
            <w:top w:val="none" w:sz="0" w:space="0" w:color="auto"/>
            <w:left w:val="none" w:sz="0" w:space="0" w:color="auto"/>
            <w:bottom w:val="none" w:sz="0" w:space="0" w:color="auto"/>
            <w:right w:val="none" w:sz="0" w:space="0" w:color="auto"/>
          </w:divBdr>
        </w:div>
        <w:div w:id="768812702">
          <w:marLeft w:val="480"/>
          <w:marRight w:val="0"/>
          <w:marTop w:val="0"/>
          <w:marBottom w:val="0"/>
          <w:divBdr>
            <w:top w:val="none" w:sz="0" w:space="0" w:color="auto"/>
            <w:left w:val="none" w:sz="0" w:space="0" w:color="auto"/>
            <w:bottom w:val="none" w:sz="0" w:space="0" w:color="auto"/>
            <w:right w:val="none" w:sz="0" w:space="0" w:color="auto"/>
          </w:divBdr>
        </w:div>
        <w:div w:id="2146700558">
          <w:marLeft w:val="480"/>
          <w:marRight w:val="0"/>
          <w:marTop w:val="0"/>
          <w:marBottom w:val="0"/>
          <w:divBdr>
            <w:top w:val="none" w:sz="0" w:space="0" w:color="auto"/>
            <w:left w:val="none" w:sz="0" w:space="0" w:color="auto"/>
            <w:bottom w:val="none" w:sz="0" w:space="0" w:color="auto"/>
            <w:right w:val="none" w:sz="0" w:space="0" w:color="auto"/>
          </w:divBdr>
        </w:div>
      </w:divsChild>
    </w:div>
    <w:div w:id="1891528068">
      <w:bodyDiv w:val="1"/>
      <w:marLeft w:val="0"/>
      <w:marRight w:val="0"/>
      <w:marTop w:val="0"/>
      <w:marBottom w:val="0"/>
      <w:divBdr>
        <w:top w:val="none" w:sz="0" w:space="0" w:color="auto"/>
        <w:left w:val="none" w:sz="0" w:space="0" w:color="auto"/>
        <w:bottom w:val="none" w:sz="0" w:space="0" w:color="auto"/>
        <w:right w:val="none" w:sz="0" w:space="0" w:color="auto"/>
      </w:divBdr>
      <w:divsChild>
        <w:div w:id="493183953">
          <w:marLeft w:val="0"/>
          <w:marRight w:val="0"/>
          <w:marTop w:val="0"/>
          <w:marBottom w:val="0"/>
          <w:divBdr>
            <w:top w:val="none" w:sz="0" w:space="0" w:color="auto"/>
            <w:left w:val="none" w:sz="0" w:space="0" w:color="auto"/>
            <w:bottom w:val="none" w:sz="0" w:space="0" w:color="auto"/>
            <w:right w:val="none" w:sz="0" w:space="0" w:color="auto"/>
          </w:divBdr>
          <w:divsChild>
            <w:div w:id="2045518634">
              <w:marLeft w:val="0"/>
              <w:marRight w:val="0"/>
              <w:marTop w:val="0"/>
              <w:marBottom w:val="0"/>
              <w:divBdr>
                <w:top w:val="none" w:sz="0" w:space="0" w:color="auto"/>
                <w:left w:val="none" w:sz="0" w:space="0" w:color="auto"/>
                <w:bottom w:val="none" w:sz="0" w:space="0" w:color="auto"/>
                <w:right w:val="none" w:sz="0" w:space="0" w:color="auto"/>
              </w:divBdr>
              <w:divsChild>
                <w:div w:id="1709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5856">
      <w:bodyDiv w:val="1"/>
      <w:marLeft w:val="0"/>
      <w:marRight w:val="0"/>
      <w:marTop w:val="0"/>
      <w:marBottom w:val="0"/>
      <w:divBdr>
        <w:top w:val="none" w:sz="0" w:space="0" w:color="auto"/>
        <w:left w:val="none" w:sz="0" w:space="0" w:color="auto"/>
        <w:bottom w:val="none" w:sz="0" w:space="0" w:color="auto"/>
        <w:right w:val="none" w:sz="0" w:space="0" w:color="auto"/>
      </w:divBdr>
      <w:divsChild>
        <w:div w:id="2090957579">
          <w:marLeft w:val="480"/>
          <w:marRight w:val="0"/>
          <w:marTop w:val="0"/>
          <w:marBottom w:val="0"/>
          <w:divBdr>
            <w:top w:val="none" w:sz="0" w:space="0" w:color="auto"/>
            <w:left w:val="none" w:sz="0" w:space="0" w:color="auto"/>
            <w:bottom w:val="none" w:sz="0" w:space="0" w:color="auto"/>
            <w:right w:val="none" w:sz="0" w:space="0" w:color="auto"/>
          </w:divBdr>
        </w:div>
        <w:div w:id="1890720916">
          <w:marLeft w:val="480"/>
          <w:marRight w:val="0"/>
          <w:marTop w:val="0"/>
          <w:marBottom w:val="0"/>
          <w:divBdr>
            <w:top w:val="none" w:sz="0" w:space="0" w:color="auto"/>
            <w:left w:val="none" w:sz="0" w:space="0" w:color="auto"/>
            <w:bottom w:val="none" w:sz="0" w:space="0" w:color="auto"/>
            <w:right w:val="none" w:sz="0" w:space="0" w:color="auto"/>
          </w:divBdr>
        </w:div>
      </w:divsChild>
    </w:div>
    <w:div w:id="1932230621">
      <w:bodyDiv w:val="1"/>
      <w:marLeft w:val="0"/>
      <w:marRight w:val="0"/>
      <w:marTop w:val="0"/>
      <w:marBottom w:val="0"/>
      <w:divBdr>
        <w:top w:val="none" w:sz="0" w:space="0" w:color="auto"/>
        <w:left w:val="none" w:sz="0" w:space="0" w:color="auto"/>
        <w:bottom w:val="none" w:sz="0" w:space="0" w:color="auto"/>
        <w:right w:val="none" w:sz="0" w:space="0" w:color="auto"/>
      </w:divBdr>
    </w:div>
    <w:div w:id="1942760721">
      <w:bodyDiv w:val="1"/>
      <w:marLeft w:val="0"/>
      <w:marRight w:val="0"/>
      <w:marTop w:val="0"/>
      <w:marBottom w:val="0"/>
      <w:divBdr>
        <w:top w:val="none" w:sz="0" w:space="0" w:color="auto"/>
        <w:left w:val="none" w:sz="0" w:space="0" w:color="auto"/>
        <w:bottom w:val="none" w:sz="0" w:space="0" w:color="auto"/>
        <w:right w:val="none" w:sz="0" w:space="0" w:color="auto"/>
      </w:divBdr>
    </w:div>
    <w:div w:id="2006281154">
      <w:bodyDiv w:val="1"/>
      <w:marLeft w:val="0"/>
      <w:marRight w:val="0"/>
      <w:marTop w:val="0"/>
      <w:marBottom w:val="0"/>
      <w:divBdr>
        <w:top w:val="none" w:sz="0" w:space="0" w:color="auto"/>
        <w:left w:val="none" w:sz="0" w:space="0" w:color="auto"/>
        <w:bottom w:val="none" w:sz="0" w:space="0" w:color="auto"/>
        <w:right w:val="none" w:sz="0" w:space="0" w:color="auto"/>
      </w:divBdr>
    </w:div>
    <w:div w:id="2006975420">
      <w:bodyDiv w:val="1"/>
      <w:marLeft w:val="0"/>
      <w:marRight w:val="0"/>
      <w:marTop w:val="0"/>
      <w:marBottom w:val="0"/>
      <w:divBdr>
        <w:top w:val="none" w:sz="0" w:space="0" w:color="auto"/>
        <w:left w:val="none" w:sz="0" w:space="0" w:color="auto"/>
        <w:bottom w:val="none" w:sz="0" w:space="0" w:color="auto"/>
        <w:right w:val="none" w:sz="0" w:space="0" w:color="auto"/>
      </w:divBdr>
      <w:divsChild>
        <w:div w:id="4094067">
          <w:marLeft w:val="640"/>
          <w:marRight w:val="0"/>
          <w:marTop w:val="0"/>
          <w:marBottom w:val="0"/>
          <w:divBdr>
            <w:top w:val="none" w:sz="0" w:space="0" w:color="auto"/>
            <w:left w:val="none" w:sz="0" w:space="0" w:color="auto"/>
            <w:bottom w:val="none" w:sz="0" w:space="0" w:color="auto"/>
            <w:right w:val="none" w:sz="0" w:space="0" w:color="auto"/>
          </w:divBdr>
        </w:div>
        <w:div w:id="11995515">
          <w:marLeft w:val="640"/>
          <w:marRight w:val="0"/>
          <w:marTop w:val="0"/>
          <w:marBottom w:val="0"/>
          <w:divBdr>
            <w:top w:val="none" w:sz="0" w:space="0" w:color="auto"/>
            <w:left w:val="none" w:sz="0" w:space="0" w:color="auto"/>
            <w:bottom w:val="none" w:sz="0" w:space="0" w:color="auto"/>
            <w:right w:val="none" w:sz="0" w:space="0" w:color="auto"/>
          </w:divBdr>
        </w:div>
        <w:div w:id="17433607">
          <w:marLeft w:val="640"/>
          <w:marRight w:val="0"/>
          <w:marTop w:val="0"/>
          <w:marBottom w:val="0"/>
          <w:divBdr>
            <w:top w:val="none" w:sz="0" w:space="0" w:color="auto"/>
            <w:left w:val="none" w:sz="0" w:space="0" w:color="auto"/>
            <w:bottom w:val="none" w:sz="0" w:space="0" w:color="auto"/>
            <w:right w:val="none" w:sz="0" w:space="0" w:color="auto"/>
          </w:divBdr>
        </w:div>
        <w:div w:id="28067150">
          <w:marLeft w:val="640"/>
          <w:marRight w:val="0"/>
          <w:marTop w:val="0"/>
          <w:marBottom w:val="0"/>
          <w:divBdr>
            <w:top w:val="none" w:sz="0" w:space="0" w:color="auto"/>
            <w:left w:val="none" w:sz="0" w:space="0" w:color="auto"/>
            <w:bottom w:val="none" w:sz="0" w:space="0" w:color="auto"/>
            <w:right w:val="none" w:sz="0" w:space="0" w:color="auto"/>
          </w:divBdr>
        </w:div>
        <w:div w:id="75129615">
          <w:marLeft w:val="640"/>
          <w:marRight w:val="0"/>
          <w:marTop w:val="0"/>
          <w:marBottom w:val="0"/>
          <w:divBdr>
            <w:top w:val="none" w:sz="0" w:space="0" w:color="auto"/>
            <w:left w:val="none" w:sz="0" w:space="0" w:color="auto"/>
            <w:bottom w:val="none" w:sz="0" w:space="0" w:color="auto"/>
            <w:right w:val="none" w:sz="0" w:space="0" w:color="auto"/>
          </w:divBdr>
        </w:div>
        <w:div w:id="75398443">
          <w:marLeft w:val="640"/>
          <w:marRight w:val="0"/>
          <w:marTop w:val="0"/>
          <w:marBottom w:val="0"/>
          <w:divBdr>
            <w:top w:val="none" w:sz="0" w:space="0" w:color="auto"/>
            <w:left w:val="none" w:sz="0" w:space="0" w:color="auto"/>
            <w:bottom w:val="none" w:sz="0" w:space="0" w:color="auto"/>
            <w:right w:val="none" w:sz="0" w:space="0" w:color="auto"/>
          </w:divBdr>
        </w:div>
        <w:div w:id="119539282">
          <w:marLeft w:val="640"/>
          <w:marRight w:val="0"/>
          <w:marTop w:val="0"/>
          <w:marBottom w:val="0"/>
          <w:divBdr>
            <w:top w:val="none" w:sz="0" w:space="0" w:color="auto"/>
            <w:left w:val="none" w:sz="0" w:space="0" w:color="auto"/>
            <w:bottom w:val="none" w:sz="0" w:space="0" w:color="auto"/>
            <w:right w:val="none" w:sz="0" w:space="0" w:color="auto"/>
          </w:divBdr>
        </w:div>
        <w:div w:id="164249120">
          <w:marLeft w:val="640"/>
          <w:marRight w:val="0"/>
          <w:marTop w:val="0"/>
          <w:marBottom w:val="0"/>
          <w:divBdr>
            <w:top w:val="none" w:sz="0" w:space="0" w:color="auto"/>
            <w:left w:val="none" w:sz="0" w:space="0" w:color="auto"/>
            <w:bottom w:val="none" w:sz="0" w:space="0" w:color="auto"/>
            <w:right w:val="none" w:sz="0" w:space="0" w:color="auto"/>
          </w:divBdr>
        </w:div>
        <w:div w:id="250165889">
          <w:marLeft w:val="640"/>
          <w:marRight w:val="0"/>
          <w:marTop w:val="0"/>
          <w:marBottom w:val="0"/>
          <w:divBdr>
            <w:top w:val="none" w:sz="0" w:space="0" w:color="auto"/>
            <w:left w:val="none" w:sz="0" w:space="0" w:color="auto"/>
            <w:bottom w:val="none" w:sz="0" w:space="0" w:color="auto"/>
            <w:right w:val="none" w:sz="0" w:space="0" w:color="auto"/>
          </w:divBdr>
        </w:div>
        <w:div w:id="263612628">
          <w:marLeft w:val="640"/>
          <w:marRight w:val="0"/>
          <w:marTop w:val="0"/>
          <w:marBottom w:val="0"/>
          <w:divBdr>
            <w:top w:val="none" w:sz="0" w:space="0" w:color="auto"/>
            <w:left w:val="none" w:sz="0" w:space="0" w:color="auto"/>
            <w:bottom w:val="none" w:sz="0" w:space="0" w:color="auto"/>
            <w:right w:val="none" w:sz="0" w:space="0" w:color="auto"/>
          </w:divBdr>
        </w:div>
        <w:div w:id="285161193">
          <w:marLeft w:val="640"/>
          <w:marRight w:val="0"/>
          <w:marTop w:val="0"/>
          <w:marBottom w:val="0"/>
          <w:divBdr>
            <w:top w:val="none" w:sz="0" w:space="0" w:color="auto"/>
            <w:left w:val="none" w:sz="0" w:space="0" w:color="auto"/>
            <w:bottom w:val="none" w:sz="0" w:space="0" w:color="auto"/>
            <w:right w:val="none" w:sz="0" w:space="0" w:color="auto"/>
          </w:divBdr>
        </w:div>
        <w:div w:id="319577530">
          <w:marLeft w:val="640"/>
          <w:marRight w:val="0"/>
          <w:marTop w:val="0"/>
          <w:marBottom w:val="0"/>
          <w:divBdr>
            <w:top w:val="none" w:sz="0" w:space="0" w:color="auto"/>
            <w:left w:val="none" w:sz="0" w:space="0" w:color="auto"/>
            <w:bottom w:val="none" w:sz="0" w:space="0" w:color="auto"/>
            <w:right w:val="none" w:sz="0" w:space="0" w:color="auto"/>
          </w:divBdr>
        </w:div>
        <w:div w:id="331958823">
          <w:marLeft w:val="640"/>
          <w:marRight w:val="0"/>
          <w:marTop w:val="0"/>
          <w:marBottom w:val="0"/>
          <w:divBdr>
            <w:top w:val="none" w:sz="0" w:space="0" w:color="auto"/>
            <w:left w:val="none" w:sz="0" w:space="0" w:color="auto"/>
            <w:bottom w:val="none" w:sz="0" w:space="0" w:color="auto"/>
            <w:right w:val="none" w:sz="0" w:space="0" w:color="auto"/>
          </w:divBdr>
        </w:div>
        <w:div w:id="345638124">
          <w:marLeft w:val="640"/>
          <w:marRight w:val="0"/>
          <w:marTop w:val="0"/>
          <w:marBottom w:val="0"/>
          <w:divBdr>
            <w:top w:val="none" w:sz="0" w:space="0" w:color="auto"/>
            <w:left w:val="none" w:sz="0" w:space="0" w:color="auto"/>
            <w:bottom w:val="none" w:sz="0" w:space="0" w:color="auto"/>
            <w:right w:val="none" w:sz="0" w:space="0" w:color="auto"/>
          </w:divBdr>
        </w:div>
        <w:div w:id="436871942">
          <w:marLeft w:val="640"/>
          <w:marRight w:val="0"/>
          <w:marTop w:val="0"/>
          <w:marBottom w:val="0"/>
          <w:divBdr>
            <w:top w:val="none" w:sz="0" w:space="0" w:color="auto"/>
            <w:left w:val="none" w:sz="0" w:space="0" w:color="auto"/>
            <w:bottom w:val="none" w:sz="0" w:space="0" w:color="auto"/>
            <w:right w:val="none" w:sz="0" w:space="0" w:color="auto"/>
          </w:divBdr>
        </w:div>
        <w:div w:id="494344608">
          <w:marLeft w:val="640"/>
          <w:marRight w:val="0"/>
          <w:marTop w:val="0"/>
          <w:marBottom w:val="0"/>
          <w:divBdr>
            <w:top w:val="none" w:sz="0" w:space="0" w:color="auto"/>
            <w:left w:val="none" w:sz="0" w:space="0" w:color="auto"/>
            <w:bottom w:val="none" w:sz="0" w:space="0" w:color="auto"/>
            <w:right w:val="none" w:sz="0" w:space="0" w:color="auto"/>
          </w:divBdr>
        </w:div>
        <w:div w:id="520435345">
          <w:marLeft w:val="640"/>
          <w:marRight w:val="0"/>
          <w:marTop w:val="0"/>
          <w:marBottom w:val="0"/>
          <w:divBdr>
            <w:top w:val="none" w:sz="0" w:space="0" w:color="auto"/>
            <w:left w:val="none" w:sz="0" w:space="0" w:color="auto"/>
            <w:bottom w:val="none" w:sz="0" w:space="0" w:color="auto"/>
            <w:right w:val="none" w:sz="0" w:space="0" w:color="auto"/>
          </w:divBdr>
        </w:div>
        <w:div w:id="531303604">
          <w:marLeft w:val="640"/>
          <w:marRight w:val="0"/>
          <w:marTop w:val="0"/>
          <w:marBottom w:val="0"/>
          <w:divBdr>
            <w:top w:val="none" w:sz="0" w:space="0" w:color="auto"/>
            <w:left w:val="none" w:sz="0" w:space="0" w:color="auto"/>
            <w:bottom w:val="none" w:sz="0" w:space="0" w:color="auto"/>
            <w:right w:val="none" w:sz="0" w:space="0" w:color="auto"/>
          </w:divBdr>
        </w:div>
        <w:div w:id="578054947">
          <w:marLeft w:val="640"/>
          <w:marRight w:val="0"/>
          <w:marTop w:val="0"/>
          <w:marBottom w:val="0"/>
          <w:divBdr>
            <w:top w:val="none" w:sz="0" w:space="0" w:color="auto"/>
            <w:left w:val="none" w:sz="0" w:space="0" w:color="auto"/>
            <w:bottom w:val="none" w:sz="0" w:space="0" w:color="auto"/>
            <w:right w:val="none" w:sz="0" w:space="0" w:color="auto"/>
          </w:divBdr>
        </w:div>
        <w:div w:id="603919439">
          <w:marLeft w:val="640"/>
          <w:marRight w:val="0"/>
          <w:marTop w:val="0"/>
          <w:marBottom w:val="0"/>
          <w:divBdr>
            <w:top w:val="none" w:sz="0" w:space="0" w:color="auto"/>
            <w:left w:val="none" w:sz="0" w:space="0" w:color="auto"/>
            <w:bottom w:val="none" w:sz="0" w:space="0" w:color="auto"/>
            <w:right w:val="none" w:sz="0" w:space="0" w:color="auto"/>
          </w:divBdr>
        </w:div>
        <w:div w:id="611665354">
          <w:marLeft w:val="640"/>
          <w:marRight w:val="0"/>
          <w:marTop w:val="0"/>
          <w:marBottom w:val="0"/>
          <w:divBdr>
            <w:top w:val="none" w:sz="0" w:space="0" w:color="auto"/>
            <w:left w:val="none" w:sz="0" w:space="0" w:color="auto"/>
            <w:bottom w:val="none" w:sz="0" w:space="0" w:color="auto"/>
            <w:right w:val="none" w:sz="0" w:space="0" w:color="auto"/>
          </w:divBdr>
        </w:div>
        <w:div w:id="644507476">
          <w:marLeft w:val="640"/>
          <w:marRight w:val="0"/>
          <w:marTop w:val="0"/>
          <w:marBottom w:val="0"/>
          <w:divBdr>
            <w:top w:val="none" w:sz="0" w:space="0" w:color="auto"/>
            <w:left w:val="none" w:sz="0" w:space="0" w:color="auto"/>
            <w:bottom w:val="none" w:sz="0" w:space="0" w:color="auto"/>
            <w:right w:val="none" w:sz="0" w:space="0" w:color="auto"/>
          </w:divBdr>
        </w:div>
        <w:div w:id="649098296">
          <w:marLeft w:val="640"/>
          <w:marRight w:val="0"/>
          <w:marTop w:val="0"/>
          <w:marBottom w:val="0"/>
          <w:divBdr>
            <w:top w:val="none" w:sz="0" w:space="0" w:color="auto"/>
            <w:left w:val="none" w:sz="0" w:space="0" w:color="auto"/>
            <w:bottom w:val="none" w:sz="0" w:space="0" w:color="auto"/>
            <w:right w:val="none" w:sz="0" w:space="0" w:color="auto"/>
          </w:divBdr>
        </w:div>
        <w:div w:id="724334591">
          <w:marLeft w:val="640"/>
          <w:marRight w:val="0"/>
          <w:marTop w:val="0"/>
          <w:marBottom w:val="0"/>
          <w:divBdr>
            <w:top w:val="none" w:sz="0" w:space="0" w:color="auto"/>
            <w:left w:val="none" w:sz="0" w:space="0" w:color="auto"/>
            <w:bottom w:val="none" w:sz="0" w:space="0" w:color="auto"/>
            <w:right w:val="none" w:sz="0" w:space="0" w:color="auto"/>
          </w:divBdr>
        </w:div>
        <w:div w:id="724572133">
          <w:marLeft w:val="640"/>
          <w:marRight w:val="0"/>
          <w:marTop w:val="0"/>
          <w:marBottom w:val="0"/>
          <w:divBdr>
            <w:top w:val="none" w:sz="0" w:space="0" w:color="auto"/>
            <w:left w:val="none" w:sz="0" w:space="0" w:color="auto"/>
            <w:bottom w:val="none" w:sz="0" w:space="0" w:color="auto"/>
            <w:right w:val="none" w:sz="0" w:space="0" w:color="auto"/>
          </w:divBdr>
        </w:div>
        <w:div w:id="764573678">
          <w:marLeft w:val="640"/>
          <w:marRight w:val="0"/>
          <w:marTop w:val="0"/>
          <w:marBottom w:val="0"/>
          <w:divBdr>
            <w:top w:val="none" w:sz="0" w:space="0" w:color="auto"/>
            <w:left w:val="none" w:sz="0" w:space="0" w:color="auto"/>
            <w:bottom w:val="none" w:sz="0" w:space="0" w:color="auto"/>
            <w:right w:val="none" w:sz="0" w:space="0" w:color="auto"/>
          </w:divBdr>
        </w:div>
        <w:div w:id="784807027">
          <w:marLeft w:val="640"/>
          <w:marRight w:val="0"/>
          <w:marTop w:val="0"/>
          <w:marBottom w:val="0"/>
          <w:divBdr>
            <w:top w:val="none" w:sz="0" w:space="0" w:color="auto"/>
            <w:left w:val="none" w:sz="0" w:space="0" w:color="auto"/>
            <w:bottom w:val="none" w:sz="0" w:space="0" w:color="auto"/>
            <w:right w:val="none" w:sz="0" w:space="0" w:color="auto"/>
          </w:divBdr>
        </w:div>
        <w:div w:id="815727957">
          <w:marLeft w:val="640"/>
          <w:marRight w:val="0"/>
          <w:marTop w:val="0"/>
          <w:marBottom w:val="0"/>
          <w:divBdr>
            <w:top w:val="none" w:sz="0" w:space="0" w:color="auto"/>
            <w:left w:val="none" w:sz="0" w:space="0" w:color="auto"/>
            <w:bottom w:val="none" w:sz="0" w:space="0" w:color="auto"/>
            <w:right w:val="none" w:sz="0" w:space="0" w:color="auto"/>
          </w:divBdr>
        </w:div>
        <w:div w:id="819350021">
          <w:marLeft w:val="640"/>
          <w:marRight w:val="0"/>
          <w:marTop w:val="0"/>
          <w:marBottom w:val="0"/>
          <w:divBdr>
            <w:top w:val="none" w:sz="0" w:space="0" w:color="auto"/>
            <w:left w:val="none" w:sz="0" w:space="0" w:color="auto"/>
            <w:bottom w:val="none" w:sz="0" w:space="0" w:color="auto"/>
            <w:right w:val="none" w:sz="0" w:space="0" w:color="auto"/>
          </w:divBdr>
        </w:div>
        <w:div w:id="835730702">
          <w:marLeft w:val="640"/>
          <w:marRight w:val="0"/>
          <w:marTop w:val="0"/>
          <w:marBottom w:val="0"/>
          <w:divBdr>
            <w:top w:val="none" w:sz="0" w:space="0" w:color="auto"/>
            <w:left w:val="none" w:sz="0" w:space="0" w:color="auto"/>
            <w:bottom w:val="none" w:sz="0" w:space="0" w:color="auto"/>
            <w:right w:val="none" w:sz="0" w:space="0" w:color="auto"/>
          </w:divBdr>
        </w:div>
        <w:div w:id="868758539">
          <w:marLeft w:val="640"/>
          <w:marRight w:val="0"/>
          <w:marTop w:val="0"/>
          <w:marBottom w:val="0"/>
          <w:divBdr>
            <w:top w:val="none" w:sz="0" w:space="0" w:color="auto"/>
            <w:left w:val="none" w:sz="0" w:space="0" w:color="auto"/>
            <w:bottom w:val="none" w:sz="0" w:space="0" w:color="auto"/>
            <w:right w:val="none" w:sz="0" w:space="0" w:color="auto"/>
          </w:divBdr>
        </w:div>
        <w:div w:id="901060012">
          <w:marLeft w:val="640"/>
          <w:marRight w:val="0"/>
          <w:marTop w:val="0"/>
          <w:marBottom w:val="0"/>
          <w:divBdr>
            <w:top w:val="none" w:sz="0" w:space="0" w:color="auto"/>
            <w:left w:val="none" w:sz="0" w:space="0" w:color="auto"/>
            <w:bottom w:val="none" w:sz="0" w:space="0" w:color="auto"/>
            <w:right w:val="none" w:sz="0" w:space="0" w:color="auto"/>
          </w:divBdr>
        </w:div>
        <w:div w:id="943264374">
          <w:marLeft w:val="640"/>
          <w:marRight w:val="0"/>
          <w:marTop w:val="0"/>
          <w:marBottom w:val="0"/>
          <w:divBdr>
            <w:top w:val="none" w:sz="0" w:space="0" w:color="auto"/>
            <w:left w:val="none" w:sz="0" w:space="0" w:color="auto"/>
            <w:bottom w:val="none" w:sz="0" w:space="0" w:color="auto"/>
            <w:right w:val="none" w:sz="0" w:space="0" w:color="auto"/>
          </w:divBdr>
        </w:div>
        <w:div w:id="953366956">
          <w:marLeft w:val="640"/>
          <w:marRight w:val="0"/>
          <w:marTop w:val="0"/>
          <w:marBottom w:val="0"/>
          <w:divBdr>
            <w:top w:val="none" w:sz="0" w:space="0" w:color="auto"/>
            <w:left w:val="none" w:sz="0" w:space="0" w:color="auto"/>
            <w:bottom w:val="none" w:sz="0" w:space="0" w:color="auto"/>
            <w:right w:val="none" w:sz="0" w:space="0" w:color="auto"/>
          </w:divBdr>
        </w:div>
        <w:div w:id="979573590">
          <w:marLeft w:val="640"/>
          <w:marRight w:val="0"/>
          <w:marTop w:val="0"/>
          <w:marBottom w:val="0"/>
          <w:divBdr>
            <w:top w:val="none" w:sz="0" w:space="0" w:color="auto"/>
            <w:left w:val="none" w:sz="0" w:space="0" w:color="auto"/>
            <w:bottom w:val="none" w:sz="0" w:space="0" w:color="auto"/>
            <w:right w:val="none" w:sz="0" w:space="0" w:color="auto"/>
          </w:divBdr>
        </w:div>
        <w:div w:id="1005127681">
          <w:marLeft w:val="640"/>
          <w:marRight w:val="0"/>
          <w:marTop w:val="0"/>
          <w:marBottom w:val="0"/>
          <w:divBdr>
            <w:top w:val="none" w:sz="0" w:space="0" w:color="auto"/>
            <w:left w:val="none" w:sz="0" w:space="0" w:color="auto"/>
            <w:bottom w:val="none" w:sz="0" w:space="0" w:color="auto"/>
            <w:right w:val="none" w:sz="0" w:space="0" w:color="auto"/>
          </w:divBdr>
        </w:div>
        <w:div w:id="1037510013">
          <w:marLeft w:val="640"/>
          <w:marRight w:val="0"/>
          <w:marTop w:val="0"/>
          <w:marBottom w:val="0"/>
          <w:divBdr>
            <w:top w:val="none" w:sz="0" w:space="0" w:color="auto"/>
            <w:left w:val="none" w:sz="0" w:space="0" w:color="auto"/>
            <w:bottom w:val="none" w:sz="0" w:space="0" w:color="auto"/>
            <w:right w:val="none" w:sz="0" w:space="0" w:color="auto"/>
          </w:divBdr>
        </w:div>
        <w:div w:id="1042288589">
          <w:marLeft w:val="640"/>
          <w:marRight w:val="0"/>
          <w:marTop w:val="0"/>
          <w:marBottom w:val="0"/>
          <w:divBdr>
            <w:top w:val="none" w:sz="0" w:space="0" w:color="auto"/>
            <w:left w:val="none" w:sz="0" w:space="0" w:color="auto"/>
            <w:bottom w:val="none" w:sz="0" w:space="0" w:color="auto"/>
            <w:right w:val="none" w:sz="0" w:space="0" w:color="auto"/>
          </w:divBdr>
        </w:div>
        <w:div w:id="1058632541">
          <w:marLeft w:val="640"/>
          <w:marRight w:val="0"/>
          <w:marTop w:val="0"/>
          <w:marBottom w:val="0"/>
          <w:divBdr>
            <w:top w:val="none" w:sz="0" w:space="0" w:color="auto"/>
            <w:left w:val="none" w:sz="0" w:space="0" w:color="auto"/>
            <w:bottom w:val="none" w:sz="0" w:space="0" w:color="auto"/>
            <w:right w:val="none" w:sz="0" w:space="0" w:color="auto"/>
          </w:divBdr>
        </w:div>
        <w:div w:id="1081373194">
          <w:marLeft w:val="640"/>
          <w:marRight w:val="0"/>
          <w:marTop w:val="0"/>
          <w:marBottom w:val="0"/>
          <w:divBdr>
            <w:top w:val="none" w:sz="0" w:space="0" w:color="auto"/>
            <w:left w:val="none" w:sz="0" w:space="0" w:color="auto"/>
            <w:bottom w:val="none" w:sz="0" w:space="0" w:color="auto"/>
            <w:right w:val="none" w:sz="0" w:space="0" w:color="auto"/>
          </w:divBdr>
        </w:div>
        <w:div w:id="1149056853">
          <w:marLeft w:val="640"/>
          <w:marRight w:val="0"/>
          <w:marTop w:val="0"/>
          <w:marBottom w:val="0"/>
          <w:divBdr>
            <w:top w:val="none" w:sz="0" w:space="0" w:color="auto"/>
            <w:left w:val="none" w:sz="0" w:space="0" w:color="auto"/>
            <w:bottom w:val="none" w:sz="0" w:space="0" w:color="auto"/>
            <w:right w:val="none" w:sz="0" w:space="0" w:color="auto"/>
          </w:divBdr>
        </w:div>
        <w:div w:id="1211459886">
          <w:marLeft w:val="640"/>
          <w:marRight w:val="0"/>
          <w:marTop w:val="0"/>
          <w:marBottom w:val="0"/>
          <w:divBdr>
            <w:top w:val="none" w:sz="0" w:space="0" w:color="auto"/>
            <w:left w:val="none" w:sz="0" w:space="0" w:color="auto"/>
            <w:bottom w:val="none" w:sz="0" w:space="0" w:color="auto"/>
            <w:right w:val="none" w:sz="0" w:space="0" w:color="auto"/>
          </w:divBdr>
        </w:div>
        <w:div w:id="1237932163">
          <w:marLeft w:val="640"/>
          <w:marRight w:val="0"/>
          <w:marTop w:val="0"/>
          <w:marBottom w:val="0"/>
          <w:divBdr>
            <w:top w:val="none" w:sz="0" w:space="0" w:color="auto"/>
            <w:left w:val="none" w:sz="0" w:space="0" w:color="auto"/>
            <w:bottom w:val="none" w:sz="0" w:space="0" w:color="auto"/>
            <w:right w:val="none" w:sz="0" w:space="0" w:color="auto"/>
          </w:divBdr>
        </w:div>
        <w:div w:id="1255628156">
          <w:marLeft w:val="640"/>
          <w:marRight w:val="0"/>
          <w:marTop w:val="0"/>
          <w:marBottom w:val="0"/>
          <w:divBdr>
            <w:top w:val="none" w:sz="0" w:space="0" w:color="auto"/>
            <w:left w:val="none" w:sz="0" w:space="0" w:color="auto"/>
            <w:bottom w:val="none" w:sz="0" w:space="0" w:color="auto"/>
            <w:right w:val="none" w:sz="0" w:space="0" w:color="auto"/>
          </w:divBdr>
        </w:div>
        <w:div w:id="1261641568">
          <w:marLeft w:val="640"/>
          <w:marRight w:val="0"/>
          <w:marTop w:val="0"/>
          <w:marBottom w:val="0"/>
          <w:divBdr>
            <w:top w:val="none" w:sz="0" w:space="0" w:color="auto"/>
            <w:left w:val="none" w:sz="0" w:space="0" w:color="auto"/>
            <w:bottom w:val="none" w:sz="0" w:space="0" w:color="auto"/>
            <w:right w:val="none" w:sz="0" w:space="0" w:color="auto"/>
          </w:divBdr>
        </w:div>
        <w:div w:id="1291596734">
          <w:marLeft w:val="640"/>
          <w:marRight w:val="0"/>
          <w:marTop w:val="0"/>
          <w:marBottom w:val="0"/>
          <w:divBdr>
            <w:top w:val="none" w:sz="0" w:space="0" w:color="auto"/>
            <w:left w:val="none" w:sz="0" w:space="0" w:color="auto"/>
            <w:bottom w:val="none" w:sz="0" w:space="0" w:color="auto"/>
            <w:right w:val="none" w:sz="0" w:space="0" w:color="auto"/>
          </w:divBdr>
        </w:div>
        <w:div w:id="1328247390">
          <w:marLeft w:val="640"/>
          <w:marRight w:val="0"/>
          <w:marTop w:val="0"/>
          <w:marBottom w:val="0"/>
          <w:divBdr>
            <w:top w:val="none" w:sz="0" w:space="0" w:color="auto"/>
            <w:left w:val="none" w:sz="0" w:space="0" w:color="auto"/>
            <w:bottom w:val="none" w:sz="0" w:space="0" w:color="auto"/>
            <w:right w:val="none" w:sz="0" w:space="0" w:color="auto"/>
          </w:divBdr>
        </w:div>
        <w:div w:id="1438793772">
          <w:marLeft w:val="640"/>
          <w:marRight w:val="0"/>
          <w:marTop w:val="0"/>
          <w:marBottom w:val="0"/>
          <w:divBdr>
            <w:top w:val="none" w:sz="0" w:space="0" w:color="auto"/>
            <w:left w:val="none" w:sz="0" w:space="0" w:color="auto"/>
            <w:bottom w:val="none" w:sz="0" w:space="0" w:color="auto"/>
            <w:right w:val="none" w:sz="0" w:space="0" w:color="auto"/>
          </w:divBdr>
        </w:div>
        <w:div w:id="1485076903">
          <w:marLeft w:val="640"/>
          <w:marRight w:val="0"/>
          <w:marTop w:val="0"/>
          <w:marBottom w:val="0"/>
          <w:divBdr>
            <w:top w:val="none" w:sz="0" w:space="0" w:color="auto"/>
            <w:left w:val="none" w:sz="0" w:space="0" w:color="auto"/>
            <w:bottom w:val="none" w:sz="0" w:space="0" w:color="auto"/>
            <w:right w:val="none" w:sz="0" w:space="0" w:color="auto"/>
          </w:divBdr>
        </w:div>
        <w:div w:id="1536691890">
          <w:marLeft w:val="640"/>
          <w:marRight w:val="0"/>
          <w:marTop w:val="0"/>
          <w:marBottom w:val="0"/>
          <w:divBdr>
            <w:top w:val="none" w:sz="0" w:space="0" w:color="auto"/>
            <w:left w:val="none" w:sz="0" w:space="0" w:color="auto"/>
            <w:bottom w:val="none" w:sz="0" w:space="0" w:color="auto"/>
            <w:right w:val="none" w:sz="0" w:space="0" w:color="auto"/>
          </w:divBdr>
        </w:div>
        <w:div w:id="1549029629">
          <w:marLeft w:val="640"/>
          <w:marRight w:val="0"/>
          <w:marTop w:val="0"/>
          <w:marBottom w:val="0"/>
          <w:divBdr>
            <w:top w:val="none" w:sz="0" w:space="0" w:color="auto"/>
            <w:left w:val="none" w:sz="0" w:space="0" w:color="auto"/>
            <w:bottom w:val="none" w:sz="0" w:space="0" w:color="auto"/>
            <w:right w:val="none" w:sz="0" w:space="0" w:color="auto"/>
          </w:divBdr>
        </w:div>
        <w:div w:id="1594823254">
          <w:marLeft w:val="640"/>
          <w:marRight w:val="0"/>
          <w:marTop w:val="0"/>
          <w:marBottom w:val="0"/>
          <w:divBdr>
            <w:top w:val="none" w:sz="0" w:space="0" w:color="auto"/>
            <w:left w:val="none" w:sz="0" w:space="0" w:color="auto"/>
            <w:bottom w:val="none" w:sz="0" w:space="0" w:color="auto"/>
            <w:right w:val="none" w:sz="0" w:space="0" w:color="auto"/>
          </w:divBdr>
        </w:div>
        <w:div w:id="1620067349">
          <w:marLeft w:val="640"/>
          <w:marRight w:val="0"/>
          <w:marTop w:val="0"/>
          <w:marBottom w:val="0"/>
          <w:divBdr>
            <w:top w:val="none" w:sz="0" w:space="0" w:color="auto"/>
            <w:left w:val="none" w:sz="0" w:space="0" w:color="auto"/>
            <w:bottom w:val="none" w:sz="0" w:space="0" w:color="auto"/>
            <w:right w:val="none" w:sz="0" w:space="0" w:color="auto"/>
          </w:divBdr>
        </w:div>
        <w:div w:id="1643189744">
          <w:marLeft w:val="640"/>
          <w:marRight w:val="0"/>
          <w:marTop w:val="0"/>
          <w:marBottom w:val="0"/>
          <w:divBdr>
            <w:top w:val="none" w:sz="0" w:space="0" w:color="auto"/>
            <w:left w:val="none" w:sz="0" w:space="0" w:color="auto"/>
            <w:bottom w:val="none" w:sz="0" w:space="0" w:color="auto"/>
            <w:right w:val="none" w:sz="0" w:space="0" w:color="auto"/>
          </w:divBdr>
        </w:div>
        <w:div w:id="1650360197">
          <w:marLeft w:val="640"/>
          <w:marRight w:val="0"/>
          <w:marTop w:val="0"/>
          <w:marBottom w:val="0"/>
          <w:divBdr>
            <w:top w:val="none" w:sz="0" w:space="0" w:color="auto"/>
            <w:left w:val="none" w:sz="0" w:space="0" w:color="auto"/>
            <w:bottom w:val="none" w:sz="0" w:space="0" w:color="auto"/>
            <w:right w:val="none" w:sz="0" w:space="0" w:color="auto"/>
          </w:divBdr>
        </w:div>
        <w:div w:id="1679967031">
          <w:marLeft w:val="640"/>
          <w:marRight w:val="0"/>
          <w:marTop w:val="0"/>
          <w:marBottom w:val="0"/>
          <w:divBdr>
            <w:top w:val="none" w:sz="0" w:space="0" w:color="auto"/>
            <w:left w:val="none" w:sz="0" w:space="0" w:color="auto"/>
            <w:bottom w:val="none" w:sz="0" w:space="0" w:color="auto"/>
            <w:right w:val="none" w:sz="0" w:space="0" w:color="auto"/>
          </w:divBdr>
        </w:div>
        <w:div w:id="1808860897">
          <w:marLeft w:val="640"/>
          <w:marRight w:val="0"/>
          <w:marTop w:val="0"/>
          <w:marBottom w:val="0"/>
          <w:divBdr>
            <w:top w:val="none" w:sz="0" w:space="0" w:color="auto"/>
            <w:left w:val="none" w:sz="0" w:space="0" w:color="auto"/>
            <w:bottom w:val="none" w:sz="0" w:space="0" w:color="auto"/>
            <w:right w:val="none" w:sz="0" w:space="0" w:color="auto"/>
          </w:divBdr>
        </w:div>
        <w:div w:id="1809780702">
          <w:marLeft w:val="640"/>
          <w:marRight w:val="0"/>
          <w:marTop w:val="0"/>
          <w:marBottom w:val="0"/>
          <w:divBdr>
            <w:top w:val="none" w:sz="0" w:space="0" w:color="auto"/>
            <w:left w:val="none" w:sz="0" w:space="0" w:color="auto"/>
            <w:bottom w:val="none" w:sz="0" w:space="0" w:color="auto"/>
            <w:right w:val="none" w:sz="0" w:space="0" w:color="auto"/>
          </w:divBdr>
        </w:div>
        <w:div w:id="1812402966">
          <w:marLeft w:val="640"/>
          <w:marRight w:val="0"/>
          <w:marTop w:val="0"/>
          <w:marBottom w:val="0"/>
          <w:divBdr>
            <w:top w:val="none" w:sz="0" w:space="0" w:color="auto"/>
            <w:left w:val="none" w:sz="0" w:space="0" w:color="auto"/>
            <w:bottom w:val="none" w:sz="0" w:space="0" w:color="auto"/>
            <w:right w:val="none" w:sz="0" w:space="0" w:color="auto"/>
          </w:divBdr>
        </w:div>
        <w:div w:id="1822499276">
          <w:marLeft w:val="640"/>
          <w:marRight w:val="0"/>
          <w:marTop w:val="0"/>
          <w:marBottom w:val="0"/>
          <w:divBdr>
            <w:top w:val="none" w:sz="0" w:space="0" w:color="auto"/>
            <w:left w:val="none" w:sz="0" w:space="0" w:color="auto"/>
            <w:bottom w:val="none" w:sz="0" w:space="0" w:color="auto"/>
            <w:right w:val="none" w:sz="0" w:space="0" w:color="auto"/>
          </w:divBdr>
        </w:div>
        <w:div w:id="1843424527">
          <w:marLeft w:val="640"/>
          <w:marRight w:val="0"/>
          <w:marTop w:val="0"/>
          <w:marBottom w:val="0"/>
          <w:divBdr>
            <w:top w:val="none" w:sz="0" w:space="0" w:color="auto"/>
            <w:left w:val="none" w:sz="0" w:space="0" w:color="auto"/>
            <w:bottom w:val="none" w:sz="0" w:space="0" w:color="auto"/>
            <w:right w:val="none" w:sz="0" w:space="0" w:color="auto"/>
          </w:divBdr>
        </w:div>
        <w:div w:id="1867790183">
          <w:marLeft w:val="640"/>
          <w:marRight w:val="0"/>
          <w:marTop w:val="0"/>
          <w:marBottom w:val="0"/>
          <w:divBdr>
            <w:top w:val="none" w:sz="0" w:space="0" w:color="auto"/>
            <w:left w:val="none" w:sz="0" w:space="0" w:color="auto"/>
            <w:bottom w:val="none" w:sz="0" w:space="0" w:color="auto"/>
            <w:right w:val="none" w:sz="0" w:space="0" w:color="auto"/>
          </w:divBdr>
        </w:div>
        <w:div w:id="1872110409">
          <w:marLeft w:val="640"/>
          <w:marRight w:val="0"/>
          <w:marTop w:val="0"/>
          <w:marBottom w:val="0"/>
          <w:divBdr>
            <w:top w:val="none" w:sz="0" w:space="0" w:color="auto"/>
            <w:left w:val="none" w:sz="0" w:space="0" w:color="auto"/>
            <w:bottom w:val="none" w:sz="0" w:space="0" w:color="auto"/>
            <w:right w:val="none" w:sz="0" w:space="0" w:color="auto"/>
          </w:divBdr>
        </w:div>
        <w:div w:id="1909150231">
          <w:marLeft w:val="640"/>
          <w:marRight w:val="0"/>
          <w:marTop w:val="0"/>
          <w:marBottom w:val="0"/>
          <w:divBdr>
            <w:top w:val="none" w:sz="0" w:space="0" w:color="auto"/>
            <w:left w:val="none" w:sz="0" w:space="0" w:color="auto"/>
            <w:bottom w:val="none" w:sz="0" w:space="0" w:color="auto"/>
            <w:right w:val="none" w:sz="0" w:space="0" w:color="auto"/>
          </w:divBdr>
        </w:div>
        <w:div w:id="1965773478">
          <w:marLeft w:val="640"/>
          <w:marRight w:val="0"/>
          <w:marTop w:val="0"/>
          <w:marBottom w:val="0"/>
          <w:divBdr>
            <w:top w:val="none" w:sz="0" w:space="0" w:color="auto"/>
            <w:left w:val="none" w:sz="0" w:space="0" w:color="auto"/>
            <w:bottom w:val="none" w:sz="0" w:space="0" w:color="auto"/>
            <w:right w:val="none" w:sz="0" w:space="0" w:color="auto"/>
          </w:divBdr>
        </w:div>
        <w:div w:id="2015304833">
          <w:marLeft w:val="640"/>
          <w:marRight w:val="0"/>
          <w:marTop w:val="0"/>
          <w:marBottom w:val="0"/>
          <w:divBdr>
            <w:top w:val="none" w:sz="0" w:space="0" w:color="auto"/>
            <w:left w:val="none" w:sz="0" w:space="0" w:color="auto"/>
            <w:bottom w:val="none" w:sz="0" w:space="0" w:color="auto"/>
            <w:right w:val="none" w:sz="0" w:space="0" w:color="auto"/>
          </w:divBdr>
        </w:div>
        <w:div w:id="2065710482">
          <w:marLeft w:val="640"/>
          <w:marRight w:val="0"/>
          <w:marTop w:val="0"/>
          <w:marBottom w:val="0"/>
          <w:divBdr>
            <w:top w:val="none" w:sz="0" w:space="0" w:color="auto"/>
            <w:left w:val="none" w:sz="0" w:space="0" w:color="auto"/>
            <w:bottom w:val="none" w:sz="0" w:space="0" w:color="auto"/>
            <w:right w:val="none" w:sz="0" w:space="0" w:color="auto"/>
          </w:divBdr>
        </w:div>
        <w:div w:id="2066223925">
          <w:marLeft w:val="640"/>
          <w:marRight w:val="0"/>
          <w:marTop w:val="0"/>
          <w:marBottom w:val="0"/>
          <w:divBdr>
            <w:top w:val="none" w:sz="0" w:space="0" w:color="auto"/>
            <w:left w:val="none" w:sz="0" w:space="0" w:color="auto"/>
            <w:bottom w:val="none" w:sz="0" w:space="0" w:color="auto"/>
            <w:right w:val="none" w:sz="0" w:space="0" w:color="auto"/>
          </w:divBdr>
        </w:div>
        <w:div w:id="2081973858">
          <w:marLeft w:val="640"/>
          <w:marRight w:val="0"/>
          <w:marTop w:val="0"/>
          <w:marBottom w:val="0"/>
          <w:divBdr>
            <w:top w:val="none" w:sz="0" w:space="0" w:color="auto"/>
            <w:left w:val="none" w:sz="0" w:space="0" w:color="auto"/>
            <w:bottom w:val="none" w:sz="0" w:space="0" w:color="auto"/>
            <w:right w:val="none" w:sz="0" w:space="0" w:color="auto"/>
          </w:divBdr>
        </w:div>
      </w:divsChild>
    </w:div>
    <w:div w:id="2009097664">
      <w:bodyDiv w:val="1"/>
      <w:marLeft w:val="0"/>
      <w:marRight w:val="0"/>
      <w:marTop w:val="0"/>
      <w:marBottom w:val="0"/>
      <w:divBdr>
        <w:top w:val="none" w:sz="0" w:space="0" w:color="auto"/>
        <w:left w:val="none" w:sz="0" w:space="0" w:color="auto"/>
        <w:bottom w:val="none" w:sz="0" w:space="0" w:color="auto"/>
        <w:right w:val="none" w:sz="0" w:space="0" w:color="auto"/>
      </w:divBdr>
      <w:divsChild>
        <w:div w:id="2054309000">
          <w:marLeft w:val="480"/>
          <w:marRight w:val="0"/>
          <w:marTop w:val="0"/>
          <w:marBottom w:val="0"/>
          <w:divBdr>
            <w:top w:val="none" w:sz="0" w:space="0" w:color="auto"/>
            <w:left w:val="none" w:sz="0" w:space="0" w:color="auto"/>
            <w:bottom w:val="none" w:sz="0" w:space="0" w:color="auto"/>
            <w:right w:val="none" w:sz="0" w:space="0" w:color="auto"/>
          </w:divBdr>
        </w:div>
        <w:div w:id="922376338">
          <w:marLeft w:val="480"/>
          <w:marRight w:val="0"/>
          <w:marTop w:val="0"/>
          <w:marBottom w:val="0"/>
          <w:divBdr>
            <w:top w:val="none" w:sz="0" w:space="0" w:color="auto"/>
            <w:left w:val="none" w:sz="0" w:space="0" w:color="auto"/>
            <w:bottom w:val="none" w:sz="0" w:space="0" w:color="auto"/>
            <w:right w:val="none" w:sz="0" w:space="0" w:color="auto"/>
          </w:divBdr>
        </w:div>
      </w:divsChild>
    </w:div>
    <w:div w:id="2022197844">
      <w:bodyDiv w:val="1"/>
      <w:marLeft w:val="0"/>
      <w:marRight w:val="0"/>
      <w:marTop w:val="0"/>
      <w:marBottom w:val="0"/>
      <w:divBdr>
        <w:top w:val="none" w:sz="0" w:space="0" w:color="auto"/>
        <w:left w:val="none" w:sz="0" w:space="0" w:color="auto"/>
        <w:bottom w:val="none" w:sz="0" w:space="0" w:color="auto"/>
        <w:right w:val="none" w:sz="0" w:space="0" w:color="auto"/>
      </w:divBdr>
      <w:divsChild>
        <w:div w:id="336003889">
          <w:marLeft w:val="640"/>
          <w:marRight w:val="0"/>
          <w:marTop w:val="0"/>
          <w:marBottom w:val="0"/>
          <w:divBdr>
            <w:top w:val="none" w:sz="0" w:space="0" w:color="auto"/>
            <w:left w:val="none" w:sz="0" w:space="0" w:color="auto"/>
            <w:bottom w:val="none" w:sz="0" w:space="0" w:color="auto"/>
            <w:right w:val="none" w:sz="0" w:space="0" w:color="auto"/>
          </w:divBdr>
        </w:div>
      </w:divsChild>
    </w:div>
    <w:div w:id="2030059221">
      <w:bodyDiv w:val="1"/>
      <w:marLeft w:val="0"/>
      <w:marRight w:val="0"/>
      <w:marTop w:val="0"/>
      <w:marBottom w:val="0"/>
      <w:divBdr>
        <w:top w:val="none" w:sz="0" w:space="0" w:color="auto"/>
        <w:left w:val="none" w:sz="0" w:space="0" w:color="auto"/>
        <w:bottom w:val="none" w:sz="0" w:space="0" w:color="auto"/>
        <w:right w:val="none" w:sz="0" w:space="0" w:color="auto"/>
      </w:divBdr>
      <w:divsChild>
        <w:div w:id="2084596433">
          <w:marLeft w:val="480"/>
          <w:marRight w:val="0"/>
          <w:marTop w:val="0"/>
          <w:marBottom w:val="0"/>
          <w:divBdr>
            <w:top w:val="none" w:sz="0" w:space="0" w:color="auto"/>
            <w:left w:val="none" w:sz="0" w:space="0" w:color="auto"/>
            <w:bottom w:val="none" w:sz="0" w:space="0" w:color="auto"/>
            <w:right w:val="none" w:sz="0" w:space="0" w:color="auto"/>
          </w:divBdr>
        </w:div>
      </w:divsChild>
    </w:div>
    <w:div w:id="2061467441">
      <w:bodyDiv w:val="1"/>
      <w:marLeft w:val="0"/>
      <w:marRight w:val="0"/>
      <w:marTop w:val="0"/>
      <w:marBottom w:val="0"/>
      <w:divBdr>
        <w:top w:val="none" w:sz="0" w:space="0" w:color="auto"/>
        <w:left w:val="none" w:sz="0" w:space="0" w:color="auto"/>
        <w:bottom w:val="none" w:sz="0" w:space="0" w:color="auto"/>
        <w:right w:val="none" w:sz="0" w:space="0" w:color="auto"/>
      </w:divBdr>
    </w:div>
    <w:div w:id="2079472449">
      <w:bodyDiv w:val="1"/>
      <w:marLeft w:val="0"/>
      <w:marRight w:val="0"/>
      <w:marTop w:val="0"/>
      <w:marBottom w:val="0"/>
      <w:divBdr>
        <w:top w:val="none" w:sz="0" w:space="0" w:color="auto"/>
        <w:left w:val="none" w:sz="0" w:space="0" w:color="auto"/>
        <w:bottom w:val="none" w:sz="0" w:space="0" w:color="auto"/>
        <w:right w:val="none" w:sz="0" w:space="0" w:color="auto"/>
      </w:divBdr>
      <w:divsChild>
        <w:div w:id="403186583">
          <w:marLeft w:val="480"/>
          <w:marRight w:val="0"/>
          <w:marTop w:val="0"/>
          <w:marBottom w:val="0"/>
          <w:divBdr>
            <w:top w:val="none" w:sz="0" w:space="0" w:color="auto"/>
            <w:left w:val="none" w:sz="0" w:space="0" w:color="auto"/>
            <w:bottom w:val="none" w:sz="0" w:space="0" w:color="auto"/>
            <w:right w:val="none" w:sz="0" w:space="0" w:color="auto"/>
          </w:divBdr>
        </w:div>
      </w:divsChild>
    </w:div>
    <w:div w:id="2111002455">
      <w:bodyDiv w:val="1"/>
      <w:marLeft w:val="0"/>
      <w:marRight w:val="0"/>
      <w:marTop w:val="0"/>
      <w:marBottom w:val="0"/>
      <w:divBdr>
        <w:top w:val="none" w:sz="0" w:space="0" w:color="auto"/>
        <w:left w:val="none" w:sz="0" w:space="0" w:color="auto"/>
        <w:bottom w:val="none" w:sz="0" w:space="0" w:color="auto"/>
        <w:right w:val="none" w:sz="0" w:space="0" w:color="auto"/>
      </w:divBdr>
    </w:div>
    <w:div w:id="2113012873">
      <w:bodyDiv w:val="1"/>
      <w:marLeft w:val="0"/>
      <w:marRight w:val="0"/>
      <w:marTop w:val="0"/>
      <w:marBottom w:val="0"/>
      <w:divBdr>
        <w:top w:val="none" w:sz="0" w:space="0" w:color="auto"/>
        <w:left w:val="none" w:sz="0" w:space="0" w:color="auto"/>
        <w:bottom w:val="none" w:sz="0" w:space="0" w:color="auto"/>
        <w:right w:val="none" w:sz="0" w:space="0" w:color="auto"/>
      </w:divBdr>
      <w:divsChild>
        <w:div w:id="398945951">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85945FA-20E9-4FBE-9DE3-DA0A0549F2FC}"/>
      </w:docPartPr>
      <w:docPartBody>
        <w:p w:rsidR="00B116A6" w:rsidRDefault="000F522C">
          <w:r w:rsidRPr="00231A87">
            <w:rPr>
              <w:rStyle w:val="PlaceholderText"/>
            </w:rPr>
            <w:t>Click or tap here to enter text.</w:t>
          </w:r>
        </w:p>
      </w:docPartBody>
    </w:docPart>
    <w:docPart>
      <w:docPartPr>
        <w:name w:val="37586E67482846BC93F7481F0C2C03C0"/>
        <w:category>
          <w:name w:val="General"/>
          <w:gallery w:val="placeholder"/>
        </w:category>
        <w:types>
          <w:type w:val="bbPlcHdr"/>
        </w:types>
        <w:behaviors>
          <w:behavior w:val="content"/>
        </w:behaviors>
        <w:guid w:val="{EAB2A3C2-505E-488D-A4A7-86F7DD8C1E31}"/>
      </w:docPartPr>
      <w:docPartBody>
        <w:p w:rsidR="00383D4B" w:rsidRDefault="005D4380" w:rsidP="005D4380">
          <w:pPr>
            <w:pStyle w:val="37586E67482846BC93F7481F0C2C03C0"/>
          </w:pPr>
          <w:r w:rsidRPr="00231A87">
            <w:rPr>
              <w:rStyle w:val="PlaceholderText"/>
            </w:rPr>
            <w:t>Click or tap here to enter text.</w:t>
          </w:r>
        </w:p>
      </w:docPartBody>
    </w:docPart>
    <w:docPart>
      <w:docPartPr>
        <w:name w:val="326A8A1E2BF342DBA9AB465C1F704BAB"/>
        <w:category>
          <w:name w:val="General"/>
          <w:gallery w:val="placeholder"/>
        </w:category>
        <w:types>
          <w:type w:val="bbPlcHdr"/>
        </w:types>
        <w:behaviors>
          <w:behavior w:val="content"/>
        </w:behaviors>
        <w:guid w:val="{D4FE9A0D-0AE2-4716-AD72-7F7A4ED71ECE}"/>
      </w:docPartPr>
      <w:docPartBody>
        <w:p w:rsidR="00383D4B" w:rsidRDefault="005D4380" w:rsidP="005D4380">
          <w:pPr>
            <w:pStyle w:val="326A8A1E2BF342DBA9AB465C1F704BAB"/>
          </w:pPr>
          <w:r w:rsidRPr="00231A87">
            <w:rPr>
              <w:rStyle w:val="PlaceholderText"/>
            </w:rPr>
            <w:t>Click or tap here to enter text.</w:t>
          </w:r>
        </w:p>
      </w:docPartBody>
    </w:docPart>
    <w:docPart>
      <w:docPartPr>
        <w:name w:val="F84B07E0110242FE8B55AE8419E33521"/>
        <w:category>
          <w:name w:val="General"/>
          <w:gallery w:val="placeholder"/>
        </w:category>
        <w:types>
          <w:type w:val="bbPlcHdr"/>
        </w:types>
        <w:behaviors>
          <w:behavior w:val="content"/>
        </w:behaviors>
        <w:guid w:val="{5B36EBF8-2E0D-458A-A53E-420F79939FD7}"/>
      </w:docPartPr>
      <w:docPartBody>
        <w:p w:rsidR="00383D4B" w:rsidRDefault="005D4380" w:rsidP="005D4380">
          <w:pPr>
            <w:pStyle w:val="F84B07E0110242FE8B55AE8419E33521"/>
          </w:pPr>
          <w:r w:rsidRPr="00231A87">
            <w:rPr>
              <w:rStyle w:val="PlaceholderText"/>
            </w:rPr>
            <w:t>Click or tap here to enter text.</w:t>
          </w:r>
        </w:p>
      </w:docPartBody>
    </w:docPart>
    <w:docPart>
      <w:docPartPr>
        <w:name w:val="593A0D719EB8447B8F12FF8BAA59C1F3"/>
        <w:category>
          <w:name w:val="General"/>
          <w:gallery w:val="placeholder"/>
        </w:category>
        <w:types>
          <w:type w:val="bbPlcHdr"/>
        </w:types>
        <w:behaviors>
          <w:behavior w:val="content"/>
        </w:behaviors>
        <w:guid w:val="{6DAE1671-CE91-4FD0-BA3A-7041F82535EE}"/>
      </w:docPartPr>
      <w:docPartBody>
        <w:p w:rsidR="00383D4B" w:rsidRDefault="005D4380" w:rsidP="005D4380">
          <w:pPr>
            <w:pStyle w:val="593A0D719EB8447B8F12FF8BAA59C1F3"/>
          </w:pPr>
          <w:r w:rsidRPr="00231A87">
            <w:rPr>
              <w:rStyle w:val="PlaceholderText"/>
            </w:rPr>
            <w:t>Click or tap here to enter text.</w:t>
          </w:r>
        </w:p>
      </w:docPartBody>
    </w:docPart>
    <w:docPart>
      <w:docPartPr>
        <w:name w:val="EA54140177534AF6AA132ABB71B61FBC"/>
        <w:category>
          <w:name w:val="General"/>
          <w:gallery w:val="placeholder"/>
        </w:category>
        <w:types>
          <w:type w:val="bbPlcHdr"/>
        </w:types>
        <w:behaviors>
          <w:behavior w:val="content"/>
        </w:behaviors>
        <w:guid w:val="{9C763FE2-D2FD-4594-95F6-378F9C33CDC6}"/>
      </w:docPartPr>
      <w:docPartBody>
        <w:p w:rsidR="00010409" w:rsidRDefault="00595527" w:rsidP="00595527">
          <w:pPr>
            <w:pStyle w:val="EA54140177534AF6AA132ABB71B61FBC"/>
          </w:pPr>
          <w:r w:rsidRPr="00231A87">
            <w:rPr>
              <w:rStyle w:val="PlaceholderText"/>
            </w:rPr>
            <w:t>Click or tap here to enter text.</w:t>
          </w:r>
        </w:p>
      </w:docPartBody>
    </w:docPart>
    <w:docPart>
      <w:docPartPr>
        <w:name w:val="848449BD512C47E4BC45075696A83BA1"/>
        <w:category>
          <w:name w:val="General"/>
          <w:gallery w:val="placeholder"/>
        </w:category>
        <w:types>
          <w:type w:val="bbPlcHdr"/>
        </w:types>
        <w:behaviors>
          <w:behavior w:val="content"/>
        </w:behaviors>
        <w:guid w:val="{C0F0B285-2D19-4C89-94C0-45417F703C1C}"/>
      </w:docPartPr>
      <w:docPartBody>
        <w:p w:rsidR="00010409" w:rsidRDefault="00595527" w:rsidP="00595527">
          <w:pPr>
            <w:pStyle w:val="848449BD512C47E4BC45075696A83BA1"/>
          </w:pPr>
          <w:r w:rsidRPr="00231A87">
            <w:rPr>
              <w:rStyle w:val="PlaceholderText"/>
            </w:rPr>
            <w:t>Click or tap here to enter text.</w:t>
          </w:r>
        </w:p>
      </w:docPartBody>
    </w:docPart>
    <w:docPart>
      <w:docPartPr>
        <w:name w:val="5098286C7FA045FCAAEC9CDCFA995527"/>
        <w:category>
          <w:name w:val="General"/>
          <w:gallery w:val="placeholder"/>
        </w:category>
        <w:types>
          <w:type w:val="bbPlcHdr"/>
        </w:types>
        <w:behaviors>
          <w:behavior w:val="content"/>
        </w:behaviors>
        <w:guid w:val="{04E83F68-83DC-428C-8C76-0AFB92129A82}"/>
      </w:docPartPr>
      <w:docPartBody>
        <w:p w:rsidR="00010409" w:rsidRDefault="00595527" w:rsidP="00595527">
          <w:pPr>
            <w:pStyle w:val="5098286C7FA045FCAAEC9CDCFA995527"/>
          </w:pPr>
          <w:r w:rsidRPr="00231A87">
            <w:rPr>
              <w:rStyle w:val="PlaceholderText"/>
            </w:rPr>
            <w:t>Click or tap here to enter text.</w:t>
          </w:r>
        </w:p>
      </w:docPartBody>
    </w:docPart>
    <w:docPart>
      <w:docPartPr>
        <w:name w:val="DA40559A341441A0A1E0E4FDD6D8306D"/>
        <w:category>
          <w:name w:val="General"/>
          <w:gallery w:val="placeholder"/>
        </w:category>
        <w:types>
          <w:type w:val="bbPlcHdr"/>
        </w:types>
        <w:behaviors>
          <w:behavior w:val="content"/>
        </w:behaviors>
        <w:guid w:val="{FE8D888C-A901-4D49-9242-62362B74DCA3}"/>
      </w:docPartPr>
      <w:docPartBody>
        <w:p w:rsidR="00010409" w:rsidRDefault="00595527" w:rsidP="00595527">
          <w:pPr>
            <w:pStyle w:val="DA40559A341441A0A1E0E4FDD6D8306D"/>
          </w:pPr>
          <w:r w:rsidRPr="00231A87">
            <w:rPr>
              <w:rStyle w:val="PlaceholderText"/>
            </w:rPr>
            <w:t>Click or tap here to enter text.</w:t>
          </w:r>
        </w:p>
      </w:docPartBody>
    </w:docPart>
    <w:docPart>
      <w:docPartPr>
        <w:name w:val="8D29B17E29FA42668444326CD9825462"/>
        <w:category>
          <w:name w:val="General"/>
          <w:gallery w:val="placeholder"/>
        </w:category>
        <w:types>
          <w:type w:val="bbPlcHdr"/>
        </w:types>
        <w:behaviors>
          <w:behavior w:val="content"/>
        </w:behaviors>
        <w:guid w:val="{6B8EA35D-1F27-44AA-B047-4959834AEE6C}"/>
      </w:docPartPr>
      <w:docPartBody>
        <w:p w:rsidR="00116CCF" w:rsidRDefault="00010409" w:rsidP="00010409">
          <w:pPr>
            <w:pStyle w:val="8D29B17E29FA42668444326CD9825462"/>
          </w:pPr>
          <w:r w:rsidRPr="00231A87">
            <w:rPr>
              <w:rStyle w:val="PlaceholderText"/>
            </w:rPr>
            <w:t>Click or tap here to enter text.</w:t>
          </w:r>
        </w:p>
      </w:docPartBody>
    </w:docPart>
    <w:docPart>
      <w:docPartPr>
        <w:name w:val="2A67E9804710459EB5384A33DB72BE3C"/>
        <w:category>
          <w:name w:val="General"/>
          <w:gallery w:val="placeholder"/>
        </w:category>
        <w:types>
          <w:type w:val="bbPlcHdr"/>
        </w:types>
        <w:behaviors>
          <w:behavior w:val="content"/>
        </w:behaviors>
        <w:guid w:val="{34F8CD41-8D67-4049-AA62-182B6935D4A0}"/>
      </w:docPartPr>
      <w:docPartBody>
        <w:p w:rsidR="00116CCF" w:rsidRDefault="00010409" w:rsidP="00010409">
          <w:pPr>
            <w:pStyle w:val="2A67E9804710459EB5384A33DB72BE3C"/>
          </w:pPr>
          <w:r w:rsidRPr="00231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22C"/>
    <w:rsid w:val="00010409"/>
    <w:rsid w:val="000F0CC8"/>
    <w:rsid w:val="000F522C"/>
    <w:rsid w:val="00116CCF"/>
    <w:rsid w:val="00122205"/>
    <w:rsid w:val="002E4C2C"/>
    <w:rsid w:val="00383D4B"/>
    <w:rsid w:val="00395B76"/>
    <w:rsid w:val="00595527"/>
    <w:rsid w:val="005D4380"/>
    <w:rsid w:val="006C0943"/>
    <w:rsid w:val="00715B56"/>
    <w:rsid w:val="00722182"/>
    <w:rsid w:val="009274C7"/>
    <w:rsid w:val="009E5F43"/>
    <w:rsid w:val="009E6B4C"/>
    <w:rsid w:val="00B116A6"/>
    <w:rsid w:val="00B52D43"/>
    <w:rsid w:val="00C35B00"/>
    <w:rsid w:val="00C476D0"/>
    <w:rsid w:val="00C608AD"/>
    <w:rsid w:val="00D738FA"/>
    <w:rsid w:val="00D84048"/>
    <w:rsid w:val="00E04491"/>
    <w:rsid w:val="00E85AAC"/>
    <w:rsid w:val="00F221A8"/>
    <w:rsid w:val="00F304D9"/>
    <w:rsid w:val="00FA0E6B"/>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409"/>
    <w:rPr>
      <w:color w:val="808080"/>
    </w:rPr>
  </w:style>
  <w:style w:type="paragraph" w:customStyle="1" w:styleId="37586E67482846BC93F7481F0C2C03C0">
    <w:name w:val="37586E67482846BC93F7481F0C2C03C0"/>
    <w:rsid w:val="005D4380"/>
    <w:rPr>
      <w:lang w:val="nb-NO" w:eastAsia="nb-NO"/>
    </w:rPr>
  </w:style>
  <w:style w:type="paragraph" w:customStyle="1" w:styleId="326A8A1E2BF342DBA9AB465C1F704BAB">
    <w:name w:val="326A8A1E2BF342DBA9AB465C1F704BAB"/>
    <w:rsid w:val="005D4380"/>
    <w:rPr>
      <w:lang w:val="nb-NO" w:eastAsia="nb-NO"/>
    </w:rPr>
  </w:style>
  <w:style w:type="paragraph" w:customStyle="1" w:styleId="F84B07E0110242FE8B55AE8419E33521">
    <w:name w:val="F84B07E0110242FE8B55AE8419E33521"/>
    <w:rsid w:val="005D4380"/>
    <w:rPr>
      <w:lang w:val="nb-NO" w:eastAsia="nb-NO"/>
    </w:rPr>
  </w:style>
  <w:style w:type="paragraph" w:customStyle="1" w:styleId="593A0D719EB8447B8F12FF8BAA59C1F3">
    <w:name w:val="593A0D719EB8447B8F12FF8BAA59C1F3"/>
    <w:rsid w:val="005D4380"/>
    <w:rPr>
      <w:lang w:val="nb-NO" w:eastAsia="nb-NO"/>
    </w:rPr>
  </w:style>
  <w:style w:type="paragraph" w:customStyle="1" w:styleId="8D29B17E29FA42668444326CD9825462">
    <w:name w:val="8D29B17E29FA42668444326CD9825462"/>
    <w:rsid w:val="00010409"/>
    <w:rPr>
      <w:lang w:val="nb-NO" w:eastAsia="nb-NO"/>
    </w:rPr>
  </w:style>
  <w:style w:type="paragraph" w:customStyle="1" w:styleId="EA54140177534AF6AA132ABB71B61FBC">
    <w:name w:val="EA54140177534AF6AA132ABB71B61FBC"/>
    <w:rsid w:val="00595527"/>
    <w:rPr>
      <w:lang w:val="nb-NO" w:eastAsia="nb-NO"/>
    </w:rPr>
  </w:style>
  <w:style w:type="paragraph" w:customStyle="1" w:styleId="2A67E9804710459EB5384A33DB72BE3C">
    <w:name w:val="2A67E9804710459EB5384A33DB72BE3C"/>
    <w:rsid w:val="00010409"/>
    <w:rPr>
      <w:lang w:val="nb-NO" w:eastAsia="nb-NO"/>
    </w:rPr>
  </w:style>
  <w:style w:type="paragraph" w:customStyle="1" w:styleId="848449BD512C47E4BC45075696A83BA1">
    <w:name w:val="848449BD512C47E4BC45075696A83BA1"/>
    <w:rsid w:val="00595527"/>
    <w:rPr>
      <w:lang w:val="nb-NO" w:eastAsia="nb-NO"/>
    </w:rPr>
  </w:style>
  <w:style w:type="paragraph" w:customStyle="1" w:styleId="5098286C7FA045FCAAEC9CDCFA995527">
    <w:name w:val="5098286C7FA045FCAAEC9CDCFA995527"/>
    <w:rsid w:val="00595527"/>
    <w:rPr>
      <w:lang w:val="nb-NO" w:eastAsia="nb-NO"/>
    </w:rPr>
  </w:style>
  <w:style w:type="paragraph" w:customStyle="1" w:styleId="DA40559A341441A0A1E0E4FDD6D8306D">
    <w:name w:val="DA40559A341441A0A1E0E4FDD6D8306D"/>
    <w:rsid w:val="00595527"/>
    <w:rPr>
      <w:lang w:val="nb-NO" w:eastAsia="nb-N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8B1E14-A32B-49DA-847F-4666D5B7D8B5}">
  <we:reference id="wa104382081" version="1.46.0.0" store="en-US" storeType="OMEX"/>
  <we:alternateReferences>
    <we:reference id="WA104382081" version="1.46.0.0" store="en-US" storeType="OMEX"/>
  </we:alternateReferences>
  <we:properties>
    <we:property name="MENDELEY_CITATIONS" value="[{&quot;citationID&quot;:&quot;MENDELEY_CITATION_23d931a4-3fa3-4dfe-ab1d-f3731a98e98a&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6b1d9d96-66b8-448b-9801-70bdc2fcb614&quot;,&quot;properties&quot;:{&quot;noteIndex&quot;:0},&quot;isEdited&quot;:false,&quot;manualOverride&quot;:{&quot;isManuallyOverridden&quot;:false,&quot;citeprocText&quot;:&quot;(Huygens et al., 2019)&quot;,&quot;manualOverrideText&quot;:&quot;&quot;},&quot;citationTag&quot;:&quot;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quot;,&quot;citationItems&quot;:[{&quot;id&quot;:&quot;d4760280-742d-3c27-9d28-ff9ae98021a3&quot;,&quot;itemData&quot;:{&quot;type&quot;:&quot;article-journal&quot;,&quot;id&quot;:&quot;d4760280-742d-3c27-9d28-ff9ae98021a3&quot;,&quot;title&quot;:&quot;Technical proposals for selected new fertilising materials under the Fertilising Products Regulation (Regulation (EU) 2019/1009)&quot;,&quot;author&quot;:[{&quot;family&quot;:&quot;Huygens&quot;,&quot;given&quot;:&quot;D&quot;,&quot;parse-names&quot;:false,&quot;dropping-particle&quot;:&quot;&quot;,&quot;non-dropping-particle&quot;:&quot;&quot;},{&quot;family&quot;:&quot;Saveyn&quot;,&quot;given&quot;:&quot;H&quot;,&quot;parse-names&quot;:false,&quot;dropping-particle&quot;:&quot;&quot;,&quot;non-dropping-particle&quot;:&quot;&quot;},{&quot;family&quot;:&quot;Tonini&quot;,&quot;given&quot;:&quot;D&quot;,&quot;parse-names&quot;:false,&quot;dropping-particle&quot;:&quot;&quot;,&quot;non-dropping-particle&quot;:&quot;&quot;},{&quot;family&quot;:&quot;Eder&quot;,&quot;given&quot;:&quot;P&quot;,&quot;parse-names&quot;:false,&quot;dropping-particle&quot;:&quot;&quot;,&quot;non-dropping-particle&quot;:&quot;&quot;},{&quot;family&quot;:&quot;Delgado Sancho&quot;,&quot;given&quot;:&quot;L&quot;,&quot;parse-names&quot;:false,&quot;dropping-particle&quot;:&quot;&quot;,&quot;non-dropping-particle&quot;:&quot;&quot;}],&quot;container-title&quot;:&quot;FeHPO CaHPO&quot;,&quot;issued&quot;:{&quot;date-parts&quot;:[[2019]]},&quot;volume&quot;:&quot;4&quot;,&quot;container-title-short&quot;:&quot;&quot;},&quot;isTemporary&quot;:false}]},{&quot;citationID&quot;:&quot;MENDELEY_CITATION_fd7cffbc-80d8-4bb2-8059-0b9a4ddbff80&quot;,&quot;properties&quot;:{&quot;noteIndex&quot;:0},&quot;isEdited&quot;:false,&quot;manualOverride&quot;:{&quot;isManuallyOverridden&quot;:true,&quot;citeprocText&quot;:&quot;(Moško et al., 2021)&quot;,&quot;manualOverrideText&quot;:&quot;Moško et al. (2021)&quot;},&quot;citationTag&quot;:&quot;MENDELEY_CITATION_v3_eyJjaXRhdGlvbklEIjoiTUVOREVMRVlfQ0lUQVRJT05fZmQ3Y2ZmYmMtODBkOC00YmIyLTgwNTktMGI5YTRkZGJmZjgw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676a7e22-0ac9-4509-bad7-cb393f23fcde&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Njc2YTdlMjItMGFjOS00NTA5LWJhZDctY2IzOTNmMjNmY2R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20696c2f-f8c9-4241-b0a6-591a40c6dbe8&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MjA2OTZjMmYtZjhjOS00MjQxLWIwYTYtNTkxYTQwYzZkYmU4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3d4e122c-caa8-4aa1-8b5d-48fdeced82d9&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M2Q0ZTEyMmMtY2FhOC00YWExLThiNWQtNDhmZGVjZWQ4MmQ5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eae7b836-1718-416d-b1e6-1be2702b2052&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ZWFlN2I4MzYtMTcxOC00MTZkLWIxZTYtMWJlMjcwMmIyMDUy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6bdab312-a5c7-46f1-9307-b71ccd250776&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NmJkYWIzMTItYTVjNy00NmYxLTkzMDctYjcxY2NkMjUwNzc2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7ed1da28-28c7-48f5-8485-bd05fb62f620&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N2VkMWRhMjgtMjhjNy00OGY1LTg0ODUtYmQwNWZiNjJmNjIw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68e1c442-d7c2-4a29-a015-0280f25dfdd7&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NjhlMWM0NDItZDdjMi00YTI5LWEwMTUtMDI4MGYyNWRmZGQ3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7d962c62-390f-4677-85ba-3f1eabf74723&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N2Q5NjJjNjItMzkwZi00Njc3LTg1YmEtM2YxZWFiZjc0NzIz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014031fb-3f95-4033-8fe9-5b051a8a88d4&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MDE0MDMxZmItM2Y5NS00MDMzLThmZTktNWIwNTFhOGE4OGQ0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293fedd4-b94b-4cd7-9391-d016a84d58ff&quot;,&quot;properties&quot;:{&quot;noteIndex&quot;:0},&quot;isEdited&quot;:false,&quot;manualOverride&quot;:{&quot;isManuallyOverridden&quot;:false,&quot;citeprocText&quot;:&quot;(Hu et al., 2007)&quot;,&quot;manualOverrideText&quot;:&quot;&quot;},&quot;citationTag&quot;:&quot;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quot;,&quot;citationItems&quot;:[{&quot;id&quot;:&quot;a128f358-bb60-3714-a21b-b02f4f2d753e&quot;,&quot;itemData&quot;:{&quot;type&quot;:&quot;article-journal&quot;,&quot;id&quot;:&quot;a128f358-bb60-3714-a21b-b02f4f2d753e&quot;,&quot;title&quot;:&quot;Changes in Chlorinated Organic Pollutants and Heavy Metal Content of Sediments during Pyrolysis (7 pp)&quot;,&quot;author&quot;:[{&quot;family&quot;:&quot;Hu&quot;,&quot;given&quot;:&quot;Zhanbo&quot;,&quot;parse-names&quot;:false,&quot;dropping-particle&quot;:&quot;&quot;,&quot;non-dropping-particle&quot;:&quot;&quot;},{&quot;family&quot;:&quot;Nomura&quot;,&quot;given&quot;:&quot;Nakao&quot;,&quot;parse-names&quot;:false,&quot;dropping-particle&quot;:&quot;&quot;,&quot;non-dropping-particle&quot;:&quot;&quot;},{&quot;family&quot;:&quot;Kong&quot;,&quot;given&quot;:&quot;Hainan&quot;,&quot;parse-names&quot;:false,&quot;dropping-particle&quot;:&quot;&quot;,&quot;non-dropping-particle&quot;:&quot;&quot;},{&quot;family&quot;:&quot;Wijesekara&quot;,&quot;given&quot;:&quot;Saman&quot;,&quot;parse-names&quot;:false,&quot;dropping-particle&quot;:&quot;&quot;,&quot;non-dropping-particle&quot;:&quot;&quot;},{&quot;family&quot;:&quot;Matsumura&quot;,&quot;given&quot;:&quot;Masatoshi&quot;,&quot;parse-names&quot;:false,&quot;dropping-particle&quot;:&quot;&quot;,&quot;non-dropping-particle&quot;:&quot;&quot;}],&quot;container-title&quot;:&quot;Environmental Science and Pollution Research-International&quot;,&quot;ISSN&quot;:&quot;0944-1344&quot;,&quot;issued&quot;:{&quot;date-parts&quot;:[[2007]]},&quot;page&quot;:&quot;12-18&quot;,&quot;publisher&quot;:&quot;Springer&quot;,&quot;volume&quot;:&quot;14&quot;,&quot;container-title-short&quot;:&quot;&quot;},&quot;isTemporary&quot;:false}]},{&quot;citationID&quot;:&quot;MENDELEY_CITATION_9c799cfb-0f02-4b2e-8807-842c991e8474&quot;,&quot;properties&quot;:{&quot;noteIndex&quot;:0},&quot;isEdited&quot;:false,&quot;manualOverride&quot;:{&quot;isManuallyOverridden&quot;:false,&quot;citeprocText&quot;:&quot;(EBC, 2022)&quot;,&quot;manualOverrideText&quot;:&quot;&quot;},&quot;citationTag&quot;:&quot;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172eda82-b36a-4ce7-a1d6-0941730f0ee7&quot;,&quot;properties&quot;:{&quot;noteIndex&quot;:0},&quot;isEdited&quot;:false,&quot;manualOverride&quot;:{&quot;isManuallyOverridden&quot;:true,&quot;citeprocText&quot;:&quot;(Sørmo et al., 2020)&quot;,&quot;manualOverrideText&quot;:&quot;Sørmo et al. (2020)&quot;},&quot;citationTag&quot;:&quot;MENDELEY_CITATION_v3_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&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08ed81fb-a720-4c2f-aa46-2d856738f47b&quot;,&quot;properties&quot;:{&quot;noteIndex&quot;:0},&quot;isEdited&quot;:false,&quot;manualOverride&quot;:{&quot;isManuallyOverridden&quot;:true,&quot;citeprocText&quot;:&quot;(Sørmo et al., n.d.)&quot;,&quot;manualOverrideText&quot;:&quot;Sørmo et al., n.d.&quot;},&quot;citationTag&quot;:&quot;MENDELEY_CITATION_v3_eyJjaXRhdGlvbklEIjoiTUVOREVMRVlfQ0lUQVRJT05fMDhlZDgxZmItYTcyMC00YzJmLWFhNDYtMmQ4NTY3MzhmNDdiIiwicHJvcGVydGllcyI6eyJub3RlSW5kZXgiOjB9LCJpc0VkaXRlZCI6ZmFsc2UsIm1hbnVhbE92ZXJyaWRlIjp7ImlzTWFudWFsbHlPdmVycmlkZGVuIjp0cnVlLCJjaXRlcHJvY1RleHQiOiIoU8O4cm1vIGV0IGFsLiwgbi5kLikiLCJtYW51YWxPdmVycmlkZVRleHQiOiJTw7hybW8gZXQgYWwuLCBuLmQu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2122ce67-d20d-48c5-8621-439ab5f50e3a&quot;,&quot;properties&quot;:{&quot;noteIndex&quot;:0},&quot;isEdited&quot;:false,&quot;manualOverride&quot;:{&quot;isManuallyOverridden&quot;:false,&quot;citeprocText&quot;:&quot;(Paradiz &amp;#38; Dilara, 2003)&quot;,&quot;manualOverrideText&quot;:&quot;&quot;},&quot;citationTag&quot;:&quot;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quot;,&quot;citationItems&quot;:[{&quot;id&quot;:&quot;1cbc561c-2246-3afa-be7a-875d979e7f00&quot;,&quot;itemData&quot;:{&quot;type&quot;:&quot;article-journal&quot;,&quot;id&quot;:&quot;1cbc561c-2246-3afa-be7a-875d979e7f00&quot;,&quot;title&quot;:&quot;Dioxin emissions in the candidate countries: Sources, emission inventories, reduction policies and measures&quot;,&quot;author&quot;:[{&quot;family&quot;:&quot;Paradiz&quot;,&quot;given&quot;:&quot;B&quot;,&quot;parse-names&quot;:false,&quot;dropping-particle&quot;:&quot;&quot;,&quot;non-dropping-particle&quot;:&quot;&quot;},{&quot;family&quot;:&quot;Dilara&quot;,&quot;given&quot;:&quot;Panagiota&quot;,&quot;parse-names&quot;:false,&quot;dropping-particle&quot;:&quot;&quot;,&quot;non-dropping-particle&quot;:&quot;&quot;}],&quot;issued&quot;:{&quot;date-parts&quot;:[[2003]]},&quot;container-title-short&quot;:&quot;&quot;},&quot;isTemporary&quot;:false}]},{&quot;citationID&quot;:&quot;MENDELEY_CITATION_3e63a020-2990-4c91-9449-bdfb2e49040e&quot;,&quot;properties&quot;:{&quot;noteIndex&quot;:0},&quot;isEdited&quot;:false,&quot;manualOverride&quot;:{&quot;isManuallyOverridden&quot;:false,&quot;citeprocText&quot;:&quot;(Sørmo et al., 2020)&quot;,&quot;manualOverrideText&quot;:&quot;&quot;},&quot;citationTag&quot;:&quot;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5d0af4a5-95e4-41ef-87d9-74544a2d79bd&quot;,&quot;properties&quot;:{&quot;noteIndex&quot;:0},&quot;isEdited&quot;:false,&quot;manualOverride&quot;:{&quot;isManuallyOverridden&quot;:false,&quot;citeprocText&quot;:&quot;(EBC, 2022)&quot;,&quot;manualOverrideText&quot;:&quot;&quot;},&quot;citationTag&quot;:&quot;MENDELEY_CITATION_v3_eyJjaXRhdGlvbklEIjoiTUVOREVMRVlfQ0lUQVRJT05fNWQwYWY0YTUtOTVlNC00MWVmLTg3ZDktNzQ1NDRhMmQ3OWJ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1EC4-1595-4777-A04A-983EA430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55045</TotalTime>
  <Pages>20</Pages>
  <Words>4069</Words>
  <Characters>21568</Characters>
  <Application>Microsoft Office Word</Application>
  <DocSecurity>0</DocSecurity>
  <Lines>179</Lines>
  <Paragraphs>51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25586</CharactersWithSpaces>
  <SharedDoc>false</SharedDoc>
  <HLinks>
    <vt:vector size="48" baseType="variant">
      <vt:variant>
        <vt:i4>6619168</vt:i4>
      </vt:variant>
      <vt:variant>
        <vt:i4>84</vt:i4>
      </vt:variant>
      <vt:variant>
        <vt:i4>0</vt:i4>
      </vt:variant>
      <vt:variant>
        <vt:i4>5</vt:i4>
      </vt:variant>
      <vt:variant>
        <vt:lpwstr>https://pubs.acs.org/doi/10.1021/acs.est.xxxxx</vt:lpwstr>
      </vt:variant>
      <vt:variant>
        <vt:lpwstr/>
      </vt:variant>
      <vt:variant>
        <vt:i4>7340118</vt:i4>
      </vt:variant>
      <vt:variant>
        <vt:i4>18</vt:i4>
      </vt:variant>
      <vt:variant>
        <vt:i4>0</vt:i4>
      </vt:variant>
      <vt:variant>
        <vt:i4>5</vt:i4>
      </vt:variant>
      <vt:variant>
        <vt:lpwstr>mailto:Hans.Peter.Arp@ngi.no</vt:lpwstr>
      </vt:variant>
      <vt:variant>
        <vt:lpwstr/>
      </vt:variant>
      <vt:variant>
        <vt:i4>7340118</vt:i4>
      </vt:variant>
      <vt:variant>
        <vt:i4>15</vt:i4>
      </vt:variant>
      <vt:variant>
        <vt:i4>0</vt:i4>
      </vt:variant>
      <vt:variant>
        <vt:i4>5</vt:i4>
      </vt:variant>
      <vt:variant>
        <vt:lpwstr>mailto:Hans.Peter.Arp@ngi.no</vt:lpwstr>
      </vt:variant>
      <vt:variant>
        <vt:lpwstr/>
      </vt:variant>
      <vt:variant>
        <vt:i4>3539011</vt:i4>
      </vt:variant>
      <vt:variant>
        <vt:i4>12</vt:i4>
      </vt:variant>
      <vt:variant>
        <vt:i4>0</vt:i4>
      </vt:variant>
      <vt:variant>
        <vt:i4>5</vt:i4>
      </vt:variant>
      <vt:variant>
        <vt:lpwstr>mailto:Gerard.Cornelissen@ngi.no</vt:lpwstr>
      </vt:variant>
      <vt:variant>
        <vt:lpwstr/>
      </vt:variant>
      <vt:variant>
        <vt:i4>5177406</vt:i4>
      </vt:variant>
      <vt:variant>
        <vt:i4>9</vt:i4>
      </vt:variant>
      <vt:variant>
        <vt:i4>0</vt:i4>
      </vt:variant>
      <vt:variant>
        <vt:i4>5</vt:i4>
      </vt:variant>
      <vt:variant>
        <vt:lpwstr>mailto:Erlend.Sormo@ngi.no</vt:lpwstr>
      </vt:variant>
      <vt:variant>
        <vt:lpwstr/>
      </vt:variant>
      <vt:variant>
        <vt:i4>7340118</vt:i4>
      </vt:variant>
      <vt:variant>
        <vt:i4>6</vt:i4>
      </vt:variant>
      <vt:variant>
        <vt:i4>0</vt:i4>
      </vt:variant>
      <vt:variant>
        <vt:i4>5</vt:i4>
      </vt:variant>
      <vt:variant>
        <vt:lpwstr>mailto:Hans.Peter.Arp@ngi.no</vt:lpwstr>
      </vt:variant>
      <vt:variant>
        <vt:lpwstr/>
      </vt:variant>
      <vt:variant>
        <vt:i4>7340118</vt:i4>
      </vt:variant>
      <vt:variant>
        <vt:i4>3</vt:i4>
      </vt:variant>
      <vt:variant>
        <vt:i4>0</vt:i4>
      </vt:variant>
      <vt:variant>
        <vt:i4>5</vt:i4>
      </vt:variant>
      <vt:variant>
        <vt:lpwstr>mailto:Hans.Peter.Arp@ngi.no</vt:lpwstr>
      </vt:variant>
      <vt:variant>
        <vt:lpwstr/>
      </vt:variant>
      <vt:variant>
        <vt:i4>7340118</vt:i4>
      </vt:variant>
      <vt:variant>
        <vt:i4>0</vt:i4>
      </vt:variant>
      <vt:variant>
        <vt:i4>0</vt:i4>
      </vt:variant>
      <vt:variant>
        <vt:i4>5</vt:i4>
      </vt:variant>
      <vt:variant>
        <vt:lpwstr>mailto:Hans.Peter.Arp@ngi.no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Muri Krahn</dc:creator>
  <cp:keywords/>
  <dc:description/>
  <cp:lastModifiedBy>Katinka Krahn</cp:lastModifiedBy>
  <cp:revision>19</cp:revision>
  <dcterms:created xsi:type="dcterms:W3CDTF">2023-02-08T13:52:00Z</dcterms:created>
  <dcterms:modified xsi:type="dcterms:W3CDTF">2023-04-12T10:20:00Z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84126-3486-41a9-802e-7f1e2277276c_Enabled">
    <vt:lpwstr>true</vt:lpwstr>
  </property>
  <property fmtid="{D5CDD505-2E9C-101B-9397-08002B2CF9AE}" pid="3" name="MSIP_Label_d0484126-3486-41a9-802e-7f1e2277276c_SetDate">
    <vt:lpwstr>2022-05-25T21:06:34Z</vt:lpwstr>
  </property>
  <property fmtid="{D5CDD505-2E9C-101B-9397-08002B2CF9AE}" pid="4" name="MSIP_Label_d0484126-3486-41a9-802e-7f1e2277276c_Method">
    <vt:lpwstr>Standard</vt:lpwstr>
  </property>
  <property fmtid="{D5CDD505-2E9C-101B-9397-08002B2CF9AE}" pid="5" name="MSIP_Label_d0484126-3486-41a9-802e-7f1e2277276c_Name">
    <vt:lpwstr>d0484126-3486-41a9-802e-7f1e2277276c</vt:lpwstr>
  </property>
  <property fmtid="{D5CDD505-2E9C-101B-9397-08002B2CF9AE}" pid="6" name="MSIP_Label_d0484126-3486-41a9-802e-7f1e2277276c_SiteId">
    <vt:lpwstr>eec01f8e-737f-43e3-9ed5-f8a59913bd82</vt:lpwstr>
  </property>
  <property fmtid="{D5CDD505-2E9C-101B-9397-08002B2CF9AE}" pid="7" name="MSIP_Label_d0484126-3486-41a9-802e-7f1e2277276c_ActionId">
    <vt:lpwstr>1e66a769-074e-4663-8fc8-3fbdafad786f</vt:lpwstr>
  </property>
  <property fmtid="{D5CDD505-2E9C-101B-9397-08002B2CF9AE}" pid="8" name="MSIP_Label_d0484126-3486-41a9-802e-7f1e2277276c_ContentBits">
    <vt:lpwstr>0</vt:lpwstr>
  </property>
</Properties>
</file>