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000"/>
        <w:jc w:val="center"/>
      </w:pPr>
      <w:r>
        <w:t>Plano de Testes do Sistema ModaFácil</w:t>
      </w:r>
    </w:p>
    <w:p>
      <w:pPr>
        <w:spacing w:before="360"/>
        <w:jc w:val="center"/>
      </w:pPr>
      <w:r>
        <w:rPr>
          <w:b/>
          <w:sz w:val="32"/>
        </w:rPr>
        <w:t>Projeto Integrador Etapa 7</w:t>
      </w:r>
    </w:p>
    <w:p>
      <w:pPr>
        <w:spacing w:before="3200"/>
        <w:jc w:val="center"/>
      </w:pPr>
      <w:r>
        <w:rPr>
          <w:b/>
        </w:rPr>
        <w:t>Katiuscia Balbino Coco</w:t>
      </w:r>
      <w:r>
        <w:br/>
        <w:t>Curso Técnico em Desenvolvimento de Sistemas</w:t>
        <w:br/>
        <w:t>SENAC</w:t>
      </w:r>
    </w:p>
    <w:p>
      <w:pPr>
        <w:spacing w:before="1900"/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1 Objetivo</w:t>
      </w:r>
    </w:p>
    <w:p>
      <w:r>
        <w:t>Este plano organiza os testes das principais regras do sistema ModaFácil e das funcionalidades previstas para sua futura versão web. O objetivo é verificar se clientes e produtos podem ser cadastrados, consultados, atualizados e excluídos com segurança, além de confirmar por teste unitário o cálculo do valor total do estoque. Os testes priorizam as regras de negócio e podem ser executados sem conexão com o banco de dados quando utilizam os repositórios em memória.</w:t>
      </w:r>
    </w:p>
    <w:p>
      <w:pPr>
        <w:pStyle w:val="Heading1"/>
      </w:pPr>
      <w:r>
        <w:t>2 Escopo</w:t>
      </w:r>
    </w:p>
    <w:p>
      <w:r>
        <w:t>Funcionalidades incluídas neste plano:</w:t>
      </w:r>
    </w:p>
    <w:p>
      <w:pPr>
        <w:pStyle w:val="ListBullet"/>
      </w:pPr>
      <w:r>
        <w:t>Cadastro, consulta, atualização e exclusão de produtos.</w:t>
      </w:r>
    </w:p>
    <w:p>
      <w:pPr>
        <w:pStyle w:val="ListBullet"/>
      </w:pPr>
      <w:r>
        <w:t>Validação de nome, categoria, tamanho, preço e quantidade em estoque.</w:t>
      </w:r>
    </w:p>
    <w:p>
      <w:pPr>
        <w:pStyle w:val="ListBullet"/>
      </w:pPr>
      <w:r>
        <w:t>Cálculo do valor total do estoque de um produto.</w:t>
      </w:r>
    </w:p>
    <w:p>
      <w:pPr>
        <w:pStyle w:val="ListBullet"/>
      </w:pPr>
      <w:r>
        <w:t>Cadastro, consulta, atualização e exclusão de clientes.</w:t>
      </w:r>
    </w:p>
    <w:p>
      <w:pPr>
        <w:pStyle w:val="ListBullet"/>
      </w:pPr>
      <w:r>
        <w:t>Validação dos dados obrigatórios do cliente.</w:t>
      </w:r>
    </w:p>
    <w:p>
      <w:pPr>
        <w:pStyle w:val="ListBullet"/>
      </w:pPr>
      <w:r>
        <w:t>Planejamento de testes de interface e acesso para a futura aplicação web.</w:t>
      </w:r>
    </w:p>
    <w:p>
      <w:r>
        <w:t>Ficam fora do teste unitário as operações que dependem diretamente do MySQL. A integração com o banco poderá ser verificada posteriormente por testes de integração.</w:t>
      </w:r>
    </w:p>
    <w:p>
      <w:pPr>
        <w:pStyle w:val="Heading1"/>
      </w:pPr>
      <w:r>
        <w:t>3 Estratégia de testes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180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32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Finalidade</w:t>
            </w:r>
          </w:p>
        </w:tc>
        <w:tc>
          <w:tcPr>
            <w:tcW w:type="dxa" w:w="3744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Execução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Unitário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Verificar métodos e regras isoladas.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JUnit 4 com repositório em memória.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Funcional manual</w:t>
            </w:r>
          </w:p>
        </w:tc>
        <w:tc>
          <w:tcPr>
            <w:tcW w:type="dxa" w:w="432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Validar os fluxos executados pelo usuário.</w:t>
            </w:r>
          </w:p>
        </w:tc>
        <w:tc>
          <w:tcPr>
            <w:tcW w:type="dxa" w:w="374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Interface desktop e futura interface web.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Negativo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Confirmar o tratamento de dados inválidos.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Campos vazios, preço inválido e estoque negativo.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Integração</w:t>
            </w:r>
          </w:p>
        </w:tc>
        <w:tc>
          <w:tcPr>
            <w:tcW w:type="dxa" w:w="432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Verificar comunicação entre aplicação e persistência.</w:t>
            </w:r>
          </w:p>
        </w:tc>
        <w:tc>
          <w:tcPr>
            <w:tcW w:type="dxa" w:w="374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Planejado para ambiente com MySQL.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Regressão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Confirmar que mudanças não quebraram funções existentes.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Após cada nova versão.</w:t>
            </w:r>
          </w:p>
        </w:tc>
      </w:tr>
    </w:tbl>
    <w:p>
      <w:pPr>
        <w:pStyle w:val="Heading1"/>
      </w:pPr>
      <w:r>
        <w:t>4 Ambiente e dados de teste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592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272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Definição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Aplicação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ModaFácil em Java 17.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IDE</w:t>
            </w:r>
          </w:p>
        </w:tc>
        <w:tc>
          <w:tcPr>
            <w:tcW w:type="dxa" w:w="727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Apache NetBeans.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Framework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JUnit 4.13.2.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Persistência unitária</w:t>
            </w:r>
          </w:p>
        </w:tc>
        <w:tc>
          <w:tcPr>
            <w:tcW w:type="dxa" w:w="727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ProdutoRepositoryMemoria e ClienteRepositoryMemoria.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Banco de dados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MySQL apenas para testes de integração.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Dados principais</w:t>
            </w:r>
          </w:p>
        </w:tc>
        <w:tc>
          <w:tcPr>
            <w:tcW w:type="dxa" w:w="727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Produto Vestido, categoria Feminino, tamanho M, preço 49,90 e estoque 6.</w:t>
            </w:r>
          </w:p>
        </w:tc>
      </w:tr>
    </w:tbl>
    <w:p>
      <w:pPr>
        <w:pStyle w:val="Heading1"/>
      </w:pPr>
      <w:r>
        <w:t>5 Critérios de início e conclusão</w:t>
      </w:r>
    </w:p>
    <w:p>
      <w:pPr>
        <w:pStyle w:val="Heading2"/>
      </w:pPr>
      <w:r>
        <w:t>5.1 Critérios de início</w:t>
      </w:r>
    </w:p>
    <w:p>
      <w:pPr>
        <w:pStyle w:val="ListBullet"/>
      </w:pPr>
      <w:r>
        <w:t>Projeto aberto e compilando no NetBeans.</w:t>
      </w:r>
    </w:p>
    <w:p>
      <w:pPr>
        <w:pStyle w:val="ListBullet"/>
      </w:pPr>
      <w:r>
        <w:t>Bibliotecas JUnit e Hamcrest disponíveis na pasta lib.</w:t>
      </w:r>
    </w:p>
    <w:p>
      <w:pPr>
        <w:pStyle w:val="ListBullet"/>
      </w:pPr>
      <w:r>
        <w:t>Regras de negócio separadas da interface e do banco de dados.</w:t>
      </w:r>
    </w:p>
    <w:p>
      <w:pPr>
        <w:pStyle w:val="Heading2"/>
      </w:pPr>
      <w:r>
        <w:t>5.2 Critérios de conclusão</w:t>
      </w:r>
    </w:p>
    <w:p>
      <w:pPr>
        <w:pStyle w:val="ListBullet"/>
      </w:pPr>
      <w:r>
        <w:t>Todos os testes JUnit executados sem falhas.</w:t>
      </w:r>
    </w:p>
    <w:p>
      <w:pPr>
        <w:pStyle w:val="ListBullet"/>
      </w:pPr>
      <w:r>
        <w:t>Casos manuais prioritários aprovados ou com defeitos registrados.</w:t>
      </w:r>
    </w:p>
    <w:p>
      <w:pPr>
        <w:pStyle w:val="ListBullet"/>
      </w:pPr>
      <w:r>
        <w:t>Defeitos críticos corrigidos e retestados antes da entrega.</w:t>
      </w:r>
    </w:p>
    <w:p>
      <w:pPr>
        <w:pStyle w:val="Heading1"/>
      </w:pPr>
      <w:r>
        <w:t>6 Casos de teste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936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016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288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Procedimento</w:t>
            </w:r>
          </w:p>
        </w:tc>
        <w:tc>
          <w:tcPr>
            <w:tcW w:type="dxa" w:w="324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Resultado esperado</w:t>
            </w:r>
          </w:p>
        </w:tc>
        <w:tc>
          <w:tcPr>
            <w:tcW w:type="dxa" w:w="108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Prioridade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CT 001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Cadastrar produto válido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Informar todos os campos válidos e salvar.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Produto cadastrado e exibido na lista.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CT 002</w:t>
            </w:r>
          </w:p>
        </w:tc>
        <w:tc>
          <w:tcPr>
            <w:tcW w:type="dxa" w:w="20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Nome do produto vazio</w:t>
            </w:r>
          </w:p>
        </w:tc>
        <w:tc>
          <w:tcPr>
            <w:tcW w:type="dxa" w:w="28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Deixar o nome vazio e tentar salvar.</w:t>
            </w:r>
          </w:p>
        </w:tc>
        <w:tc>
          <w:tcPr>
            <w:tcW w:type="dxa" w:w="32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Sistema apresenta mensagem e não cadastra.</w:t>
            </w:r>
          </w:p>
        </w:tc>
        <w:tc>
          <w:tcPr>
            <w:tcW w:type="dxa" w:w="10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CT 003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Preço igual a zero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Informar preço 0 e tentar salvar.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Sistema rejeita e informa que o preço deve ser maior que zero.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CT 004</w:t>
            </w:r>
          </w:p>
        </w:tc>
        <w:tc>
          <w:tcPr>
            <w:tcW w:type="dxa" w:w="20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Preço negativo</w:t>
            </w:r>
          </w:p>
        </w:tc>
        <w:tc>
          <w:tcPr>
            <w:tcW w:type="dxa" w:w="28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Informar preço negativo e tentar salvar.</w:t>
            </w:r>
          </w:p>
        </w:tc>
        <w:tc>
          <w:tcPr>
            <w:tcW w:type="dxa" w:w="32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ValidacaoException é lançada e nada é salvo.</w:t>
            </w:r>
          </w:p>
        </w:tc>
        <w:tc>
          <w:tcPr>
            <w:tcW w:type="dxa" w:w="10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CT 005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Estoque negativo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Informar quantidade menor que zero.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Sistema rejeita e informa que o estoque não pode ser negativo.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CT 006</w:t>
            </w:r>
          </w:p>
        </w:tc>
        <w:tc>
          <w:tcPr>
            <w:tcW w:type="dxa" w:w="20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Calcular valor do estoque</w:t>
            </w:r>
          </w:p>
        </w:tc>
        <w:tc>
          <w:tcPr>
            <w:tcW w:type="dxa" w:w="28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Usar preço 49,90 e quantidade 6.</w:t>
            </w:r>
          </w:p>
        </w:tc>
        <w:tc>
          <w:tcPr>
            <w:tcW w:type="dxa" w:w="32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Resultado calculado igual a 299,40.</w:t>
            </w:r>
          </w:p>
        </w:tc>
        <w:tc>
          <w:tcPr>
            <w:tcW w:type="dxa" w:w="10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CT 007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Atualizar produto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Alterar dados de um produto existente e salvar.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Lista apresenta os novos dados.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Média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CT 008</w:t>
            </w:r>
          </w:p>
        </w:tc>
        <w:tc>
          <w:tcPr>
            <w:tcW w:type="dxa" w:w="20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Excluir produto</w:t>
            </w:r>
          </w:p>
        </w:tc>
        <w:tc>
          <w:tcPr>
            <w:tcW w:type="dxa" w:w="28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Selecionar um produto e confirmar a exclusão.</w:t>
            </w:r>
          </w:p>
        </w:tc>
        <w:tc>
          <w:tcPr>
            <w:tcW w:type="dxa" w:w="32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Produto deixa de aparecer na lista.</w:t>
            </w:r>
          </w:p>
        </w:tc>
        <w:tc>
          <w:tcPr>
            <w:tcW w:type="dxa" w:w="10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Média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CT 009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Cadastrar cliente válido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Informar ID, nome e telefone válidos.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Cliente cadastrado e exibido na lista.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CT 010</w:t>
            </w:r>
          </w:p>
        </w:tc>
        <w:tc>
          <w:tcPr>
            <w:tcW w:type="dxa" w:w="20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Telefone vazio</w:t>
            </w:r>
          </w:p>
        </w:tc>
        <w:tc>
          <w:tcPr>
            <w:tcW w:type="dxa" w:w="28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Deixar o telefone vazio e tentar salvar.</w:t>
            </w:r>
          </w:p>
        </w:tc>
        <w:tc>
          <w:tcPr>
            <w:tcW w:type="dxa" w:w="32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Sistema apresenta mensagem e não cadastra.</w:t>
            </w:r>
          </w:p>
        </w:tc>
        <w:tc>
          <w:tcPr>
            <w:tcW w:type="dxa" w:w="10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CT 011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Acesso web sem autenticação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Tentar abrir área protegida sem sessão.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Sistema redireciona para o login ou retorna acesso negado.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CT 012</w:t>
            </w:r>
          </w:p>
        </w:tc>
        <w:tc>
          <w:tcPr>
            <w:tcW w:type="dxa" w:w="201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Interface web responsiva</w:t>
            </w:r>
          </w:p>
        </w:tc>
        <w:tc>
          <w:tcPr>
            <w:tcW w:type="dxa" w:w="28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Abrir as telas em computador e telefone.</w:t>
            </w:r>
          </w:p>
        </w:tc>
        <w:tc>
          <w:tcPr>
            <w:tcW w:type="dxa" w:w="324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Conteúdo permanece legível e utilizável.</w:t>
            </w:r>
          </w:p>
        </w:tc>
        <w:tc>
          <w:tcPr>
            <w:tcW w:type="dxa" w:w="10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Média</w:t>
            </w:r>
          </w:p>
        </w:tc>
      </w:tr>
    </w:tbl>
    <w:p>
      <w:pPr>
        <w:pStyle w:val="Heading1"/>
      </w:pPr>
      <w:r>
        <w:t>7 Testes unitários implementados</w:t>
      </w:r>
    </w:p>
    <w:p>
      <w:r>
        <w:t>A classe service.ProdutoServiceTest contém três testes JUnit. Os testes utilizam ProdutoRepositoryMemoria e, por isso, não precisam de conexão com o MySQL.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672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Método de teste</w:t>
            </w:r>
          </w:p>
        </w:tc>
        <w:tc>
          <w:tcPr>
            <w:tcW w:type="dxa" w:w="4968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Regra verificada</w:t>
            </w:r>
          </w:p>
        </w:tc>
        <w:tc>
          <w:tcPr>
            <w:tcW w:type="dxa" w:w="1296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deveCalcularValorTotalDoEstoque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Multiplicação do preço pela quantidade.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Aprovado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deveCadastrarProdutoValido</w:t>
            </w:r>
          </w:p>
        </w:tc>
        <w:tc>
          <w:tcPr>
            <w:tcW w:type="dxa" w:w="4968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Cadastro e inclusão na lista em memória.</w:t>
            </w:r>
          </w:p>
        </w:tc>
        <w:tc>
          <w:tcPr>
            <w:tcW w:type="dxa" w:w="1296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Aprovado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deveRejeitarProdutoComPrecoNegativo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Lançamento de ValidacaoException.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7"/>
              </w:rPr>
              <w:t>Aprovado</w:t>
            </w:r>
          </w:p>
        </w:tc>
      </w:tr>
    </w:tbl>
    <w:p>
      <w:r>
        <w:t>Resultado da execução: JUnit 4.13.2, três testes executados e nenhuma falha.</w:t>
      </w:r>
    </w:p>
    <w:p>
      <w:pPr>
        <w:pStyle w:val="Heading1"/>
      </w:pPr>
      <w:r>
        <w:t>8 Registro e tratamento de defeitos</w:t>
      </w:r>
    </w:p>
    <w:p>
      <w:r>
        <w:t>Quando um resultado obtido for diferente do esperado, o defeito deverá registrar título, ambiente, pré-condições, passos, resultado esperado, resultado obtido, evidência, severidade e prioridade. Após a correção, será realizado o reteste do defeito e uma regressão das funções relacionadas.</w:t>
      </w:r>
    </w:p>
    <w:p>
      <w:pPr>
        <w:pStyle w:val="Heading1"/>
      </w:pPr>
      <w:r>
        <w:t>9 Riscos e ações preventivas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4680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Risco</w:t>
            </w:r>
          </w:p>
        </w:tc>
        <w:tc>
          <w:tcPr>
            <w:tcW w:type="dxa" w:w="5184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Ação preventiva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Banco indisponível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Executar testes unitários com repositórios em memória.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Dados inválidos causarem erro</w:t>
            </w:r>
          </w:p>
        </w:tc>
        <w:tc>
          <w:tcPr>
            <w:tcW w:type="dxa" w:w="518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Manter validações centralizadas nas classes de serviço.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Alteração quebrar função existente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Executar regressão após cada modificação.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Diferenças entre desktop e web</w:t>
            </w:r>
          </w:p>
        </w:tc>
        <w:tc>
          <w:tcPr>
            <w:tcW w:type="dxa" w:w="518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r>
              <w:rPr>
                <w:sz w:val="19"/>
              </w:rPr>
              <w:t>Reutilizar as mesmas regras de negócio e repetir os casos principais.</w:t>
            </w:r>
          </w:p>
        </w:tc>
      </w:tr>
    </w:tbl>
    <w:p>
      <w:pPr>
        <w:pStyle w:val="Heading1"/>
      </w:pPr>
      <w:r>
        <w:t>10 Conclusão</w:t>
      </w:r>
    </w:p>
    <w:p>
      <w:r>
        <w:t>O plano cobre as regras principais já implementadas e antecipa verificações necessárias para a versão web. Os testes unitários confirmaram o cálculo do valor do estoque, o cadastro válido e o bloqueio de preço negativo, demonstrando que as regras podem ser verificadas independentemente da interface e do banco de dados.</w:t>
      </w:r>
    </w:p>
    <w:sectPr w:rsidR="00FC693F" w:rsidRPr="0006063C" w:rsidSect="00034616">
      <w:footerReference w:type="default" r:id="rId9"/>
      <w:pgSz w:w="12240" w:h="15840"/>
      <w:pgMar w:top="1080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