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B6D2" w14:textId="77777777" w:rsidR="000272A6" w:rsidRDefault="000272A6" w:rsidP="006A7BB7">
      <w:pPr>
        <w:pStyle w:val="normal1"/>
        <w:jc w:val="both"/>
        <w:rPr>
          <w:rFonts w:ascii="Calibri" w:eastAsia="Times New Roman" w:hAnsi="Calibri" w:cs="Calibri"/>
          <w:b/>
          <w:bCs/>
          <w:color w:val="163484"/>
          <w:sz w:val="28"/>
          <w:szCs w:val="28"/>
          <w:lang w:eastAsia="en-GB" w:bidi="ar-SA"/>
        </w:rPr>
      </w:pPr>
    </w:p>
    <w:p w14:paraId="2C13C69A" w14:textId="47766248" w:rsidR="000272A6" w:rsidRDefault="000272A6" w:rsidP="006A7BB7">
      <w:pPr>
        <w:pStyle w:val="normal1"/>
        <w:jc w:val="both"/>
        <w:rPr>
          <w:rFonts w:ascii="Calibri" w:eastAsia="Times New Roman" w:hAnsi="Calibri" w:cs="Calibri"/>
          <w:b/>
          <w:bCs/>
          <w:color w:val="163484"/>
          <w:sz w:val="28"/>
          <w:szCs w:val="28"/>
          <w:lang w:eastAsia="en-GB" w:bidi="ar-SA"/>
        </w:rPr>
      </w:pPr>
      <w:r>
        <w:rPr>
          <w:rFonts w:ascii="Calibri" w:eastAsia="Times New Roman" w:hAnsi="Calibri" w:cs="Calibri"/>
          <w:b/>
          <w:bCs/>
          <w:noProof/>
          <w:color w:val="163484"/>
          <w:sz w:val="28"/>
          <w:szCs w:val="28"/>
          <w:lang w:eastAsia="en-GB" w:bidi="ar-SA"/>
        </w:rPr>
        <mc:AlternateContent>
          <mc:Choice Requires="wps">
            <w:drawing>
              <wp:anchor distT="0" distB="0" distL="114300" distR="114300" simplePos="0" relativeHeight="251659264" behindDoc="0" locked="0" layoutInCell="1" allowOverlap="1" wp14:anchorId="360E4088" wp14:editId="15900E14">
                <wp:simplePos x="0" y="0"/>
                <wp:positionH relativeFrom="column">
                  <wp:posOffset>-457200</wp:posOffset>
                </wp:positionH>
                <wp:positionV relativeFrom="paragraph">
                  <wp:posOffset>147418</wp:posOffset>
                </wp:positionV>
                <wp:extent cx="7554351" cy="400929"/>
                <wp:effectExtent l="0" t="0" r="15240" b="18415"/>
                <wp:wrapNone/>
                <wp:docPr id="1711499753" name="Text Box 3"/>
                <wp:cNvGraphicFramePr/>
                <a:graphic xmlns:a="http://schemas.openxmlformats.org/drawingml/2006/main">
                  <a:graphicData uri="http://schemas.microsoft.com/office/word/2010/wordprocessingShape">
                    <wps:wsp>
                      <wps:cNvSpPr txBox="1"/>
                      <wps:spPr>
                        <a:xfrm>
                          <a:off x="0" y="0"/>
                          <a:ext cx="7554351" cy="400929"/>
                        </a:xfrm>
                        <a:prstGeom prst="rect">
                          <a:avLst/>
                        </a:prstGeom>
                        <a:solidFill>
                          <a:schemeClr val="tx2"/>
                        </a:solidFill>
                        <a:ln w="6350">
                          <a:solidFill>
                            <a:prstClr val="black"/>
                          </a:solidFill>
                        </a:ln>
                      </wps:spPr>
                      <wps:txbx>
                        <w:txbxContent>
                          <w:p w14:paraId="02D69426" w14:textId="13380EE0" w:rsidR="000272A6" w:rsidRPr="000272A6" w:rsidRDefault="000272A6" w:rsidP="000272A6">
                            <w:pPr>
                              <w:pStyle w:val="normal1"/>
                              <w:jc w:val="center"/>
                              <w:rPr>
                                <w:rFonts w:ascii="Calibri" w:eastAsia="Times New Roman" w:hAnsi="Calibri" w:cs="Calibri"/>
                                <w:b/>
                                <w:bCs/>
                                <w:color w:val="FFFFFF" w:themeColor="background1"/>
                                <w:sz w:val="36"/>
                                <w:szCs w:val="36"/>
                                <w:lang w:eastAsia="en-GB" w:bidi="ar-SA"/>
                              </w:rPr>
                            </w:pPr>
                            <w:r>
                              <w:rPr>
                                <w:rFonts w:ascii="Calibri" w:eastAsia="Times New Roman" w:hAnsi="Calibri" w:cs="Calibri"/>
                                <w:b/>
                                <w:bCs/>
                                <w:color w:val="FFFFFF" w:themeColor="background1"/>
                                <w:sz w:val="36"/>
                                <w:szCs w:val="36"/>
                                <w:lang w:eastAsia="en-GB" w:bidi="ar-SA"/>
                              </w:rPr>
                              <w:t>ANALYSIS</w:t>
                            </w:r>
                            <w:r w:rsidRPr="000272A6">
                              <w:rPr>
                                <w:rFonts w:ascii="Calibri" w:eastAsia="Times New Roman" w:hAnsi="Calibri" w:cs="Calibri"/>
                                <w:b/>
                                <w:bCs/>
                                <w:color w:val="FFFFFF" w:themeColor="background1"/>
                                <w:sz w:val="36"/>
                                <w:szCs w:val="36"/>
                                <w:lang w:eastAsia="en-GB" w:bidi="ar-SA"/>
                              </w:rPr>
                              <w:t xml:space="preserve"> REPORT</w:t>
                            </w:r>
                          </w:p>
                          <w:p w14:paraId="1278B67D" w14:textId="77777777" w:rsidR="000272A6" w:rsidRDefault="000272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0E4088" id="_x0000_t202" coordsize="21600,21600" o:spt="202" path="m,l,21600r21600,l21600,xe">
                <v:stroke joinstyle="miter"/>
                <v:path gradientshapeok="t" o:connecttype="rect"/>
              </v:shapetype>
              <v:shape id="Text Box 3" o:spid="_x0000_s1026" type="#_x0000_t202" style="position:absolute;left:0;text-align:left;margin-left:-36pt;margin-top:11.6pt;width:594.85pt;height:31.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" fillcolor="#1f497d [3215]" strokeweight=".5pt">
                <v:textbox>
                  <w:txbxContent>
                    <w:p w14:paraId="02D69426" w14:textId="13380EE0" w:rsidR="000272A6" w:rsidRPr="000272A6" w:rsidRDefault="000272A6" w:rsidP="000272A6">
                      <w:pPr>
                        <w:pStyle w:val="normal1"/>
                        <w:jc w:val="center"/>
                        <w:rPr>
                          <w:rFonts w:ascii="Calibri" w:eastAsia="Times New Roman" w:hAnsi="Calibri" w:cs="Calibri"/>
                          <w:b/>
                          <w:bCs/>
                          <w:color w:val="FFFFFF" w:themeColor="background1"/>
                          <w:sz w:val="36"/>
                          <w:szCs w:val="36"/>
                          <w:lang w:eastAsia="en-GB" w:bidi="ar-SA"/>
                        </w:rPr>
                      </w:pPr>
                      <w:r>
                        <w:rPr>
                          <w:rFonts w:ascii="Calibri" w:eastAsia="Times New Roman" w:hAnsi="Calibri" w:cs="Calibri"/>
                          <w:b/>
                          <w:bCs/>
                          <w:color w:val="FFFFFF" w:themeColor="background1"/>
                          <w:sz w:val="36"/>
                          <w:szCs w:val="36"/>
                          <w:lang w:eastAsia="en-GB" w:bidi="ar-SA"/>
                        </w:rPr>
                        <w:t>ANALYSIS</w:t>
                      </w:r>
                      <w:r w:rsidRPr="000272A6">
                        <w:rPr>
                          <w:rFonts w:ascii="Calibri" w:eastAsia="Times New Roman" w:hAnsi="Calibri" w:cs="Calibri"/>
                          <w:b/>
                          <w:bCs/>
                          <w:color w:val="FFFFFF" w:themeColor="background1"/>
                          <w:sz w:val="36"/>
                          <w:szCs w:val="36"/>
                          <w:lang w:eastAsia="en-GB" w:bidi="ar-SA"/>
                        </w:rPr>
                        <w:t xml:space="preserve"> REPORT</w:t>
                      </w:r>
                    </w:p>
                    <w:p w14:paraId="1278B67D" w14:textId="77777777" w:rsidR="000272A6" w:rsidRDefault="000272A6"/>
                  </w:txbxContent>
                </v:textbox>
              </v:shape>
            </w:pict>
          </mc:Fallback>
        </mc:AlternateContent>
      </w:r>
    </w:p>
    <w:p w14:paraId="3629B898" w14:textId="1B623F72" w:rsidR="000272A6" w:rsidRDefault="000272A6" w:rsidP="006A7BB7">
      <w:pPr>
        <w:pStyle w:val="normal1"/>
        <w:jc w:val="both"/>
        <w:rPr>
          <w:rFonts w:ascii="Calibri" w:eastAsia="Times New Roman" w:hAnsi="Calibri" w:cs="Calibri"/>
          <w:b/>
          <w:bCs/>
          <w:color w:val="163484"/>
          <w:sz w:val="28"/>
          <w:szCs w:val="28"/>
          <w:lang w:eastAsia="en-GB" w:bidi="ar-SA"/>
        </w:rPr>
      </w:pPr>
    </w:p>
    <w:p w14:paraId="572C6472" w14:textId="77777777" w:rsidR="00DE05D2" w:rsidRDefault="00DE05D2" w:rsidP="007A5A02">
      <w:pPr>
        <w:pStyle w:val="normal1"/>
        <w:jc w:val="both"/>
        <w:rPr>
          <w:rFonts w:ascii="Calibri" w:hAnsi="Calibri" w:cs="Calibri"/>
        </w:rPr>
      </w:pPr>
    </w:p>
    <w:p w14:paraId="7297349F" w14:textId="1DBF9AE9" w:rsidR="00FE20B8" w:rsidRPr="00AF7E13" w:rsidRDefault="00AF7E13" w:rsidP="00AF7E13">
      <w:pPr>
        <w:suppressAutoHyphens w:val="0"/>
        <w:spacing w:line="240" w:lineRule="auto"/>
        <w:rPr>
          <w:rFonts w:ascii="Helvetica" w:eastAsia="Times New Roman" w:hAnsi="Helvetica" w:cs="Times New Roman"/>
          <w:color w:val="173A84"/>
          <w:sz w:val="18"/>
          <w:szCs w:val="18"/>
          <w:lang w:val="en-CZ" w:eastAsia="en-GB" w:bidi="ar-SA"/>
        </w:rPr>
      </w:pPr>
      <w:r w:rsidRPr="00AF7E13">
        <w:rPr>
          <w:rFonts w:ascii="Helvetica" w:eastAsia="Times New Roman" w:hAnsi="Helvetica" w:cs="Times New Roman"/>
          <w:color w:val="173A84"/>
          <w:sz w:val="18"/>
          <w:szCs w:val="18"/>
          <w:lang w:val="en-CZ" w:eastAsia="en-GB" w:bidi="ar-SA"/>
        </w:rPr>
        <w:t>PATIENT</w:t>
      </w:r>
    </w:p>
    <w:p w14:paraId="0337CCFF" w14:textId="77777777" w:rsidR="00AF7E13" w:rsidRPr="00AF7E13" w:rsidRDefault="00AF7E13" w:rsidP="00AF7E13">
      <w:pPr>
        <w:suppressAutoHyphens w:val="0"/>
        <w:spacing w:line="240" w:lineRule="auto"/>
        <w:rPr>
          <w:rFonts w:ascii="Helvetica" w:eastAsia="Times New Roman" w:hAnsi="Helvetica" w:cs="Times New Roman"/>
          <w:color w:val="000000"/>
          <w:sz w:val="18"/>
          <w:szCs w:val="18"/>
          <w:lang w:val="en-CZ" w:eastAsia="en-GB" w:bidi="ar-SA"/>
        </w:rPr>
      </w:pPr>
      <w:r w:rsidRPr="00AF7E13">
        <w:rPr>
          <w:rFonts w:ascii="Helvetica" w:eastAsia="Times New Roman" w:hAnsi="Helvetica" w:cs="Times New Roman"/>
          <w:color w:val="000000"/>
          <w:sz w:val="18"/>
          <w:szCs w:val="18"/>
          <w:lang w:val="en-CZ" w:eastAsia="en-GB" w:bidi="ar-SA"/>
        </w:rPr>
        <w:t>Patient ID: JM1629</w:t>
      </w:r>
    </w:p>
    <w:p w14:paraId="0E4B7C8A" w14:textId="65D084EF" w:rsidR="00FE20B8" w:rsidRPr="00AE6C44" w:rsidRDefault="00AF7E13" w:rsidP="00FE20B8">
      <w:pPr>
        <w:suppressAutoHyphens w:val="0"/>
        <w:spacing w:line="240" w:lineRule="auto"/>
        <w:rPr>
          <w:rFonts w:ascii="Helvetica" w:eastAsia="Times New Roman" w:hAnsi="Helvetica" w:cs="Times New Roman"/>
          <w:color w:val="000000"/>
          <w:sz w:val="18"/>
          <w:szCs w:val="18"/>
          <w:lang w:val="en-CZ" w:eastAsia="en-GB" w:bidi="ar-SA"/>
        </w:rPr>
      </w:pPr>
      <w:r w:rsidRPr="00AF7E13">
        <w:rPr>
          <w:rFonts w:ascii="Helvetica" w:eastAsia="Times New Roman" w:hAnsi="Helvetica" w:cs="Times New Roman"/>
          <w:color w:val="000000"/>
          <w:sz w:val="18"/>
          <w:szCs w:val="18"/>
          <w:lang w:val="en-CZ" w:eastAsia="en-GB" w:bidi="ar-SA"/>
        </w:rPr>
        <w:t>Diagnosis: Diffuse midline glioma, H3 K27-altered</w:t>
      </w:r>
    </w:p>
    <w:p w14:paraId="6891E0ED" w14:textId="340741A3" w:rsidR="00AE6C44" w:rsidRPr="00AE6C44" w:rsidRDefault="00AE6C44" w:rsidP="00FE20B8">
      <w:pPr>
        <w:suppressAutoHyphens w:val="0"/>
        <w:spacing w:line="240" w:lineRule="auto"/>
        <w:rPr>
          <w:rFonts w:ascii="Helvetica" w:eastAsia="Times New Roman" w:hAnsi="Helvetica" w:cs="Times New Roman"/>
          <w:color w:val="173A84"/>
          <w:sz w:val="18"/>
          <w:szCs w:val="18"/>
          <w:lang w:eastAsia="en-GB" w:bidi="ar-SA"/>
        </w:rPr>
        <w:sectPr w:rsidR="00AE6C44" w:rsidRPr="00AE6C44" w:rsidSect="00DE05D2">
          <w:headerReference w:type="default" r:id="rId8"/>
          <w:pgSz w:w="11906" w:h="16838"/>
          <w:pgMar w:top="720" w:right="720" w:bottom="720" w:left="720" w:header="0" w:footer="0" w:gutter="0"/>
          <w:pgNumType w:start="1"/>
          <w:cols w:space="720"/>
          <w:formProt w:val="0"/>
          <w:docGrid w:linePitch="299" w:charSpace="4096"/>
        </w:sectPr>
      </w:pPr>
      <w:r w:rsidRPr="00AF7E13">
        <w:rPr>
          <w:rFonts w:ascii="Helvetica" w:eastAsia="Times New Roman" w:hAnsi="Helvetica" w:cs="Times New Roman"/>
          <w:color w:val="000000"/>
          <w:sz w:val="18"/>
          <w:szCs w:val="18"/>
          <w:lang w:val="en-CZ" w:eastAsia="en-GB" w:bidi="ar-SA"/>
        </w:rPr>
        <w:t xml:space="preserve">Report </w:t>
      </w:r>
      <w:proofErr w:type="spellStart"/>
      <w:r>
        <w:rPr>
          <w:rFonts w:ascii="Helvetica" w:eastAsia="Times New Roman" w:hAnsi="Helvetica" w:cs="Times New Roman"/>
          <w:color w:val="000000"/>
          <w:sz w:val="18"/>
          <w:szCs w:val="18"/>
          <w:lang w:eastAsia="en-GB" w:bidi="ar-SA"/>
        </w:rPr>
        <w:t>date</w:t>
      </w:r>
      <w:proofErr w:type="spellEnd"/>
      <w:r w:rsidR="00C2585A">
        <w:rPr>
          <w:rFonts w:ascii="Helvetica" w:eastAsia="Times New Roman" w:hAnsi="Helvetica" w:cs="Times New Roman"/>
          <w:color w:val="000000"/>
          <w:sz w:val="18"/>
          <w:szCs w:val="18"/>
          <w:lang w:eastAsia="en-GB" w:bidi="ar-SA"/>
        </w:rPr>
        <w:t xml:space="preserve">: </w:t>
      </w:r>
    </w:p>
    <w:p w14:paraId="125C8A71" w14:textId="77777777" w:rsidR="00AF7E13" w:rsidRDefault="00AF7E13" w:rsidP="00FE20B8">
      <w:pPr>
        <w:suppressAutoHyphens w:val="0"/>
        <w:spacing w:line="240" w:lineRule="auto"/>
        <w:rPr>
          <w:rFonts w:ascii="Helvetica" w:eastAsia="Times New Roman" w:hAnsi="Helvetica" w:cs="Times New Roman"/>
          <w:color w:val="173A84"/>
          <w:sz w:val="18"/>
          <w:szCs w:val="18"/>
          <w:lang w:eastAsia="en-GB" w:bidi="ar-SA"/>
        </w:rPr>
      </w:pPr>
    </w:p>
    <w:p w14:paraId="43D24CDF" w14:textId="653D4822" w:rsidR="00AF7E13" w:rsidRPr="00AF7E13" w:rsidRDefault="00AF7E13" w:rsidP="00AF7E13">
      <w:pPr>
        <w:suppressAutoHyphens w:val="0"/>
        <w:spacing w:line="240" w:lineRule="auto"/>
        <w:rPr>
          <w:rFonts w:ascii="Helvetica" w:eastAsia="Times New Roman" w:hAnsi="Helvetica" w:cs="Times New Roman"/>
          <w:color w:val="000000"/>
          <w:sz w:val="18"/>
          <w:szCs w:val="18"/>
          <w:lang w:val="en-CZ" w:eastAsia="en-GB" w:bidi="ar-SA"/>
        </w:rPr>
      </w:pPr>
    </w:p>
    <w:p w14:paraId="1A3661C9" w14:textId="77777777" w:rsidR="00AF7E13" w:rsidRDefault="00AF7E13" w:rsidP="007A5A02">
      <w:pPr>
        <w:pStyle w:val="normal1"/>
        <w:jc w:val="both"/>
        <w:rPr>
          <w:rFonts w:ascii="Calibri" w:hAnsi="Calibri" w:cs="Calibri"/>
        </w:rPr>
      </w:pPr>
    </w:p>
    <w:p w14:paraId="1F5E8059" w14:textId="1389A7B8" w:rsidR="00AF7E13" w:rsidRPr="003B7361" w:rsidRDefault="00C2585A" w:rsidP="007A5A02">
      <w:pPr>
        <w:pStyle w:val="normal1"/>
        <w:jc w:val="both"/>
        <w:rPr>
          <w:rFonts w:ascii="Calibri" w:eastAsia="Times New Roman" w:hAnsi="Calibri" w:cs="Calibri"/>
          <w:b/>
          <w:bCs/>
          <w:color w:val="163484"/>
          <w:sz w:val="28"/>
          <w:szCs w:val="28"/>
          <w:lang w:eastAsia="en-GB" w:bidi="ar-SA"/>
        </w:rPr>
      </w:pPr>
      <w:r w:rsidRPr="003F55C6">
        <w:rPr>
          <w:rFonts w:ascii="Calibri" w:eastAsia="Times New Roman" w:hAnsi="Calibri" w:cs="Calibri"/>
          <w:b/>
          <w:bCs/>
          <w:color w:val="163484"/>
          <w:sz w:val="28"/>
          <w:szCs w:val="28"/>
          <w:lang w:eastAsia="en-GB" w:bidi="ar-SA"/>
        </w:rPr>
        <w:t>S</w:t>
      </w:r>
      <w:r>
        <w:rPr>
          <w:rFonts w:ascii="Calibri" w:eastAsia="Times New Roman" w:hAnsi="Calibri" w:cs="Calibri"/>
          <w:b/>
          <w:bCs/>
          <w:color w:val="163484"/>
          <w:sz w:val="28"/>
          <w:szCs w:val="28"/>
          <w:lang w:eastAsia="en-GB" w:bidi="ar-SA"/>
        </w:rPr>
        <w:t>UMMARY</w:t>
      </w:r>
    </w:p>
    <w:p w14:paraId="7C9C72B7" w14:textId="77777777" w:rsidR="00C630F0" w:rsidRDefault="00C630F0" w:rsidP="00C630F0">
      <w:pPr>
        <w:suppressAutoHyphens w:val="0"/>
        <w:spacing w:line="240" w:lineRule="auto"/>
        <w:rPr>
          <w:rFonts w:ascii="Calibri" w:hAnsi="Calibri" w:cs="Calibri"/>
        </w:rPr>
      </w:pPr>
      <w:r w:rsidRPr="00F050F2">
        <w:rPr>
          <w:rFonts w:ascii="Calibri" w:hAnsi="Calibri" w:cs="Calibri"/>
        </w:rPr>
        <w:t>&lt;&lt;</w:t>
      </w:r>
      <w:proofErr w:type="spellStart"/>
      <w:r w:rsidRPr="00F050F2">
        <w:rPr>
          <w:rFonts w:ascii="Calibri" w:hAnsi="Calibri" w:cs="Calibri"/>
        </w:rPr>
        <w:t>summary_table</w:t>
      </w:r>
      <w:proofErr w:type="spellEnd"/>
      <w:r w:rsidRPr="00F050F2">
        <w:rPr>
          <w:rFonts w:ascii="Calibri" w:hAnsi="Calibri" w:cs="Calibri"/>
        </w:rPr>
        <w:t>&gt;&gt;</w:t>
      </w:r>
    </w:p>
    <w:p w14:paraId="50C7BE4A" w14:textId="77777777" w:rsidR="00EF5E6D" w:rsidRPr="00F050F2" w:rsidRDefault="00EF5E6D" w:rsidP="00C630F0">
      <w:pPr>
        <w:suppressAutoHyphens w:val="0"/>
        <w:spacing w:line="240" w:lineRule="auto"/>
        <w:rPr>
          <w:rFonts w:ascii="Calibri" w:hAnsi="Calibri" w:cs="Calibri"/>
        </w:rPr>
      </w:pPr>
    </w:p>
    <w:p w14:paraId="18E9C514" w14:textId="77777777" w:rsidR="00C630F0" w:rsidRPr="00AF7E13" w:rsidRDefault="00C630F0" w:rsidP="00C630F0">
      <w:pPr>
        <w:suppressAutoHyphens w:val="0"/>
        <w:spacing w:line="240" w:lineRule="auto"/>
        <w:rPr>
          <w:rFonts w:ascii="Helvetica" w:eastAsia="Times New Roman" w:hAnsi="Helvetica" w:cs="Times New Roman"/>
          <w:color w:val="1D1D1D"/>
          <w:sz w:val="12"/>
          <w:szCs w:val="12"/>
          <w:lang w:val="en-CZ" w:eastAsia="en-GB" w:bidi="ar-SA"/>
        </w:rPr>
      </w:pPr>
      <w:r w:rsidRPr="00AF7E13">
        <w:rPr>
          <w:rFonts w:ascii="Helvetica" w:eastAsia="Times New Roman" w:hAnsi="Helvetica" w:cs="Times New Roman"/>
          <w:color w:val="1D1D1D"/>
          <w:sz w:val="8"/>
          <w:szCs w:val="8"/>
          <w:lang w:val="en-CZ" w:eastAsia="en-GB" w:bidi="ar-SA"/>
        </w:rPr>
        <w:t>*</w:t>
      </w:r>
      <w:r w:rsidRPr="00AF7E13">
        <w:rPr>
          <w:rFonts w:ascii="Helvetica" w:eastAsia="Times New Roman" w:hAnsi="Helvetica" w:cs="Times New Roman"/>
          <w:color w:val="1D1D1D"/>
          <w:sz w:val="12"/>
          <w:szCs w:val="12"/>
          <w:lang w:val="en-CZ" w:eastAsia="en-GB" w:bidi="ar-SA"/>
        </w:rPr>
        <w:t>Details regarding the methodology are listed on page 4.</w:t>
      </w:r>
    </w:p>
    <w:p w14:paraId="1A31F7EC" w14:textId="77777777" w:rsidR="00DE05D2" w:rsidRPr="00E55F6A" w:rsidRDefault="00DE05D2" w:rsidP="007A5A02">
      <w:pPr>
        <w:pStyle w:val="normal1"/>
        <w:jc w:val="both"/>
        <w:rPr>
          <w:rFonts w:ascii="Calibri" w:hAnsi="Calibri" w:cs="Calibri"/>
        </w:rPr>
      </w:pPr>
    </w:p>
    <w:p w14:paraId="5A14B057" w14:textId="77777777" w:rsidR="00DE05D2" w:rsidRPr="00E55F6A" w:rsidRDefault="00DE05D2" w:rsidP="007A5A02">
      <w:pPr>
        <w:pStyle w:val="normal1"/>
        <w:jc w:val="both"/>
        <w:rPr>
          <w:rFonts w:ascii="Calibri" w:hAnsi="Calibri" w:cs="Calibri"/>
        </w:rPr>
      </w:pPr>
    </w:p>
    <w:p w14:paraId="3466C2D8" w14:textId="323F3E16" w:rsidR="00454552" w:rsidRPr="003F55C6" w:rsidRDefault="00DE05D2" w:rsidP="006A7BB7">
      <w:pPr>
        <w:pStyle w:val="normal1"/>
        <w:jc w:val="both"/>
        <w:rPr>
          <w:rFonts w:ascii="Calibri" w:eastAsia="Times New Roman" w:hAnsi="Calibri" w:cs="Calibri"/>
          <w:b/>
          <w:bCs/>
          <w:color w:val="163484"/>
          <w:sz w:val="28"/>
          <w:szCs w:val="28"/>
          <w:lang w:eastAsia="en-GB" w:bidi="ar-SA"/>
        </w:rPr>
      </w:pPr>
      <w:r w:rsidRPr="003F55C6">
        <w:rPr>
          <w:rFonts w:ascii="Calibri" w:eastAsia="Times New Roman" w:hAnsi="Calibri" w:cs="Calibri"/>
          <w:b/>
          <w:bCs/>
          <w:color w:val="163484"/>
          <w:sz w:val="28"/>
          <w:szCs w:val="28"/>
          <w:lang w:eastAsia="en-GB" w:bidi="ar-SA"/>
        </w:rPr>
        <w:t>R</w:t>
      </w:r>
      <w:r w:rsidR="003F55C6">
        <w:rPr>
          <w:rFonts w:ascii="Calibri" w:eastAsia="Times New Roman" w:hAnsi="Calibri" w:cs="Calibri"/>
          <w:b/>
          <w:bCs/>
          <w:color w:val="163484"/>
          <w:sz w:val="28"/>
          <w:szCs w:val="28"/>
          <w:lang w:eastAsia="en-GB" w:bidi="ar-SA"/>
        </w:rPr>
        <w:t>ESULTS</w:t>
      </w:r>
    </w:p>
    <w:p w14:paraId="6E7C8C5D" w14:textId="77777777" w:rsidR="00454552" w:rsidRPr="00E55F6A" w:rsidRDefault="00454552" w:rsidP="007A5A02">
      <w:pPr>
        <w:pStyle w:val="normal1"/>
        <w:jc w:val="both"/>
        <w:rPr>
          <w:rFonts w:ascii="Calibri" w:hAnsi="Calibri" w:cs="Calibri"/>
        </w:rPr>
      </w:pPr>
    </w:p>
    <w:p w14:paraId="3B21BBE1" w14:textId="77777777" w:rsidR="00454552" w:rsidRPr="00A22F7B" w:rsidRDefault="00000000" w:rsidP="006A7BB7">
      <w:pPr>
        <w:pStyle w:val="normal1"/>
        <w:jc w:val="both"/>
        <w:rPr>
          <w:rFonts w:ascii="Calibri" w:eastAsia="Times New Roman" w:hAnsi="Calibri" w:cs="Calibri"/>
          <w:b/>
          <w:bCs/>
          <w:color w:val="163484"/>
          <w:sz w:val="28"/>
          <w:szCs w:val="28"/>
          <w:lang w:val="en-CZ" w:eastAsia="en-GB" w:bidi="ar-SA"/>
        </w:rPr>
      </w:pPr>
      <w:r w:rsidRPr="00A22F7B">
        <w:rPr>
          <w:rFonts w:ascii="Calibri" w:eastAsia="Times New Roman" w:hAnsi="Calibri" w:cs="Calibri"/>
          <w:b/>
          <w:bCs/>
          <w:color w:val="163484"/>
          <w:sz w:val="28"/>
          <w:szCs w:val="28"/>
          <w:lang w:val="en-CZ" w:eastAsia="en-GB" w:bidi="ar-SA"/>
        </w:rPr>
        <w:t>Germline mutations</w:t>
      </w:r>
    </w:p>
    <w:p w14:paraId="18317664" w14:textId="77777777" w:rsidR="00454552" w:rsidRPr="00E55F6A" w:rsidRDefault="00000000" w:rsidP="006A7BB7">
      <w:pPr>
        <w:pStyle w:val="normal1"/>
        <w:jc w:val="both"/>
        <w:rPr>
          <w:rFonts w:ascii="Calibri" w:hAnsi="Calibri" w:cs="Calibri"/>
        </w:rPr>
      </w:pPr>
      <w:r w:rsidRPr="00E55F6A">
        <w:rPr>
          <w:rFonts w:ascii="Calibri" w:hAnsi="Calibri" w:cs="Calibri"/>
        </w:rPr>
        <w:t>&lt;&lt;</w:t>
      </w:r>
      <w:proofErr w:type="spellStart"/>
      <w:r w:rsidRPr="00E55F6A">
        <w:rPr>
          <w:rFonts w:ascii="Calibri" w:hAnsi="Calibri" w:cs="Calibri"/>
        </w:rPr>
        <w:t>germline_table</w:t>
      </w:r>
      <w:proofErr w:type="spellEnd"/>
      <w:r w:rsidRPr="00E55F6A">
        <w:rPr>
          <w:rFonts w:ascii="Calibri" w:hAnsi="Calibri" w:cs="Calibri"/>
        </w:rPr>
        <w:t>&gt;&gt;</w:t>
      </w:r>
    </w:p>
    <w:p w14:paraId="3C979107" w14:textId="77777777" w:rsidR="00454552" w:rsidRDefault="00454552" w:rsidP="007A5A02">
      <w:pPr>
        <w:pStyle w:val="normal1"/>
        <w:jc w:val="both"/>
        <w:rPr>
          <w:rFonts w:ascii="Calibri" w:hAnsi="Calibri" w:cs="Calibri"/>
        </w:rPr>
      </w:pPr>
    </w:p>
    <w:p w14:paraId="110E9769" w14:textId="77777777" w:rsidR="00A22F7B" w:rsidRPr="00E55F6A" w:rsidRDefault="00A22F7B" w:rsidP="007A5A02">
      <w:pPr>
        <w:pStyle w:val="normal1"/>
        <w:jc w:val="both"/>
        <w:rPr>
          <w:rFonts w:ascii="Calibri" w:hAnsi="Calibri" w:cs="Calibri"/>
        </w:rPr>
      </w:pPr>
    </w:p>
    <w:p w14:paraId="1DA383F3" w14:textId="77777777" w:rsidR="00454552" w:rsidRPr="00A22F7B" w:rsidRDefault="00000000" w:rsidP="006A7BB7">
      <w:pPr>
        <w:pStyle w:val="normal1"/>
        <w:jc w:val="both"/>
        <w:rPr>
          <w:rFonts w:ascii="Calibri" w:eastAsia="Times New Roman" w:hAnsi="Calibri" w:cs="Calibri"/>
          <w:b/>
          <w:bCs/>
          <w:color w:val="163484"/>
          <w:sz w:val="28"/>
          <w:szCs w:val="28"/>
          <w:lang w:val="en-CZ" w:eastAsia="en-GB" w:bidi="ar-SA"/>
        </w:rPr>
      </w:pPr>
      <w:r w:rsidRPr="00A22F7B">
        <w:rPr>
          <w:rFonts w:ascii="Calibri" w:eastAsia="Times New Roman" w:hAnsi="Calibri" w:cs="Calibri"/>
          <w:b/>
          <w:bCs/>
          <w:color w:val="163484"/>
          <w:sz w:val="28"/>
          <w:szCs w:val="28"/>
          <w:lang w:val="en-CZ" w:eastAsia="en-GB" w:bidi="ar-SA"/>
        </w:rPr>
        <w:t>Somatic mutations</w:t>
      </w:r>
    </w:p>
    <w:p w14:paraId="2509C2EB" w14:textId="77777777" w:rsidR="00454552" w:rsidRPr="00E55F6A" w:rsidRDefault="00000000" w:rsidP="006A7BB7">
      <w:pPr>
        <w:pStyle w:val="normal1"/>
        <w:jc w:val="both"/>
        <w:rPr>
          <w:rFonts w:ascii="Calibri" w:hAnsi="Calibri" w:cs="Calibri"/>
        </w:rPr>
      </w:pPr>
      <w:r w:rsidRPr="00E55F6A">
        <w:rPr>
          <w:rFonts w:ascii="Calibri" w:hAnsi="Calibri" w:cs="Calibri"/>
        </w:rPr>
        <w:t>&lt;&lt;</w:t>
      </w:r>
      <w:proofErr w:type="spellStart"/>
      <w:r w:rsidRPr="00E55F6A">
        <w:rPr>
          <w:rFonts w:ascii="Calibri" w:hAnsi="Calibri" w:cs="Calibri"/>
        </w:rPr>
        <w:t>somatic_table</w:t>
      </w:r>
      <w:proofErr w:type="spellEnd"/>
      <w:r w:rsidRPr="00E55F6A">
        <w:rPr>
          <w:rFonts w:ascii="Calibri" w:hAnsi="Calibri" w:cs="Calibri"/>
        </w:rPr>
        <w:t>&gt;&gt;</w:t>
      </w:r>
    </w:p>
    <w:p w14:paraId="02876959" w14:textId="77777777" w:rsidR="00454552" w:rsidRDefault="00454552" w:rsidP="007A5A02">
      <w:pPr>
        <w:pStyle w:val="normal1"/>
        <w:jc w:val="both"/>
        <w:rPr>
          <w:rFonts w:ascii="Calibri" w:hAnsi="Calibri" w:cs="Calibri"/>
        </w:rPr>
      </w:pPr>
    </w:p>
    <w:p w14:paraId="0901C9AD" w14:textId="77777777" w:rsidR="00A22F7B" w:rsidRPr="00E55F6A" w:rsidRDefault="00A22F7B" w:rsidP="007A5A02">
      <w:pPr>
        <w:pStyle w:val="normal1"/>
        <w:jc w:val="both"/>
        <w:rPr>
          <w:rFonts w:ascii="Calibri" w:hAnsi="Calibri" w:cs="Calibri"/>
        </w:rPr>
      </w:pPr>
    </w:p>
    <w:p w14:paraId="7D29F160" w14:textId="67C7CEFE" w:rsidR="0093189B" w:rsidRPr="00A22F7B" w:rsidRDefault="0093189B" w:rsidP="006A7BB7">
      <w:pPr>
        <w:pStyle w:val="normal1"/>
        <w:jc w:val="both"/>
        <w:rPr>
          <w:rFonts w:ascii="Calibri" w:eastAsia="Times New Roman" w:hAnsi="Calibri" w:cs="Calibri"/>
          <w:b/>
          <w:bCs/>
          <w:color w:val="163484"/>
          <w:sz w:val="28"/>
          <w:szCs w:val="28"/>
          <w:lang w:val="en-CZ" w:eastAsia="en-GB" w:bidi="ar-SA"/>
        </w:rPr>
      </w:pPr>
      <w:r w:rsidRPr="00A22F7B">
        <w:rPr>
          <w:rFonts w:ascii="Calibri" w:eastAsia="Times New Roman" w:hAnsi="Calibri" w:cs="Calibri"/>
          <w:b/>
          <w:bCs/>
          <w:color w:val="163484"/>
          <w:sz w:val="28"/>
          <w:szCs w:val="28"/>
          <w:lang w:val="en-CZ" w:eastAsia="en-GB" w:bidi="ar-SA"/>
        </w:rPr>
        <w:t>Gene fusions</w:t>
      </w:r>
    </w:p>
    <w:p w14:paraId="4D1DE8F5" w14:textId="1906555D" w:rsidR="0093189B" w:rsidRPr="00E55F6A" w:rsidRDefault="0093189B" w:rsidP="006A7BB7">
      <w:pPr>
        <w:pStyle w:val="normal1"/>
        <w:jc w:val="both"/>
        <w:rPr>
          <w:rFonts w:ascii="Calibri" w:hAnsi="Calibri" w:cs="Calibri"/>
        </w:rPr>
      </w:pPr>
      <w:r w:rsidRPr="00E55F6A">
        <w:rPr>
          <w:rFonts w:ascii="Calibri" w:hAnsi="Calibri" w:cs="Calibri"/>
        </w:rPr>
        <w:t>&lt;&lt;fusion_table&gt;&gt;</w:t>
      </w:r>
    </w:p>
    <w:p w14:paraId="5DBED623" w14:textId="77777777" w:rsidR="0093189B" w:rsidRPr="00E55F6A" w:rsidRDefault="0093189B" w:rsidP="007A5A02">
      <w:pPr>
        <w:pStyle w:val="normal1"/>
        <w:jc w:val="both"/>
        <w:rPr>
          <w:rFonts w:ascii="Calibri" w:hAnsi="Calibri" w:cs="Calibri"/>
        </w:rPr>
      </w:pPr>
    </w:p>
    <w:p w14:paraId="58360671" w14:textId="77777777" w:rsidR="00DE05D2" w:rsidRPr="00E55F6A" w:rsidRDefault="00DE05D2" w:rsidP="007A5A02">
      <w:pPr>
        <w:pStyle w:val="normal1"/>
        <w:jc w:val="both"/>
        <w:rPr>
          <w:rFonts w:ascii="Calibri" w:hAnsi="Calibri" w:cs="Calibri"/>
        </w:rPr>
      </w:pPr>
    </w:p>
    <w:p w14:paraId="1D0DF34F" w14:textId="4E91E744" w:rsidR="001711DA" w:rsidRPr="001711DA" w:rsidRDefault="001711DA" w:rsidP="001711DA">
      <w:pPr>
        <w:pStyle w:val="normal1"/>
        <w:jc w:val="both"/>
        <w:rPr>
          <w:rFonts w:ascii="Calibri" w:eastAsia="Times New Roman" w:hAnsi="Calibri" w:cs="Calibri"/>
          <w:b/>
          <w:bCs/>
          <w:color w:val="163484"/>
          <w:sz w:val="28"/>
          <w:szCs w:val="28"/>
          <w:lang w:eastAsia="en-GB" w:bidi="ar-SA"/>
        </w:rPr>
      </w:pPr>
      <w:proofErr w:type="spellStart"/>
      <w:r>
        <w:rPr>
          <w:rFonts w:ascii="Calibri" w:eastAsia="Times New Roman" w:hAnsi="Calibri" w:cs="Calibri"/>
          <w:b/>
          <w:bCs/>
          <w:color w:val="163484"/>
          <w:sz w:val="28"/>
          <w:szCs w:val="28"/>
          <w:lang w:eastAsia="en-GB" w:bidi="ar-SA"/>
        </w:rPr>
        <w:t>Mutational</w:t>
      </w:r>
      <w:proofErr w:type="spellEnd"/>
      <w:r>
        <w:rPr>
          <w:rFonts w:ascii="Calibri" w:eastAsia="Times New Roman" w:hAnsi="Calibri" w:cs="Calibri"/>
          <w:b/>
          <w:bCs/>
          <w:color w:val="163484"/>
          <w:sz w:val="28"/>
          <w:szCs w:val="28"/>
          <w:lang w:eastAsia="en-GB" w:bidi="ar-SA"/>
        </w:rPr>
        <w:t xml:space="preserve"> </w:t>
      </w:r>
      <w:proofErr w:type="spellStart"/>
      <w:r>
        <w:rPr>
          <w:rFonts w:ascii="Calibri" w:eastAsia="Times New Roman" w:hAnsi="Calibri" w:cs="Calibri"/>
          <w:b/>
          <w:bCs/>
          <w:color w:val="163484"/>
          <w:sz w:val="28"/>
          <w:szCs w:val="28"/>
          <w:lang w:eastAsia="en-GB" w:bidi="ar-SA"/>
        </w:rPr>
        <w:t>signatures</w:t>
      </w:r>
      <w:proofErr w:type="spellEnd"/>
    </w:p>
    <w:p w14:paraId="009A6E38" w14:textId="6856A3AC" w:rsidR="00DE05D2" w:rsidRPr="00E55F6A" w:rsidRDefault="00934029" w:rsidP="007A5A02">
      <w:pPr>
        <w:pStyle w:val="normal1"/>
        <w:jc w:val="both"/>
        <w:rPr>
          <w:rFonts w:ascii="Calibri" w:hAnsi="Calibri" w:cs="Calibri"/>
        </w:rPr>
      </w:pPr>
      <w:r>
        <w:rPr>
          <w:rFonts w:ascii="Calibri" w:hAnsi="Calibri" w:cs="Calibri"/>
        </w:rPr>
        <w:t>&lt;&lt;</w:t>
      </w:r>
      <w:proofErr w:type="spellStart"/>
      <w:r>
        <w:rPr>
          <w:rFonts w:ascii="Calibri" w:hAnsi="Calibri" w:cs="Calibri"/>
        </w:rPr>
        <w:t>mutational_sign_table</w:t>
      </w:r>
      <w:proofErr w:type="spellEnd"/>
      <w:r>
        <w:rPr>
          <w:rFonts w:ascii="Calibri" w:hAnsi="Calibri" w:cs="Calibri"/>
        </w:rPr>
        <w:t>&gt;&gt;</w:t>
      </w:r>
    </w:p>
    <w:p w14:paraId="33D1D8A4" w14:textId="77777777" w:rsidR="007A5A02" w:rsidRPr="00E55F6A" w:rsidRDefault="007A5A02" w:rsidP="007A5A02">
      <w:pPr>
        <w:pStyle w:val="normal1"/>
        <w:jc w:val="both"/>
        <w:rPr>
          <w:rFonts w:ascii="Calibri" w:hAnsi="Calibri" w:cs="Calibri"/>
        </w:rPr>
      </w:pPr>
    </w:p>
    <w:p w14:paraId="490FD7B3" w14:textId="77777777" w:rsidR="007A5A02" w:rsidRPr="00E55F6A" w:rsidRDefault="007A5A02" w:rsidP="007A5A02">
      <w:pPr>
        <w:pStyle w:val="normal1"/>
        <w:jc w:val="both"/>
        <w:rPr>
          <w:rFonts w:ascii="Calibri" w:hAnsi="Calibri" w:cs="Calibri"/>
        </w:rPr>
      </w:pPr>
    </w:p>
    <w:p w14:paraId="345DCFE5" w14:textId="7089F2E9" w:rsidR="00934029" w:rsidRPr="001711DA" w:rsidRDefault="00E374D1" w:rsidP="00934029">
      <w:pPr>
        <w:pStyle w:val="normal1"/>
        <w:jc w:val="both"/>
        <w:rPr>
          <w:rFonts w:ascii="Calibri" w:eastAsia="Times New Roman" w:hAnsi="Calibri" w:cs="Calibri"/>
          <w:b/>
          <w:bCs/>
          <w:color w:val="163484"/>
          <w:sz w:val="28"/>
          <w:szCs w:val="28"/>
          <w:lang w:eastAsia="en-GB" w:bidi="ar-SA"/>
        </w:rPr>
      </w:pPr>
      <w:proofErr w:type="spellStart"/>
      <w:r>
        <w:rPr>
          <w:rFonts w:ascii="Calibri" w:eastAsia="Times New Roman" w:hAnsi="Calibri" w:cs="Calibri"/>
          <w:b/>
          <w:bCs/>
          <w:color w:val="163484"/>
          <w:sz w:val="28"/>
          <w:szCs w:val="28"/>
          <w:lang w:eastAsia="en-GB" w:bidi="ar-SA"/>
        </w:rPr>
        <w:t>Expression</w:t>
      </w:r>
      <w:proofErr w:type="spellEnd"/>
      <w:r>
        <w:rPr>
          <w:rFonts w:ascii="Calibri" w:eastAsia="Times New Roman" w:hAnsi="Calibri" w:cs="Calibri"/>
          <w:b/>
          <w:bCs/>
          <w:color w:val="163484"/>
          <w:sz w:val="28"/>
          <w:szCs w:val="28"/>
          <w:lang w:eastAsia="en-GB" w:bidi="ar-SA"/>
        </w:rPr>
        <w:t xml:space="preserve"> profile</w:t>
      </w:r>
    </w:p>
    <w:p w14:paraId="47B79C7F" w14:textId="3F23623C" w:rsidR="00934029" w:rsidRPr="00E55F6A" w:rsidRDefault="00934029" w:rsidP="00934029">
      <w:pPr>
        <w:pStyle w:val="normal1"/>
        <w:jc w:val="both"/>
        <w:rPr>
          <w:rFonts w:ascii="Calibri" w:hAnsi="Calibri" w:cs="Calibri"/>
        </w:rPr>
      </w:pPr>
      <w:r>
        <w:rPr>
          <w:rFonts w:ascii="Calibri" w:hAnsi="Calibri" w:cs="Calibri"/>
        </w:rPr>
        <w:t>&lt;&lt;</w:t>
      </w:r>
      <w:proofErr w:type="spellStart"/>
      <w:r>
        <w:rPr>
          <w:rFonts w:ascii="Calibri" w:hAnsi="Calibri" w:cs="Calibri"/>
        </w:rPr>
        <w:t>expression_table</w:t>
      </w:r>
      <w:proofErr w:type="spellEnd"/>
      <w:r>
        <w:rPr>
          <w:rFonts w:ascii="Calibri" w:hAnsi="Calibri" w:cs="Calibri"/>
        </w:rPr>
        <w:t>&gt;&gt;</w:t>
      </w:r>
    </w:p>
    <w:p w14:paraId="54C8DBA1" w14:textId="77777777" w:rsidR="007A5A02" w:rsidRPr="00E55F6A" w:rsidRDefault="007A5A02" w:rsidP="00934029">
      <w:pPr>
        <w:pStyle w:val="normal1"/>
        <w:jc w:val="both"/>
        <w:rPr>
          <w:rFonts w:ascii="Calibri" w:hAnsi="Calibri" w:cs="Calibri"/>
        </w:rPr>
      </w:pPr>
    </w:p>
    <w:p w14:paraId="368E1B9A" w14:textId="77777777" w:rsidR="007A5A02" w:rsidRPr="00E55F6A" w:rsidRDefault="007A5A02" w:rsidP="007A5A02">
      <w:pPr>
        <w:pStyle w:val="normal1"/>
        <w:jc w:val="both"/>
        <w:rPr>
          <w:rFonts w:ascii="Calibri" w:hAnsi="Calibri" w:cs="Calibri"/>
        </w:rPr>
      </w:pPr>
    </w:p>
    <w:p w14:paraId="2D5625D2" w14:textId="77777777" w:rsidR="007A5A02" w:rsidRPr="00E55F6A" w:rsidRDefault="007A5A02" w:rsidP="007A5A02">
      <w:pPr>
        <w:pStyle w:val="normal1"/>
        <w:jc w:val="both"/>
        <w:rPr>
          <w:rFonts w:ascii="Calibri" w:hAnsi="Calibri" w:cs="Calibri"/>
        </w:rPr>
      </w:pPr>
    </w:p>
    <w:p w14:paraId="5666530C" w14:textId="77777777" w:rsidR="007A5A02" w:rsidRPr="00E55F6A" w:rsidRDefault="007A5A02" w:rsidP="007A5A02">
      <w:pPr>
        <w:pStyle w:val="normal1"/>
        <w:jc w:val="both"/>
        <w:rPr>
          <w:rFonts w:ascii="Calibri" w:hAnsi="Calibri" w:cs="Calibri"/>
        </w:rPr>
      </w:pPr>
    </w:p>
    <w:p w14:paraId="69A63AD6" w14:textId="77777777" w:rsidR="007A5A02" w:rsidRPr="00E55F6A" w:rsidRDefault="007A5A02" w:rsidP="007A5A02">
      <w:pPr>
        <w:pStyle w:val="normal1"/>
        <w:jc w:val="both"/>
        <w:rPr>
          <w:rFonts w:ascii="Calibri" w:hAnsi="Calibri" w:cs="Calibri"/>
        </w:rPr>
      </w:pPr>
    </w:p>
    <w:p w14:paraId="1FE122BF" w14:textId="77777777" w:rsidR="00454552" w:rsidRDefault="00000000" w:rsidP="006A7BB7">
      <w:pPr>
        <w:pStyle w:val="normal1"/>
        <w:jc w:val="both"/>
        <w:rPr>
          <w:rFonts w:ascii="Calibri" w:hAnsi="Calibri" w:cs="Calibri"/>
        </w:rPr>
      </w:pPr>
      <w:r w:rsidRPr="00E55F6A">
        <w:rPr>
          <w:rFonts w:ascii="Calibri" w:hAnsi="Calibri" w:cs="Calibri"/>
        </w:rPr>
        <w:t>&lt;&lt;plot1&gt;&gt;</w:t>
      </w:r>
    </w:p>
    <w:p w14:paraId="488057AD" w14:textId="77777777" w:rsidR="006A7BB7" w:rsidRDefault="006A7BB7" w:rsidP="006A7BB7">
      <w:pPr>
        <w:pStyle w:val="normal1"/>
        <w:jc w:val="both"/>
        <w:rPr>
          <w:rFonts w:ascii="Calibri" w:hAnsi="Calibri" w:cs="Calibri"/>
        </w:rPr>
      </w:pPr>
    </w:p>
    <w:p w14:paraId="14B21225" w14:textId="77777777" w:rsidR="006A7BB7" w:rsidRDefault="006A7BB7" w:rsidP="00E55F6A">
      <w:pPr>
        <w:pStyle w:val="p2"/>
        <w:jc w:val="both"/>
        <w:rPr>
          <w:rFonts w:ascii="Calibri" w:hAnsi="Calibri" w:cs="Calibri"/>
          <w:b/>
          <w:bCs/>
          <w:color w:val="163484"/>
          <w:sz w:val="28"/>
          <w:szCs w:val="28"/>
          <w:lang w:val="cs-CZ"/>
        </w:rPr>
      </w:pPr>
      <w:r>
        <w:rPr>
          <w:rFonts w:ascii="Calibri" w:hAnsi="Calibri" w:cs="Calibri"/>
          <w:b/>
          <w:bCs/>
          <w:color w:val="163484"/>
          <w:sz w:val="28"/>
          <w:szCs w:val="28"/>
          <w:lang w:val="cs-CZ"/>
        </w:rPr>
        <w:br w:type="page"/>
      </w:r>
    </w:p>
    <w:p w14:paraId="083B2B93" w14:textId="5376EEC0" w:rsidR="00AD1266" w:rsidRDefault="00AD1266" w:rsidP="00E55F6A">
      <w:pPr>
        <w:pStyle w:val="p2"/>
        <w:jc w:val="both"/>
        <w:rPr>
          <w:rFonts w:ascii="Calibri" w:hAnsi="Calibri" w:cs="Calibri"/>
          <w:b/>
          <w:bCs/>
          <w:color w:val="163484"/>
          <w:sz w:val="28"/>
          <w:szCs w:val="28"/>
          <w:lang w:val="cs-CZ"/>
        </w:rPr>
      </w:pPr>
      <w:r>
        <w:rPr>
          <w:rFonts w:ascii="Calibri" w:hAnsi="Calibri" w:cs="Calibri"/>
          <w:b/>
          <w:bCs/>
          <w:color w:val="163484"/>
          <w:sz w:val="28"/>
          <w:szCs w:val="28"/>
          <w:lang w:val="cs-CZ"/>
        </w:rPr>
        <w:lastRenderedPageBreak/>
        <w:t>METHODOLOGY</w:t>
      </w:r>
    </w:p>
    <w:p w14:paraId="78E9D396" w14:textId="77777777" w:rsidR="00AD1266" w:rsidRPr="00AD1266" w:rsidRDefault="00AD1266" w:rsidP="00E55F6A">
      <w:pPr>
        <w:pStyle w:val="p2"/>
        <w:jc w:val="both"/>
        <w:rPr>
          <w:rFonts w:ascii="Calibri" w:hAnsi="Calibri" w:cs="Calibri"/>
          <w:b/>
          <w:bCs/>
          <w:color w:val="163484"/>
          <w:sz w:val="28"/>
          <w:szCs w:val="28"/>
          <w:lang w:val="cs-CZ"/>
        </w:rPr>
      </w:pPr>
    </w:p>
    <w:p w14:paraId="3E0266DC" w14:textId="36048A39" w:rsidR="00C64A22" w:rsidRPr="00267483" w:rsidRDefault="00E55F6A" w:rsidP="00E55F6A">
      <w:pPr>
        <w:pStyle w:val="p2"/>
        <w:jc w:val="both"/>
        <w:rPr>
          <w:rFonts w:ascii="Calibri" w:hAnsi="Calibri" w:cs="Calibri"/>
          <w:b/>
          <w:bCs/>
          <w:color w:val="173A84"/>
          <w:sz w:val="24"/>
          <w:szCs w:val="24"/>
        </w:rPr>
      </w:pPr>
      <w:r w:rsidRPr="00267483">
        <w:rPr>
          <w:rFonts w:ascii="Calibri" w:hAnsi="Calibri" w:cs="Calibri"/>
          <w:b/>
          <w:bCs/>
          <w:color w:val="173A84"/>
          <w:sz w:val="24"/>
          <w:szCs w:val="24"/>
        </w:rPr>
        <w:t>Library preparation and sequencing</w:t>
      </w:r>
    </w:p>
    <w:p w14:paraId="7893E0C6" w14:textId="48C038A6" w:rsidR="00267483" w:rsidRPr="00267483" w:rsidRDefault="00267483" w:rsidP="00267483">
      <w:pPr>
        <w:pStyle w:val="p2"/>
        <w:tabs>
          <w:tab w:val="left" w:pos="2127"/>
        </w:tabs>
        <w:rPr>
          <w:rFonts w:ascii="Calibri" w:hAnsi="Calibri" w:cs="Calibri"/>
          <w:b/>
          <w:bCs/>
          <w:sz w:val="22"/>
          <w:szCs w:val="22"/>
          <w:lang w:val="cs-CZ"/>
        </w:rPr>
      </w:pPr>
      <w:r>
        <w:rPr>
          <w:rFonts w:ascii="Calibri" w:hAnsi="Calibri" w:cs="Calibri"/>
          <w:b/>
          <w:bCs/>
          <w:sz w:val="22"/>
          <w:szCs w:val="22"/>
          <w:lang w:val="cs-CZ"/>
        </w:rPr>
        <w:t>S</w:t>
      </w:r>
      <w:r w:rsidRPr="00267483">
        <w:rPr>
          <w:rFonts w:ascii="Calibri" w:hAnsi="Calibri" w:cs="Calibri"/>
          <w:b/>
          <w:bCs/>
          <w:sz w:val="22"/>
          <w:szCs w:val="22"/>
        </w:rPr>
        <w:t>omatic small variant calling</w:t>
      </w:r>
    </w:p>
    <w:p w14:paraId="7795F72D" w14:textId="61A4073E" w:rsidR="00AC2486" w:rsidRDefault="00AC2486" w:rsidP="00E55F6A">
      <w:pPr>
        <w:pStyle w:val="p2"/>
        <w:jc w:val="both"/>
        <w:rPr>
          <w:rFonts w:ascii="Calibri" w:hAnsi="Calibri" w:cs="Calibri"/>
          <w:sz w:val="22"/>
          <w:szCs w:val="22"/>
        </w:rPr>
      </w:pPr>
      <w:r w:rsidRPr="00AC2486">
        <w:rPr>
          <w:rFonts w:ascii="Calibri" w:hAnsi="Calibri" w:cs="Calibri"/>
          <w:sz w:val="22"/>
          <w:szCs w:val="22"/>
        </w:rPr>
        <w:t>DNA for whole-exome sequencing was extracted from peripheral blood using the QIAmp DNA Micro Kit (Qiagen,</w:t>
      </w:r>
      <w:r>
        <w:rPr>
          <w:rFonts w:ascii="Calibri" w:hAnsi="Calibri" w:cs="Calibri"/>
          <w:sz w:val="22"/>
          <w:szCs w:val="22"/>
          <w:lang w:val="cs-CZ"/>
        </w:rPr>
        <w:t xml:space="preserve"> </w:t>
      </w:r>
      <w:r w:rsidRPr="00AC2486">
        <w:rPr>
          <w:rFonts w:ascii="Calibri" w:hAnsi="Calibri" w:cs="Calibri"/>
          <w:sz w:val="22"/>
          <w:szCs w:val="22"/>
        </w:rPr>
        <w:t>Germany). Sequencing libraries were prepared using KAPA HyperExome Kit (Roche, Switzerland). Sequencing was</w:t>
      </w:r>
      <w:r>
        <w:rPr>
          <w:rFonts w:ascii="Calibri" w:hAnsi="Calibri" w:cs="Calibri"/>
          <w:sz w:val="22"/>
          <w:szCs w:val="22"/>
          <w:lang w:val="cs-CZ"/>
        </w:rPr>
        <w:t xml:space="preserve"> </w:t>
      </w:r>
      <w:r w:rsidRPr="00AC2486">
        <w:rPr>
          <w:rFonts w:ascii="Calibri" w:hAnsi="Calibri" w:cs="Calibri"/>
          <w:sz w:val="22"/>
          <w:szCs w:val="22"/>
        </w:rPr>
        <w:t>carried out on the NextSeq 500 device using NextSeq 500/550 Mid Output Kit v2,5 (150 cycles) (Illumina, CA, USA).</w:t>
      </w:r>
    </w:p>
    <w:p w14:paraId="5EF09F2C" w14:textId="77777777" w:rsidR="00267483" w:rsidRDefault="00267483" w:rsidP="00E55F6A">
      <w:pPr>
        <w:pStyle w:val="p2"/>
        <w:jc w:val="both"/>
        <w:rPr>
          <w:rFonts w:ascii="Calibri" w:hAnsi="Calibri" w:cs="Calibri"/>
          <w:sz w:val="22"/>
          <w:szCs w:val="22"/>
          <w:lang w:val="cs-CZ"/>
        </w:rPr>
      </w:pPr>
    </w:p>
    <w:p w14:paraId="37FF2E1F" w14:textId="77777777" w:rsidR="00267483" w:rsidRPr="00EC09E5" w:rsidRDefault="00267483" w:rsidP="00267483">
      <w:pPr>
        <w:pStyle w:val="p2"/>
        <w:tabs>
          <w:tab w:val="left" w:pos="2127"/>
        </w:tabs>
        <w:rPr>
          <w:rFonts w:ascii="Calibri" w:hAnsi="Calibri" w:cs="Calibri"/>
          <w:b/>
          <w:bCs/>
          <w:sz w:val="22"/>
          <w:szCs w:val="22"/>
          <w:lang w:val="cs-CZ"/>
        </w:rPr>
      </w:pPr>
      <w:r w:rsidRPr="00267483">
        <w:rPr>
          <w:rFonts w:ascii="Calibri" w:hAnsi="Calibri" w:cs="Calibri"/>
          <w:b/>
          <w:bCs/>
          <w:sz w:val="22"/>
          <w:szCs w:val="22"/>
        </w:rPr>
        <w:t>Germline small variant calling</w:t>
      </w:r>
    </w:p>
    <w:p w14:paraId="67378798" w14:textId="5859B8B8" w:rsidR="00267483" w:rsidRDefault="00267483" w:rsidP="00267483">
      <w:pPr>
        <w:pStyle w:val="p2"/>
        <w:jc w:val="both"/>
        <w:rPr>
          <w:rFonts w:ascii="Calibri" w:hAnsi="Calibri" w:cs="Calibri"/>
          <w:sz w:val="22"/>
          <w:szCs w:val="22"/>
        </w:rPr>
      </w:pPr>
      <w:r w:rsidRPr="00E55F6A">
        <w:rPr>
          <w:rFonts w:ascii="Calibri" w:hAnsi="Calibri" w:cs="Calibri"/>
          <w:sz w:val="22"/>
          <w:szCs w:val="22"/>
        </w:rPr>
        <w:t>DNA for whole-exome sequencing was extracted from FFPE tissue using QIAmp DNA FFPE Tissue Kit (Qiagen, Germany) and treated with NEBNext FFPE DNA Repair Mix (New England Biolabs, MA, USA). Sequencing libraries were prepared using KAPA HyperExome Kit (Roche, Switzerland). Sequencing was carried out on the NextSeq 500 device using NextSeq 500/550 Mid Output Kit v2.5 (150 cycles) (Illumina, CA, USA).</w:t>
      </w:r>
    </w:p>
    <w:p w14:paraId="2A1A1ACD" w14:textId="77777777" w:rsidR="00267483" w:rsidRPr="00AC2486" w:rsidRDefault="00267483" w:rsidP="00267483">
      <w:pPr>
        <w:pStyle w:val="p2"/>
        <w:jc w:val="both"/>
        <w:rPr>
          <w:rFonts w:ascii="Calibri" w:hAnsi="Calibri" w:cs="Calibri"/>
          <w:i/>
          <w:iCs/>
          <w:lang w:val="cs-CZ"/>
        </w:rPr>
      </w:pPr>
    </w:p>
    <w:p w14:paraId="593002E9" w14:textId="784F927F" w:rsidR="00AC2486" w:rsidRPr="003438AA" w:rsidRDefault="00267483" w:rsidP="00267483">
      <w:pPr>
        <w:pStyle w:val="p2"/>
        <w:tabs>
          <w:tab w:val="left" w:pos="2127"/>
        </w:tabs>
        <w:rPr>
          <w:rFonts w:ascii="Calibri" w:hAnsi="Calibri" w:cs="Calibri"/>
          <w:b/>
          <w:bCs/>
          <w:sz w:val="22"/>
          <w:szCs w:val="22"/>
          <w:lang w:val="cs-CZ"/>
        </w:rPr>
      </w:pPr>
      <w:r>
        <w:rPr>
          <w:rFonts w:ascii="Calibri" w:hAnsi="Calibri" w:cs="Calibri"/>
          <w:b/>
          <w:bCs/>
          <w:sz w:val="22"/>
          <w:szCs w:val="22"/>
          <w:lang w:val="cs-CZ"/>
        </w:rPr>
        <w:t>F</w:t>
      </w:r>
      <w:r w:rsidRPr="00267483">
        <w:rPr>
          <w:rFonts w:ascii="Calibri" w:hAnsi="Calibri" w:cs="Calibri"/>
          <w:b/>
          <w:bCs/>
          <w:sz w:val="22"/>
          <w:szCs w:val="22"/>
        </w:rPr>
        <w:t>usion genes</w:t>
      </w:r>
      <w:r>
        <w:rPr>
          <w:rFonts w:ascii="Calibri" w:hAnsi="Calibri" w:cs="Calibri"/>
          <w:b/>
          <w:bCs/>
          <w:sz w:val="22"/>
          <w:szCs w:val="22"/>
          <w:lang w:val="cs-CZ"/>
        </w:rPr>
        <w:t xml:space="preserve"> </w:t>
      </w:r>
      <w:proofErr w:type="spellStart"/>
      <w:r>
        <w:rPr>
          <w:rFonts w:ascii="Calibri" w:hAnsi="Calibri" w:cs="Calibri"/>
          <w:b/>
          <w:bCs/>
          <w:sz w:val="22"/>
          <w:szCs w:val="22"/>
          <w:lang w:val="cs-CZ"/>
        </w:rPr>
        <w:t>detection</w:t>
      </w:r>
      <w:proofErr w:type="spellEnd"/>
      <w:r w:rsidR="003438AA">
        <w:rPr>
          <w:rFonts w:ascii="Calibri" w:hAnsi="Calibri" w:cs="Calibri"/>
          <w:b/>
          <w:bCs/>
          <w:sz w:val="22"/>
          <w:szCs w:val="22"/>
          <w:lang w:val="cs-CZ"/>
        </w:rPr>
        <w:t xml:space="preserve"> and e</w:t>
      </w:r>
      <w:r w:rsidR="003438AA" w:rsidRPr="00267483">
        <w:rPr>
          <w:rFonts w:ascii="Calibri" w:hAnsi="Calibri" w:cs="Calibri"/>
          <w:b/>
          <w:bCs/>
          <w:sz w:val="22"/>
          <w:szCs w:val="22"/>
        </w:rPr>
        <w:t>xpression profil</w:t>
      </w:r>
      <w:proofErr w:type="spellStart"/>
      <w:r w:rsidR="003438AA">
        <w:rPr>
          <w:rFonts w:ascii="Calibri" w:hAnsi="Calibri" w:cs="Calibri"/>
          <w:b/>
          <w:bCs/>
          <w:sz w:val="22"/>
          <w:szCs w:val="22"/>
          <w:lang w:val="cs-CZ"/>
        </w:rPr>
        <w:t>ing</w:t>
      </w:r>
      <w:proofErr w:type="spellEnd"/>
    </w:p>
    <w:p w14:paraId="7E4C76CF" w14:textId="45BA6B66" w:rsidR="00E55F6A" w:rsidRDefault="00E55F6A" w:rsidP="00E55F6A">
      <w:pPr>
        <w:pStyle w:val="p2"/>
        <w:jc w:val="both"/>
        <w:rPr>
          <w:rFonts w:ascii="Calibri" w:hAnsi="Calibri" w:cs="Calibri"/>
          <w:sz w:val="22"/>
          <w:szCs w:val="22"/>
        </w:rPr>
      </w:pPr>
      <w:r w:rsidRPr="00E55F6A">
        <w:rPr>
          <w:rFonts w:ascii="Calibri" w:hAnsi="Calibri" w:cs="Calibri"/>
          <w:sz w:val="22"/>
          <w:szCs w:val="22"/>
        </w:rPr>
        <w:t xml:space="preserve">RNA for </w:t>
      </w:r>
      <w:proofErr w:type="spellStart"/>
      <w:r w:rsidR="003438AA">
        <w:rPr>
          <w:rFonts w:ascii="Calibri" w:hAnsi="Calibri" w:cs="Calibri"/>
          <w:sz w:val="22"/>
          <w:szCs w:val="22"/>
          <w:lang w:val="cs-CZ"/>
        </w:rPr>
        <w:t>targeted</w:t>
      </w:r>
      <w:proofErr w:type="spellEnd"/>
      <w:r w:rsidR="003438AA">
        <w:rPr>
          <w:rFonts w:ascii="Calibri" w:hAnsi="Calibri" w:cs="Calibri"/>
          <w:sz w:val="22"/>
          <w:szCs w:val="22"/>
          <w:lang w:val="cs-CZ"/>
        </w:rPr>
        <w:t xml:space="preserve"> </w:t>
      </w:r>
      <w:r w:rsidRPr="00E55F6A">
        <w:rPr>
          <w:rFonts w:ascii="Calibri" w:hAnsi="Calibri" w:cs="Calibri"/>
          <w:sz w:val="22"/>
          <w:szCs w:val="22"/>
        </w:rPr>
        <w:t>RNA sequencing was extracted from frozen tissue using MiRVana miRNA Isolation Kit and treated with a DNA-free DNA Removal Kit (ThermoFisher Scientific). Messenger RNA was purified using NEBNext Poly(A) mRNA Magnetic Isolation Module (New England Biolabs). Sequencing libraries from polyA-selected mRNA were prepared using NEBNext Ultra II Directional RNA Library Prep Kit (New England Biolabs). Sequencing was carried out on the NextSeq 500 device using NextSeq 500/550 Mid Output Kit v2.5 (75 cycles) (Illumina).</w:t>
      </w:r>
    </w:p>
    <w:p w14:paraId="7139B3C9" w14:textId="77777777" w:rsidR="003438AA" w:rsidRDefault="003438AA" w:rsidP="00E55F6A">
      <w:pPr>
        <w:pStyle w:val="p2"/>
        <w:jc w:val="both"/>
        <w:rPr>
          <w:rFonts w:ascii="Calibri" w:hAnsi="Calibri" w:cs="Calibri"/>
          <w:sz w:val="22"/>
          <w:szCs w:val="22"/>
        </w:rPr>
      </w:pPr>
    </w:p>
    <w:p w14:paraId="17B0F716" w14:textId="77777777" w:rsidR="00E55F6A" w:rsidRPr="00E55F6A" w:rsidRDefault="00E55F6A" w:rsidP="00E55F6A">
      <w:pPr>
        <w:pStyle w:val="p2"/>
        <w:jc w:val="both"/>
        <w:rPr>
          <w:rFonts w:ascii="Calibri" w:hAnsi="Calibri" w:cs="Calibri"/>
          <w:sz w:val="22"/>
          <w:szCs w:val="22"/>
        </w:rPr>
      </w:pPr>
    </w:p>
    <w:p w14:paraId="6FB0AEAB" w14:textId="77777777" w:rsidR="00C64A22" w:rsidRPr="00267483" w:rsidRDefault="00E55F6A" w:rsidP="00267483">
      <w:pPr>
        <w:pStyle w:val="p2"/>
        <w:jc w:val="both"/>
        <w:rPr>
          <w:rFonts w:ascii="Calibri" w:hAnsi="Calibri" w:cs="Calibri"/>
          <w:b/>
          <w:bCs/>
          <w:color w:val="173A84"/>
          <w:sz w:val="24"/>
          <w:szCs w:val="24"/>
        </w:rPr>
      </w:pPr>
      <w:r w:rsidRPr="00267483">
        <w:rPr>
          <w:rFonts w:ascii="Calibri" w:hAnsi="Calibri" w:cs="Calibri"/>
          <w:b/>
          <w:bCs/>
          <w:color w:val="173A84"/>
          <w:sz w:val="24"/>
          <w:szCs w:val="24"/>
        </w:rPr>
        <w:t>Patient-specific information regarding the analysis</w:t>
      </w:r>
    </w:p>
    <w:p w14:paraId="5676F05D" w14:textId="297CB1E8" w:rsidR="00E55F6A" w:rsidRPr="00EC09E5" w:rsidRDefault="00E55F6A" w:rsidP="00C64A22">
      <w:pPr>
        <w:pStyle w:val="p2"/>
        <w:rPr>
          <w:rFonts w:ascii="Calibri" w:hAnsi="Calibri" w:cs="Calibri"/>
          <w:sz w:val="22"/>
          <w:szCs w:val="22"/>
          <w:lang w:val="cs-CZ"/>
        </w:rPr>
      </w:pPr>
      <w:r w:rsidRPr="00E55F6A">
        <w:rPr>
          <w:rFonts w:ascii="Calibri" w:hAnsi="Calibri" w:cs="Calibri"/>
          <w:sz w:val="22"/>
          <w:szCs w:val="22"/>
        </w:rPr>
        <w:t>DNA</w:t>
      </w:r>
      <w:r w:rsidR="00EC09E5">
        <w:rPr>
          <w:rFonts w:ascii="Calibri" w:hAnsi="Calibri" w:cs="Calibri"/>
          <w:sz w:val="22"/>
          <w:szCs w:val="22"/>
          <w:lang w:val="cs-CZ"/>
        </w:rPr>
        <w:t xml:space="preserve"> </w:t>
      </w:r>
      <w:r w:rsidRPr="00E55F6A">
        <w:rPr>
          <w:rFonts w:ascii="Calibri" w:hAnsi="Calibri" w:cs="Calibri"/>
          <w:sz w:val="22"/>
          <w:szCs w:val="22"/>
        </w:rPr>
        <w:t>was extracted from FFPE tissue. DIN was 2.9. The sequencing was performed on the 26th of April, 2023. 96% of the target regions were covered at least 20 times.</w:t>
      </w:r>
      <w:r w:rsidR="00EC09E5">
        <w:rPr>
          <w:rFonts w:ascii="Calibri" w:hAnsi="Calibri" w:cs="Calibri"/>
          <w:sz w:val="22"/>
          <w:szCs w:val="22"/>
          <w:lang w:val="cs-CZ"/>
        </w:rPr>
        <w:t xml:space="preserve"> (</w:t>
      </w:r>
      <w:proofErr w:type="spellStart"/>
      <w:r w:rsidR="00EC09E5" w:rsidRPr="00AC2486">
        <w:rPr>
          <w:rFonts w:ascii="Calibri" w:hAnsi="Calibri" w:cs="Calibri"/>
          <w:i/>
          <w:iCs/>
          <w:lang w:val="cs-CZ"/>
        </w:rPr>
        <w:t>somatic</w:t>
      </w:r>
      <w:proofErr w:type="spellEnd"/>
      <w:r w:rsidR="00EC09E5" w:rsidRPr="00AC2486">
        <w:rPr>
          <w:rFonts w:ascii="Calibri" w:hAnsi="Calibri" w:cs="Calibri"/>
          <w:i/>
          <w:iCs/>
          <w:lang w:val="cs-CZ"/>
        </w:rPr>
        <w:t xml:space="preserve"> var call)</w:t>
      </w:r>
    </w:p>
    <w:p w14:paraId="6619BE79" w14:textId="77777777" w:rsidR="00EC09E5" w:rsidRDefault="00EC09E5" w:rsidP="00C64A22">
      <w:pPr>
        <w:pStyle w:val="p2"/>
        <w:rPr>
          <w:rFonts w:ascii="Calibri" w:hAnsi="Calibri" w:cs="Calibri"/>
          <w:sz w:val="22"/>
          <w:szCs w:val="22"/>
        </w:rPr>
      </w:pPr>
    </w:p>
    <w:p w14:paraId="290828A2" w14:textId="0CE8B862" w:rsidR="00EC09E5" w:rsidRDefault="00EC09E5" w:rsidP="00C64A22">
      <w:pPr>
        <w:pStyle w:val="p2"/>
        <w:rPr>
          <w:rFonts w:ascii="Calibri" w:hAnsi="Calibri" w:cs="Calibri"/>
          <w:i/>
          <w:iCs/>
          <w:lang w:val="cs-CZ"/>
        </w:rPr>
      </w:pPr>
      <w:r w:rsidRPr="00EC09E5">
        <w:rPr>
          <w:rFonts w:ascii="Calibri" w:hAnsi="Calibri" w:cs="Calibri"/>
          <w:sz w:val="22"/>
          <w:szCs w:val="22"/>
        </w:rPr>
        <w:t>The sequencing was performed on the 26th of April, 2023. 91% of the target regions were covered at least 30 times.</w:t>
      </w:r>
      <w:r>
        <w:rPr>
          <w:rFonts w:ascii="Calibri" w:hAnsi="Calibri" w:cs="Calibri"/>
          <w:sz w:val="22"/>
          <w:szCs w:val="22"/>
          <w:lang w:val="cs-CZ"/>
        </w:rPr>
        <w:t xml:space="preserve"> (</w:t>
      </w:r>
      <w:proofErr w:type="spellStart"/>
      <w:r w:rsidRPr="00AC2486">
        <w:rPr>
          <w:rFonts w:ascii="Calibri" w:hAnsi="Calibri" w:cs="Calibri"/>
          <w:i/>
          <w:iCs/>
          <w:lang w:val="cs-CZ"/>
        </w:rPr>
        <w:t>germline</w:t>
      </w:r>
      <w:proofErr w:type="spellEnd"/>
      <w:r w:rsidRPr="00AC2486">
        <w:rPr>
          <w:rFonts w:ascii="Calibri" w:hAnsi="Calibri" w:cs="Calibri"/>
          <w:i/>
          <w:iCs/>
          <w:lang w:val="cs-CZ"/>
        </w:rPr>
        <w:t xml:space="preserve"> var call)</w:t>
      </w:r>
    </w:p>
    <w:p w14:paraId="57536641" w14:textId="77777777" w:rsidR="003438AA" w:rsidRDefault="003438AA" w:rsidP="00C64A22">
      <w:pPr>
        <w:pStyle w:val="p2"/>
        <w:rPr>
          <w:rFonts w:ascii="Calibri" w:hAnsi="Calibri" w:cs="Calibri"/>
          <w:i/>
          <w:iCs/>
          <w:lang w:val="cs-CZ"/>
        </w:rPr>
      </w:pPr>
    </w:p>
    <w:p w14:paraId="0BB6AB99" w14:textId="78EEFC0A" w:rsidR="003438AA" w:rsidRPr="003438AA" w:rsidRDefault="003438AA" w:rsidP="00C64A22">
      <w:pPr>
        <w:pStyle w:val="p2"/>
        <w:rPr>
          <w:rFonts w:ascii="Calibri" w:hAnsi="Calibri" w:cs="Calibri"/>
          <w:sz w:val="22"/>
          <w:szCs w:val="22"/>
        </w:rPr>
      </w:pPr>
      <w:r w:rsidRPr="003438AA">
        <w:rPr>
          <w:rFonts w:ascii="Calibri" w:hAnsi="Calibri" w:cs="Calibri"/>
          <w:sz w:val="22"/>
          <w:szCs w:val="22"/>
        </w:rPr>
        <w:t>The sequencing was performed on the 3rd of May, 2023. The manufacturer´s recommendations on input RNA</w:t>
      </w:r>
      <w:r>
        <w:rPr>
          <w:rFonts w:ascii="Calibri" w:hAnsi="Calibri" w:cs="Calibri"/>
          <w:sz w:val="22"/>
          <w:szCs w:val="22"/>
          <w:lang w:val="cs-CZ"/>
        </w:rPr>
        <w:t xml:space="preserve"> </w:t>
      </w:r>
      <w:r w:rsidRPr="003438AA">
        <w:rPr>
          <w:rFonts w:ascii="Calibri" w:hAnsi="Calibri" w:cs="Calibri"/>
          <w:sz w:val="22"/>
          <w:szCs w:val="22"/>
        </w:rPr>
        <w:t>quality state that the RNA integrity number (RIN) should be ≥7. The RIN of RNA extracted from the patient´s tumor</w:t>
      </w:r>
      <w:r>
        <w:rPr>
          <w:rFonts w:ascii="Calibri" w:hAnsi="Calibri" w:cs="Calibri"/>
          <w:sz w:val="22"/>
          <w:szCs w:val="22"/>
          <w:lang w:val="cs-CZ"/>
        </w:rPr>
        <w:t xml:space="preserve"> </w:t>
      </w:r>
      <w:r w:rsidRPr="003438AA">
        <w:rPr>
          <w:rFonts w:ascii="Calibri" w:hAnsi="Calibri" w:cs="Calibri"/>
          <w:sz w:val="22"/>
          <w:szCs w:val="22"/>
        </w:rPr>
        <w:t>was 8,9.</w:t>
      </w:r>
      <w:r w:rsidR="00FE20B8">
        <w:rPr>
          <w:rFonts w:ascii="Calibri" w:hAnsi="Calibri" w:cs="Calibri"/>
          <w:sz w:val="22"/>
          <w:szCs w:val="22"/>
          <w:lang w:val="cs-CZ"/>
        </w:rPr>
        <w:t xml:space="preserve"> (</w:t>
      </w:r>
      <w:proofErr w:type="spellStart"/>
      <w:r w:rsidR="00FE20B8">
        <w:rPr>
          <w:rFonts w:ascii="Calibri" w:hAnsi="Calibri" w:cs="Calibri"/>
          <w:i/>
          <w:iCs/>
          <w:lang w:val="cs-CZ"/>
        </w:rPr>
        <w:t>expression</w:t>
      </w:r>
      <w:proofErr w:type="spellEnd"/>
      <w:r w:rsidR="00FE20B8">
        <w:rPr>
          <w:rFonts w:ascii="Calibri" w:hAnsi="Calibri" w:cs="Calibri"/>
          <w:i/>
          <w:iCs/>
          <w:lang w:val="cs-CZ"/>
        </w:rPr>
        <w:t xml:space="preserve"> profile</w:t>
      </w:r>
      <w:r w:rsidR="00FE20B8" w:rsidRPr="00AC2486">
        <w:rPr>
          <w:rFonts w:ascii="Calibri" w:hAnsi="Calibri" w:cs="Calibri"/>
          <w:i/>
          <w:iCs/>
          <w:lang w:val="cs-CZ"/>
        </w:rPr>
        <w:t>)</w:t>
      </w:r>
      <w:r>
        <w:rPr>
          <w:rFonts w:ascii="Calibri" w:hAnsi="Calibri" w:cs="Calibri"/>
          <w:sz w:val="22"/>
          <w:szCs w:val="22"/>
        </w:rPr>
        <w:br/>
      </w:r>
      <w:r>
        <w:rPr>
          <w:rFonts w:ascii="Calibri" w:hAnsi="Calibri" w:cs="Calibri"/>
          <w:sz w:val="22"/>
          <w:szCs w:val="22"/>
        </w:rPr>
        <w:br/>
      </w:r>
    </w:p>
    <w:p w14:paraId="21F73456" w14:textId="77777777" w:rsidR="00E55F6A" w:rsidRPr="00E55F6A" w:rsidRDefault="00E55F6A" w:rsidP="00E55F6A">
      <w:pPr>
        <w:pStyle w:val="p2"/>
        <w:jc w:val="both"/>
        <w:rPr>
          <w:rFonts w:ascii="Calibri" w:hAnsi="Calibri" w:cs="Calibri"/>
          <w:sz w:val="22"/>
          <w:szCs w:val="22"/>
        </w:rPr>
      </w:pPr>
    </w:p>
    <w:p w14:paraId="2BF001B8" w14:textId="77777777" w:rsidR="00E55F6A" w:rsidRPr="00267483" w:rsidRDefault="00E55F6A" w:rsidP="00E55F6A">
      <w:pPr>
        <w:pStyle w:val="p2"/>
        <w:jc w:val="both"/>
        <w:rPr>
          <w:rFonts w:ascii="Calibri" w:hAnsi="Calibri" w:cs="Calibri"/>
          <w:b/>
          <w:bCs/>
          <w:color w:val="173A84"/>
          <w:sz w:val="24"/>
          <w:szCs w:val="24"/>
        </w:rPr>
      </w:pPr>
      <w:r w:rsidRPr="00267483">
        <w:rPr>
          <w:rFonts w:ascii="Calibri" w:hAnsi="Calibri" w:cs="Calibri"/>
          <w:b/>
          <w:bCs/>
          <w:color w:val="173A84"/>
          <w:sz w:val="24"/>
          <w:szCs w:val="24"/>
        </w:rPr>
        <w:t>Bioinformatic workflow</w:t>
      </w:r>
    </w:p>
    <w:p w14:paraId="5A9B9D81" w14:textId="58C872F5" w:rsidR="00C64A22" w:rsidRPr="00EC09E5" w:rsidRDefault="00267483" w:rsidP="00C64A22">
      <w:pPr>
        <w:pStyle w:val="p2"/>
        <w:tabs>
          <w:tab w:val="left" w:pos="2127"/>
        </w:tabs>
        <w:rPr>
          <w:rFonts w:ascii="Calibri" w:hAnsi="Calibri" w:cs="Calibri"/>
          <w:b/>
          <w:bCs/>
          <w:sz w:val="22"/>
          <w:szCs w:val="22"/>
          <w:lang w:val="cs-CZ"/>
        </w:rPr>
      </w:pPr>
      <w:r>
        <w:rPr>
          <w:rFonts w:ascii="Calibri" w:hAnsi="Calibri" w:cs="Calibri"/>
          <w:b/>
          <w:bCs/>
          <w:sz w:val="22"/>
          <w:szCs w:val="22"/>
          <w:lang w:val="cs-CZ"/>
        </w:rPr>
        <w:t>S</w:t>
      </w:r>
      <w:r w:rsidRPr="00267483">
        <w:rPr>
          <w:rFonts w:ascii="Calibri" w:hAnsi="Calibri" w:cs="Calibri"/>
          <w:b/>
          <w:bCs/>
          <w:sz w:val="22"/>
          <w:szCs w:val="22"/>
        </w:rPr>
        <w:t>omatic small variant calling</w:t>
      </w:r>
    </w:p>
    <w:p w14:paraId="2CE82D17" w14:textId="77777777" w:rsidR="00C64A22" w:rsidRDefault="00E55F6A" w:rsidP="00C64A22">
      <w:pPr>
        <w:pStyle w:val="p2"/>
        <w:tabs>
          <w:tab w:val="left" w:pos="2127"/>
        </w:tabs>
        <w:jc w:val="both"/>
        <w:rPr>
          <w:rFonts w:ascii="Calibri" w:hAnsi="Calibri" w:cs="Calibri"/>
          <w:sz w:val="22"/>
          <w:szCs w:val="22"/>
        </w:rPr>
      </w:pPr>
      <w:r w:rsidRPr="00E55F6A">
        <w:rPr>
          <w:rFonts w:ascii="Calibri" w:hAnsi="Calibri" w:cs="Calibri"/>
          <w:sz w:val="22"/>
          <w:szCs w:val="22"/>
        </w:rPr>
        <w:t xml:space="preserve">Data processing: </w:t>
      </w:r>
      <w:r w:rsidR="00C64A22">
        <w:rPr>
          <w:rFonts w:ascii="Calibri" w:hAnsi="Calibri" w:cs="Calibri"/>
          <w:sz w:val="22"/>
          <w:szCs w:val="22"/>
        </w:rPr>
        <w:tab/>
      </w:r>
      <w:r w:rsidRPr="00E55F6A">
        <w:rPr>
          <w:rFonts w:ascii="Calibri" w:hAnsi="Calibri" w:cs="Calibri"/>
          <w:sz w:val="22"/>
          <w:szCs w:val="22"/>
        </w:rPr>
        <w:t>BWA (alignment to GRCh38), Picard (marking duplicates), Samtools (sorting/indexing)</w:t>
      </w:r>
    </w:p>
    <w:p w14:paraId="332DD237" w14:textId="429A1A1A" w:rsidR="00C64A22" w:rsidRDefault="00E55F6A" w:rsidP="00C64A22">
      <w:pPr>
        <w:pStyle w:val="p2"/>
        <w:tabs>
          <w:tab w:val="left" w:pos="2127"/>
        </w:tabs>
        <w:jc w:val="both"/>
        <w:rPr>
          <w:rFonts w:ascii="Calibri" w:hAnsi="Calibri" w:cs="Calibri"/>
          <w:sz w:val="22"/>
          <w:szCs w:val="22"/>
        </w:rPr>
      </w:pPr>
      <w:r w:rsidRPr="00E55F6A">
        <w:rPr>
          <w:rFonts w:ascii="Calibri" w:hAnsi="Calibri" w:cs="Calibri"/>
          <w:sz w:val="22"/>
          <w:szCs w:val="22"/>
        </w:rPr>
        <w:t xml:space="preserve">Quality Control: </w:t>
      </w:r>
      <w:r w:rsidR="00C64A22">
        <w:rPr>
          <w:rFonts w:ascii="Calibri" w:hAnsi="Calibri" w:cs="Calibri"/>
          <w:sz w:val="22"/>
          <w:szCs w:val="22"/>
        </w:rPr>
        <w:tab/>
      </w:r>
      <w:r w:rsidRPr="00E55F6A">
        <w:rPr>
          <w:rFonts w:ascii="Calibri" w:hAnsi="Calibri" w:cs="Calibri"/>
          <w:sz w:val="22"/>
          <w:szCs w:val="22"/>
        </w:rPr>
        <w:t>Qualimap, PicardTools CollectHsMetrics, FastQC (aggregated in MultiQC)</w:t>
      </w:r>
    </w:p>
    <w:p w14:paraId="43DAF319" w14:textId="1EF4DF78" w:rsidR="00C64A22" w:rsidRDefault="00E55F6A" w:rsidP="00C64A22">
      <w:pPr>
        <w:pStyle w:val="p2"/>
        <w:tabs>
          <w:tab w:val="left" w:pos="2127"/>
        </w:tabs>
        <w:jc w:val="both"/>
        <w:rPr>
          <w:rFonts w:ascii="Calibri" w:hAnsi="Calibri" w:cs="Calibri"/>
          <w:sz w:val="22"/>
          <w:szCs w:val="22"/>
        </w:rPr>
      </w:pPr>
      <w:r w:rsidRPr="00E55F6A">
        <w:rPr>
          <w:rFonts w:ascii="Calibri" w:hAnsi="Calibri" w:cs="Calibri"/>
          <w:sz w:val="22"/>
          <w:szCs w:val="22"/>
        </w:rPr>
        <w:t xml:space="preserve">Variant Calling: </w:t>
      </w:r>
      <w:r w:rsidR="00C64A22">
        <w:rPr>
          <w:rFonts w:ascii="Calibri" w:hAnsi="Calibri" w:cs="Calibri"/>
          <w:sz w:val="22"/>
          <w:szCs w:val="22"/>
        </w:rPr>
        <w:tab/>
      </w:r>
      <w:r w:rsidRPr="00E55F6A">
        <w:rPr>
          <w:rFonts w:ascii="Calibri" w:hAnsi="Calibri" w:cs="Calibri"/>
          <w:sz w:val="22"/>
          <w:szCs w:val="22"/>
        </w:rPr>
        <w:t>Strelka, VarDict, Mutect2, SomaticSniper, LoFreq, MuSE, VarScan (SomaticSeq pipeline,</w:t>
      </w:r>
      <w:r w:rsidR="00C64A22">
        <w:rPr>
          <w:rFonts w:ascii="Calibri" w:hAnsi="Calibri" w:cs="Calibri"/>
          <w:sz w:val="22"/>
          <w:szCs w:val="22"/>
          <w:lang w:val="cs-CZ"/>
        </w:rPr>
        <w:t xml:space="preserve"> </w:t>
      </w:r>
      <w:r w:rsidR="00C64A22">
        <w:rPr>
          <w:rFonts w:ascii="Calibri" w:hAnsi="Calibri" w:cs="Calibri"/>
          <w:sz w:val="22"/>
          <w:szCs w:val="22"/>
          <w:lang w:val="cs-CZ"/>
        </w:rPr>
        <w:tab/>
      </w:r>
      <w:r w:rsidRPr="00E55F6A">
        <w:rPr>
          <w:rFonts w:ascii="Calibri" w:hAnsi="Calibri" w:cs="Calibri"/>
          <w:sz w:val="22"/>
          <w:szCs w:val="22"/>
        </w:rPr>
        <w:t>consensus approach – calls made by 3 or more callers out of 7)</w:t>
      </w:r>
    </w:p>
    <w:p w14:paraId="5BC559A3" w14:textId="2B5DADA2" w:rsidR="00C64A22" w:rsidRDefault="00E55F6A" w:rsidP="00C64A22">
      <w:pPr>
        <w:pStyle w:val="p2"/>
        <w:tabs>
          <w:tab w:val="left" w:pos="2127"/>
        </w:tabs>
        <w:jc w:val="both"/>
        <w:rPr>
          <w:rFonts w:ascii="Calibri" w:hAnsi="Calibri" w:cs="Calibri"/>
          <w:sz w:val="22"/>
          <w:szCs w:val="22"/>
        </w:rPr>
      </w:pPr>
      <w:r w:rsidRPr="00E55F6A">
        <w:rPr>
          <w:rFonts w:ascii="Calibri" w:hAnsi="Calibri" w:cs="Calibri"/>
          <w:sz w:val="22"/>
          <w:szCs w:val="22"/>
        </w:rPr>
        <w:t xml:space="preserve">Annotation: </w:t>
      </w:r>
      <w:r w:rsidR="00C64A22">
        <w:rPr>
          <w:rFonts w:ascii="Calibri" w:hAnsi="Calibri" w:cs="Calibri"/>
          <w:sz w:val="22"/>
          <w:szCs w:val="22"/>
        </w:rPr>
        <w:tab/>
      </w:r>
      <w:r w:rsidRPr="00E55F6A">
        <w:rPr>
          <w:rFonts w:ascii="Calibri" w:hAnsi="Calibri" w:cs="Calibri"/>
          <w:sz w:val="22"/>
          <w:szCs w:val="22"/>
        </w:rPr>
        <w:t>Ensembl Variant Effect Predictor + in-house annotation scripts for Gene, Transcript</w:t>
      </w:r>
      <w:r w:rsidR="00C64A22">
        <w:rPr>
          <w:rFonts w:ascii="Calibri" w:hAnsi="Calibri" w:cs="Calibri"/>
          <w:sz w:val="22"/>
          <w:szCs w:val="22"/>
          <w:lang w:val="cs-CZ"/>
        </w:rPr>
        <w:t xml:space="preserve"> </w:t>
      </w:r>
      <w:r w:rsidR="00C64A22">
        <w:rPr>
          <w:rFonts w:ascii="Calibri" w:hAnsi="Calibri" w:cs="Calibri"/>
          <w:sz w:val="22"/>
          <w:szCs w:val="22"/>
          <w:lang w:val="cs-CZ"/>
        </w:rPr>
        <w:tab/>
      </w:r>
      <w:r w:rsidRPr="00E55F6A">
        <w:rPr>
          <w:rFonts w:ascii="Calibri" w:hAnsi="Calibri" w:cs="Calibri"/>
          <w:sz w:val="22"/>
          <w:szCs w:val="22"/>
        </w:rPr>
        <w:t xml:space="preserve">assignment, Variant Consequence, Population databases (1000 Genomes, GnomAD, ExAC), </w:t>
      </w:r>
      <w:r w:rsidR="00C64A22">
        <w:rPr>
          <w:rFonts w:ascii="Calibri" w:hAnsi="Calibri" w:cs="Calibri"/>
          <w:sz w:val="22"/>
          <w:szCs w:val="22"/>
          <w:lang w:val="cs-CZ"/>
        </w:rPr>
        <w:tab/>
      </w:r>
      <w:r w:rsidRPr="00E55F6A">
        <w:rPr>
          <w:rFonts w:ascii="Calibri" w:hAnsi="Calibri" w:cs="Calibri"/>
          <w:sz w:val="22"/>
          <w:szCs w:val="22"/>
        </w:rPr>
        <w:t xml:space="preserve">Clinical databases (dbSNP, CancerGeneCensus, COSMIC, HGMD, NHLBI ESP, TruSight, ClinVar, </w:t>
      </w:r>
      <w:r w:rsidR="00C64A22">
        <w:rPr>
          <w:rFonts w:ascii="Calibri" w:hAnsi="Calibri" w:cs="Calibri"/>
          <w:sz w:val="22"/>
          <w:szCs w:val="22"/>
          <w:lang w:val="cs-CZ"/>
        </w:rPr>
        <w:tab/>
      </w:r>
      <w:r w:rsidRPr="00E55F6A">
        <w:rPr>
          <w:rFonts w:ascii="Calibri" w:hAnsi="Calibri" w:cs="Calibri"/>
          <w:sz w:val="22"/>
          <w:szCs w:val="22"/>
        </w:rPr>
        <w:t>MD Anderson, Foundation One CDx), Protein structure predictors (SIFT, PolyPhen2</w:t>
      </w:r>
      <w:r w:rsidR="00C64A22">
        <w:rPr>
          <w:rFonts w:ascii="Calibri" w:hAnsi="Calibri" w:cs="Calibri"/>
          <w:sz w:val="22"/>
          <w:szCs w:val="22"/>
          <w:lang w:val="cs-CZ"/>
        </w:rPr>
        <w:t>)</w:t>
      </w:r>
    </w:p>
    <w:p w14:paraId="4ABCCB89" w14:textId="542648D8" w:rsidR="00C64A22" w:rsidRPr="00C64A22" w:rsidRDefault="00E55F6A" w:rsidP="00C64A22">
      <w:pPr>
        <w:pStyle w:val="p2"/>
        <w:tabs>
          <w:tab w:val="left" w:pos="2127"/>
        </w:tabs>
        <w:jc w:val="both"/>
        <w:rPr>
          <w:rFonts w:ascii="Calibri" w:hAnsi="Calibri" w:cs="Calibri"/>
          <w:b/>
          <w:bCs/>
          <w:sz w:val="22"/>
          <w:szCs w:val="22"/>
        </w:rPr>
      </w:pPr>
      <w:r w:rsidRPr="00E55F6A">
        <w:rPr>
          <w:rFonts w:ascii="Calibri" w:hAnsi="Calibri" w:cs="Calibri"/>
          <w:sz w:val="22"/>
          <w:szCs w:val="22"/>
        </w:rPr>
        <w:t xml:space="preserve">TMB computation: </w:t>
      </w:r>
      <w:r w:rsidR="00C64A22">
        <w:rPr>
          <w:rFonts w:ascii="Calibri" w:hAnsi="Calibri" w:cs="Calibri"/>
          <w:sz w:val="22"/>
          <w:szCs w:val="22"/>
        </w:rPr>
        <w:tab/>
      </w:r>
      <w:r w:rsidRPr="00E55F6A">
        <w:rPr>
          <w:rFonts w:ascii="Calibri" w:hAnsi="Calibri" w:cs="Calibri"/>
          <w:sz w:val="22"/>
          <w:szCs w:val="22"/>
        </w:rPr>
        <w:t xml:space="preserve">Count only non-synonymous exonic SNVs with VAF &gt; 5%. </w:t>
      </w:r>
    </w:p>
    <w:p w14:paraId="317EB2D5" w14:textId="47D910B9" w:rsidR="00E55F6A" w:rsidRDefault="00C64A22" w:rsidP="00C64A22">
      <w:pPr>
        <w:pStyle w:val="p2"/>
        <w:tabs>
          <w:tab w:val="left" w:pos="2127"/>
        </w:tabs>
        <w:jc w:val="both"/>
        <w:rPr>
          <w:rFonts w:ascii="Calibri" w:hAnsi="Calibri" w:cs="Calibri"/>
          <w:sz w:val="22"/>
          <w:szCs w:val="22"/>
        </w:rPr>
      </w:pPr>
      <w:r>
        <w:rPr>
          <w:rFonts w:ascii="Calibri" w:hAnsi="Calibri" w:cs="Calibri"/>
          <w:sz w:val="22"/>
          <w:szCs w:val="22"/>
        </w:rPr>
        <w:tab/>
      </w:r>
      <w:r w:rsidR="00E55F6A" w:rsidRPr="00E55F6A">
        <w:rPr>
          <w:rFonts w:ascii="Calibri" w:hAnsi="Calibri" w:cs="Calibri"/>
          <w:sz w:val="22"/>
          <w:szCs w:val="22"/>
        </w:rPr>
        <w:t>TMB = variant count × 10⁶ / exome size</w:t>
      </w:r>
    </w:p>
    <w:p w14:paraId="56D959EF" w14:textId="77777777" w:rsidR="00EC09E5" w:rsidRDefault="00EC09E5" w:rsidP="00C64A22">
      <w:pPr>
        <w:pStyle w:val="p2"/>
        <w:tabs>
          <w:tab w:val="left" w:pos="2127"/>
        </w:tabs>
        <w:jc w:val="both"/>
        <w:rPr>
          <w:rFonts w:ascii="Calibri" w:hAnsi="Calibri" w:cs="Calibri"/>
          <w:sz w:val="22"/>
          <w:szCs w:val="22"/>
        </w:rPr>
      </w:pPr>
    </w:p>
    <w:p w14:paraId="73334F99" w14:textId="48B1A928" w:rsidR="00EC09E5" w:rsidRPr="00EC09E5" w:rsidRDefault="00267483" w:rsidP="00EC09E5">
      <w:pPr>
        <w:pStyle w:val="p2"/>
        <w:tabs>
          <w:tab w:val="left" w:pos="2127"/>
        </w:tabs>
        <w:rPr>
          <w:rFonts w:ascii="Calibri" w:hAnsi="Calibri" w:cs="Calibri"/>
          <w:b/>
          <w:bCs/>
          <w:sz w:val="22"/>
          <w:szCs w:val="22"/>
          <w:lang w:val="cs-CZ"/>
        </w:rPr>
      </w:pPr>
      <w:r w:rsidRPr="00267483">
        <w:rPr>
          <w:rFonts w:ascii="Calibri" w:hAnsi="Calibri" w:cs="Calibri"/>
          <w:b/>
          <w:bCs/>
          <w:sz w:val="22"/>
          <w:szCs w:val="22"/>
        </w:rPr>
        <w:t>G</w:t>
      </w:r>
      <w:r w:rsidR="00EC09E5" w:rsidRPr="00267483">
        <w:rPr>
          <w:rFonts w:ascii="Calibri" w:hAnsi="Calibri" w:cs="Calibri"/>
          <w:b/>
          <w:bCs/>
          <w:sz w:val="22"/>
          <w:szCs w:val="22"/>
        </w:rPr>
        <w:t xml:space="preserve">ermline </w:t>
      </w:r>
      <w:r w:rsidRPr="00267483">
        <w:rPr>
          <w:rFonts w:ascii="Calibri" w:hAnsi="Calibri" w:cs="Calibri"/>
          <w:b/>
          <w:bCs/>
          <w:sz w:val="22"/>
          <w:szCs w:val="22"/>
        </w:rPr>
        <w:t>small variant calling</w:t>
      </w:r>
    </w:p>
    <w:p w14:paraId="46649618" w14:textId="5D227755" w:rsidR="00EC09E5" w:rsidRPr="00EC09E5" w:rsidRDefault="00EC09E5" w:rsidP="00EC09E5">
      <w:pPr>
        <w:pStyle w:val="p2"/>
        <w:tabs>
          <w:tab w:val="left" w:pos="2127"/>
        </w:tabs>
        <w:rPr>
          <w:rFonts w:ascii="Calibri" w:hAnsi="Calibri" w:cs="Calibri"/>
          <w:sz w:val="22"/>
          <w:szCs w:val="22"/>
        </w:rPr>
      </w:pPr>
      <w:r w:rsidRPr="00EC09E5">
        <w:rPr>
          <w:rFonts w:ascii="Calibri" w:hAnsi="Calibri" w:cs="Calibri"/>
          <w:sz w:val="22"/>
          <w:szCs w:val="22"/>
        </w:rPr>
        <w:t>Data processing:</w:t>
      </w:r>
      <w:r>
        <w:rPr>
          <w:rFonts w:ascii="Calibri" w:hAnsi="Calibri" w:cs="Calibri"/>
          <w:sz w:val="22"/>
          <w:szCs w:val="22"/>
          <w:lang w:val="cs-CZ"/>
        </w:rPr>
        <w:t xml:space="preserve"> </w:t>
      </w:r>
      <w:r>
        <w:rPr>
          <w:rFonts w:ascii="Calibri" w:hAnsi="Calibri" w:cs="Calibri"/>
          <w:sz w:val="22"/>
          <w:szCs w:val="22"/>
          <w:lang w:val="cs-CZ"/>
        </w:rPr>
        <w:tab/>
      </w:r>
      <w:r w:rsidRPr="00EC09E5">
        <w:rPr>
          <w:rFonts w:ascii="Calibri" w:hAnsi="Calibri" w:cs="Calibri"/>
          <w:sz w:val="22"/>
          <w:szCs w:val="22"/>
        </w:rPr>
        <w:t>BWA (alignment to GRCh38), Picard (marking duplicates), Samtools (sorting/indexing)</w:t>
      </w:r>
    </w:p>
    <w:p w14:paraId="1B1CE68F" w14:textId="0E48D7CA" w:rsidR="00EC09E5" w:rsidRDefault="00EC09E5" w:rsidP="00EC09E5">
      <w:pPr>
        <w:pStyle w:val="p2"/>
        <w:tabs>
          <w:tab w:val="left" w:pos="2127"/>
        </w:tabs>
        <w:rPr>
          <w:rFonts w:ascii="Calibri" w:hAnsi="Calibri" w:cs="Calibri"/>
          <w:sz w:val="22"/>
          <w:szCs w:val="22"/>
        </w:rPr>
      </w:pPr>
      <w:r w:rsidRPr="00EC09E5">
        <w:rPr>
          <w:rFonts w:ascii="Calibri" w:hAnsi="Calibri" w:cs="Calibri"/>
          <w:sz w:val="22"/>
          <w:szCs w:val="22"/>
        </w:rPr>
        <w:t xml:space="preserve">Quality Control: </w:t>
      </w:r>
      <w:r>
        <w:rPr>
          <w:rFonts w:ascii="Calibri" w:hAnsi="Calibri" w:cs="Calibri"/>
          <w:sz w:val="22"/>
          <w:szCs w:val="22"/>
        </w:rPr>
        <w:tab/>
      </w:r>
      <w:r w:rsidRPr="00EC09E5">
        <w:rPr>
          <w:rFonts w:ascii="Calibri" w:hAnsi="Calibri" w:cs="Calibri"/>
          <w:sz w:val="22"/>
          <w:szCs w:val="22"/>
        </w:rPr>
        <w:t>Qualimap, PicardTools CollectHsMetrics, FastQC (aggregated in MultiQC)</w:t>
      </w:r>
    </w:p>
    <w:p w14:paraId="44918888" w14:textId="77777777" w:rsidR="00EC09E5" w:rsidRDefault="00EC09E5" w:rsidP="00EC09E5">
      <w:pPr>
        <w:pStyle w:val="p2"/>
        <w:tabs>
          <w:tab w:val="left" w:pos="2127"/>
        </w:tabs>
        <w:rPr>
          <w:rFonts w:ascii="Calibri" w:hAnsi="Calibri" w:cs="Calibri"/>
          <w:sz w:val="22"/>
          <w:szCs w:val="22"/>
        </w:rPr>
      </w:pPr>
      <w:r w:rsidRPr="00EC09E5">
        <w:rPr>
          <w:rFonts w:ascii="Calibri" w:hAnsi="Calibri" w:cs="Calibri"/>
          <w:sz w:val="22"/>
          <w:szCs w:val="22"/>
        </w:rPr>
        <w:t xml:space="preserve">Variant Calling: </w:t>
      </w:r>
      <w:r>
        <w:rPr>
          <w:rFonts w:ascii="Calibri" w:hAnsi="Calibri" w:cs="Calibri"/>
          <w:sz w:val="22"/>
          <w:szCs w:val="22"/>
        </w:rPr>
        <w:tab/>
      </w:r>
      <w:r w:rsidRPr="00EC09E5">
        <w:rPr>
          <w:rFonts w:ascii="Calibri" w:hAnsi="Calibri" w:cs="Calibri"/>
          <w:sz w:val="22"/>
          <w:szCs w:val="22"/>
        </w:rPr>
        <w:t>GATK HaplotypeCaller, VarDict, Strelka (union approach)</w:t>
      </w:r>
    </w:p>
    <w:p w14:paraId="4588561E" w14:textId="020B5F81" w:rsidR="00EC09E5" w:rsidRDefault="00EC09E5" w:rsidP="00EC09E5">
      <w:pPr>
        <w:pStyle w:val="p2"/>
        <w:tabs>
          <w:tab w:val="left" w:pos="2127"/>
        </w:tabs>
        <w:jc w:val="both"/>
        <w:rPr>
          <w:rFonts w:ascii="Calibri" w:hAnsi="Calibri" w:cs="Calibri"/>
          <w:sz w:val="22"/>
          <w:szCs w:val="22"/>
        </w:rPr>
      </w:pPr>
      <w:r w:rsidRPr="00EC09E5">
        <w:rPr>
          <w:rFonts w:ascii="Calibri" w:hAnsi="Calibri" w:cs="Calibri"/>
          <w:sz w:val="22"/>
          <w:szCs w:val="22"/>
        </w:rPr>
        <w:t xml:space="preserve">Annotation: </w:t>
      </w:r>
      <w:r>
        <w:rPr>
          <w:rFonts w:ascii="Calibri" w:hAnsi="Calibri" w:cs="Calibri"/>
          <w:sz w:val="22"/>
          <w:szCs w:val="22"/>
        </w:rPr>
        <w:tab/>
      </w:r>
      <w:r w:rsidRPr="00EC09E5">
        <w:rPr>
          <w:rFonts w:ascii="Calibri" w:hAnsi="Calibri" w:cs="Calibri"/>
          <w:sz w:val="22"/>
          <w:szCs w:val="22"/>
        </w:rPr>
        <w:t>Ensembl Variant Effect Predictor + in-house annotation scripts for Gene, Transcript</w:t>
      </w:r>
      <w:r>
        <w:rPr>
          <w:rFonts w:ascii="Calibri" w:hAnsi="Calibri" w:cs="Calibri"/>
          <w:sz w:val="22"/>
          <w:szCs w:val="22"/>
          <w:lang w:val="cs-CZ"/>
        </w:rPr>
        <w:t xml:space="preserve"> </w:t>
      </w:r>
      <w:r>
        <w:rPr>
          <w:rFonts w:ascii="Calibri" w:hAnsi="Calibri" w:cs="Calibri"/>
          <w:sz w:val="22"/>
          <w:szCs w:val="22"/>
          <w:lang w:val="cs-CZ"/>
        </w:rPr>
        <w:tab/>
      </w:r>
      <w:r w:rsidRPr="00EC09E5">
        <w:rPr>
          <w:rFonts w:ascii="Calibri" w:hAnsi="Calibri" w:cs="Calibri"/>
          <w:sz w:val="22"/>
          <w:szCs w:val="22"/>
        </w:rPr>
        <w:t>assignment, Variant Consequence, Population databases (1000 Genomes, GnomAD, ExAC),</w:t>
      </w:r>
      <w:r>
        <w:rPr>
          <w:rFonts w:ascii="Calibri" w:hAnsi="Calibri" w:cs="Calibri"/>
          <w:sz w:val="22"/>
          <w:szCs w:val="22"/>
          <w:lang w:val="cs-CZ"/>
        </w:rPr>
        <w:t xml:space="preserve"> </w:t>
      </w:r>
      <w:r>
        <w:rPr>
          <w:rFonts w:ascii="Calibri" w:hAnsi="Calibri" w:cs="Calibri"/>
          <w:sz w:val="22"/>
          <w:szCs w:val="22"/>
          <w:lang w:val="cs-CZ"/>
        </w:rPr>
        <w:tab/>
      </w:r>
      <w:r w:rsidRPr="00EC09E5">
        <w:rPr>
          <w:rFonts w:ascii="Calibri" w:hAnsi="Calibri" w:cs="Calibri"/>
          <w:sz w:val="22"/>
          <w:szCs w:val="22"/>
        </w:rPr>
        <w:t>Clinical databases (dbSNP , CancerGeneCensus, COSMIC, HGMD, NHLBI ESP , TruSight,</w:t>
      </w:r>
      <w:r>
        <w:rPr>
          <w:rFonts w:ascii="Calibri" w:hAnsi="Calibri" w:cs="Calibri"/>
          <w:sz w:val="22"/>
          <w:szCs w:val="22"/>
          <w:lang w:val="cs-CZ"/>
        </w:rPr>
        <w:t xml:space="preserve"> </w:t>
      </w:r>
      <w:r>
        <w:rPr>
          <w:rFonts w:ascii="Calibri" w:hAnsi="Calibri" w:cs="Calibri"/>
          <w:sz w:val="22"/>
          <w:szCs w:val="22"/>
          <w:lang w:val="cs-CZ"/>
        </w:rPr>
        <w:tab/>
      </w:r>
      <w:r w:rsidRPr="00EC09E5">
        <w:rPr>
          <w:rFonts w:ascii="Calibri" w:hAnsi="Calibri" w:cs="Calibri"/>
          <w:sz w:val="22"/>
          <w:szCs w:val="22"/>
        </w:rPr>
        <w:t>ClinVar, MD Anderson, Foundation One CDx), Protein structure predictors (SIFT, PolyPhen2)</w:t>
      </w:r>
    </w:p>
    <w:p w14:paraId="5639BC22" w14:textId="77777777" w:rsidR="00C64A22" w:rsidRPr="00E55F6A" w:rsidRDefault="00C64A22" w:rsidP="00C64A22">
      <w:pPr>
        <w:pStyle w:val="p2"/>
        <w:rPr>
          <w:rFonts w:ascii="Calibri" w:hAnsi="Calibri" w:cs="Calibri"/>
          <w:sz w:val="22"/>
          <w:szCs w:val="22"/>
        </w:rPr>
      </w:pPr>
    </w:p>
    <w:p w14:paraId="42CEF54A" w14:textId="44706F80" w:rsidR="00C64A22" w:rsidRPr="00267483" w:rsidRDefault="00267483" w:rsidP="00267483">
      <w:pPr>
        <w:pStyle w:val="p2"/>
        <w:tabs>
          <w:tab w:val="left" w:pos="2127"/>
        </w:tabs>
        <w:rPr>
          <w:rFonts w:ascii="Calibri" w:hAnsi="Calibri" w:cs="Calibri"/>
          <w:b/>
          <w:bCs/>
          <w:sz w:val="22"/>
          <w:szCs w:val="22"/>
          <w:lang w:val="cs-CZ"/>
        </w:rPr>
      </w:pPr>
      <w:r>
        <w:rPr>
          <w:rFonts w:ascii="Calibri" w:hAnsi="Calibri" w:cs="Calibri"/>
          <w:b/>
          <w:bCs/>
          <w:sz w:val="22"/>
          <w:szCs w:val="22"/>
          <w:lang w:val="cs-CZ"/>
        </w:rPr>
        <w:t>F</w:t>
      </w:r>
      <w:r w:rsidR="00680C4B" w:rsidRPr="00267483">
        <w:rPr>
          <w:rFonts w:ascii="Calibri" w:hAnsi="Calibri" w:cs="Calibri"/>
          <w:b/>
          <w:bCs/>
          <w:sz w:val="22"/>
          <w:szCs w:val="22"/>
        </w:rPr>
        <w:t>usion genes</w:t>
      </w:r>
      <w:r>
        <w:rPr>
          <w:rFonts w:ascii="Calibri" w:hAnsi="Calibri" w:cs="Calibri"/>
          <w:b/>
          <w:bCs/>
          <w:sz w:val="22"/>
          <w:szCs w:val="22"/>
          <w:lang w:val="cs-CZ"/>
        </w:rPr>
        <w:t xml:space="preserve"> </w:t>
      </w:r>
      <w:proofErr w:type="spellStart"/>
      <w:r>
        <w:rPr>
          <w:rFonts w:ascii="Calibri" w:hAnsi="Calibri" w:cs="Calibri"/>
          <w:b/>
          <w:bCs/>
          <w:sz w:val="22"/>
          <w:szCs w:val="22"/>
          <w:lang w:val="cs-CZ"/>
        </w:rPr>
        <w:t>detection</w:t>
      </w:r>
      <w:proofErr w:type="spellEnd"/>
    </w:p>
    <w:p w14:paraId="74B82DF0" w14:textId="77777777" w:rsidR="00C64A22" w:rsidRDefault="00E55F6A" w:rsidP="00C64A22">
      <w:pPr>
        <w:pStyle w:val="p2"/>
        <w:rPr>
          <w:rFonts w:ascii="Calibri" w:hAnsi="Calibri" w:cs="Calibri"/>
          <w:sz w:val="22"/>
          <w:szCs w:val="22"/>
        </w:rPr>
      </w:pPr>
      <w:r w:rsidRPr="00E55F6A">
        <w:rPr>
          <w:rFonts w:ascii="Calibri" w:hAnsi="Calibri" w:cs="Calibri"/>
          <w:sz w:val="22"/>
          <w:szCs w:val="22"/>
        </w:rPr>
        <w:t xml:space="preserve">Data processing: </w:t>
      </w:r>
      <w:r w:rsidR="00C64A22">
        <w:rPr>
          <w:rFonts w:ascii="Calibri" w:hAnsi="Calibri" w:cs="Calibri"/>
          <w:sz w:val="22"/>
          <w:szCs w:val="22"/>
        </w:rPr>
        <w:tab/>
      </w:r>
      <w:r w:rsidRPr="00E55F6A">
        <w:rPr>
          <w:rFonts w:ascii="Calibri" w:hAnsi="Calibri" w:cs="Calibri"/>
          <w:sz w:val="22"/>
          <w:szCs w:val="22"/>
        </w:rPr>
        <w:t>STAR (alignment to GRCh38)</w:t>
      </w:r>
    </w:p>
    <w:p w14:paraId="48CF6E16" w14:textId="3636F094" w:rsidR="00C64A22" w:rsidRDefault="00E55F6A" w:rsidP="00C64A22">
      <w:pPr>
        <w:pStyle w:val="p2"/>
        <w:rPr>
          <w:rFonts w:ascii="Calibri" w:hAnsi="Calibri" w:cs="Calibri"/>
          <w:sz w:val="22"/>
          <w:szCs w:val="22"/>
        </w:rPr>
      </w:pPr>
      <w:r w:rsidRPr="00E55F6A">
        <w:rPr>
          <w:rFonts w:ascii="Calibri" w:hAnsi="Calibri" w:cs="Calibri"/>
          <w:sz w:val="22"/>
          <w:szCs w:val="22"/>
        </w:rPr>
        <w:t xml:space="preserve">Quality Control: </w:t>
      </w:r>
      <w:r w:rsidR="00C64A22">
        <w:rPr>
          <w:rFonts w:ascii="Calibri" w:hAnsi="Calibri" w:cs="Calibri"/>
          <w:sz w:val="22"/>
          <w:szCs w:val="22"/>
        </w:rPr>
        <w:tab/>
      </w:r>
      <w:r w:rsidRPr="00E55F6A">
        <w:rPr>
          <w:rFonts w:ascii="Calibri" w:hAnsi="Calibri" w:cs="Calibri"/>
          <w:sz w:val="22"/>
          <w:szCs w:val="22"/>
        </w:rPr>
        <w:t>Qualimap, PicardTools</w:t>
      </w:r>
    </w:p>
    <w:p w14:paraId="1F57049C" w14:textId="27B0E860" w:rsidR="00C64A22" w:rsidRDefault="00E55F6A" w:rsidP="00C64A22">
      <w:pPr>
        <w:pStyle w:val="p2"/>
        <w:rPr>
          <w:rFonts w:ascii="Calibri" w:hAnsi="Calibri" w:cs="Calibri"/>
          <w:sz w:val="22"/>
          <w:szCs w:val="22"/>
        </w:rPr>
      </w:pPr>
      <w:r w:rsidRPr="00E55F6A">
        <w:rPr>
          <w:rFonts w:ascii="Calibri" w:hAnsi="Calibri" w:cs="Calibri"/>
          <w:sz w:val="22"/>
          <w:szCs w:val="22"/>
        </w:rPr>
        <w:t xml:space="preserve">Fusion calling: </w:t>
      </w:r>
      <w:r w:rsidR="00C64A22">
        <w:rPr>
          <w:rFonts w:ascii="Calibri" w:hAnsi="Calibri" w:cs="Calibri"/>
          <w:sz w:val="22"/>
          <w:szCs w:val="22"/>
        </w:rPr>
        <w:tab/>
      </w:r>
      <w:r w:rsidR="00C64A22">
        <w:rPr>
          <w:rFonts w:ascii="Calibri" w:hAnsi="Calibri" w:cs="Calibri"/>
          <w:sz w:val="22"/>
          <w:szCs w:val="22"/>
        </w:rPr>
        <w:tab/>
      </w:r>
      <w:r w:rsidRPr="00E55F6A">
        <w:rPr>
          <w:rFonts w:ascii="Calibri" w:hAnsi="Calibri" w:cs="Calibri"/>
          <w:sz w:val="22"/>
          <w:szCs w:val="22"/>
        </w:rPr>
        <w:t>Arriba, STARFusion</w:t>
      </w:r>
    </w:p>
    <w:p w14:paraId="649F57B0" w14:textId="08F44DBD" w:rsidR="00E55F6A" w:rsidRDefault="00E55F6A" w:rsidP="00C64A22">
      <w:pPr>
        <w:pStyle w:val="p2"/>
        <w:rPr>
          <w:rFonts w:ascii="Calibri" w:hAnsi="Calibri" w:cs="Calibri"/>
          <w:sz w:val="22"/>
          <w:szCs w:val="22"/>
        </w:rPr>
      </w:pPr>
      <w:r w:rsidRPr="00E55F6A">
        <w:rPr>
          <w:rFonts w:ascii="Calibri" w:hAnsi="Calibri" w:cs="Calibri"/>
          <w:sz w:val="22"/>
          <w:szCs w:val="22"/>
        </w:rPr>
        <w:t xml:space="preserve">Manual verification: </w:t>
      </w:r>
      <w:r w:rsidR="00C64A22">
        <w:rPr>
          <w:rFonts w:ascii="Calibri" w:hAnsi="Calibri" w:cs="Calibri"/>
          <w:sz w:val="22"/>
          <w:szCs w:val="22"/>
        </w:rPr>
        <w:tab/>
      </w:r>
      <w:r w:rsidRPr="00E55F6A">
        <w:rPr>
          <w:rFonts w:ascii="Calibri" w:hAnsi="Calibri" w:cs="Calibri"/>
          <w:sz w:val="22"/>
          <w:szCs w:val="22"/>
        </w:rPr>
        <w:t>Integrative Genomics Viewer</w:t>
      </w:r>
    </w:p>
    <w:p w14:paraId="13A20BA1" w14:textId="77777777" w:rsidR="00C64A22" w:rsidRPr="00E55F6A" w:rsidRDefault="00C64A22" w:rsidP="00E55F6A">
      <w:pPr>
        <w:pStyle w:val="p2"/>
        <w:jc w:val="both"/>
        <w:rPr>
          <w:rFonts w:ascii="Calibri" w:hAnsi="Calibri" w:cs="Calibri"/>
          <w:sz w:val="22"/>
          <w:szCs w:val="22"/>
        </w:rPr>
      </w:pPr>
    </w:p>
    <w:p w14:paraId="44E325AE" w14:textId="2A5E75A1" w:rsidR="00680C4B" w:rsidRPr="00267483" w:rsidRDefault="00267483" w:rsidP="00267483">
      <w:pPr>
        <w:pStyle w:val="p2"/>
        <w:tabs>
          <w:tab w:val="left" w:pos="2127"/>
        </w:tabs>
        <w:rPr>
          <w:rFonts w:ascii="Calibri" w:hAnsi="Calibri" w:cs="Calibri"/>
          <w:b/>
          <w:bCs/>
          <w:sz w:val="22"/>
          <w:szCs w:val="22"/>
          <w:lang w:val="cs-CZ"/>
        </w:rPr>
      </w:pPr>
      <w:r>
        <w:rPr>
          <w:rFonts w:ascii="Calibri" w:hAnsi="Calibri" w:cs="Calibri"/>
          <w:b/>
          <w:bCs/>
          <w:sz w:val="22"/>
          <w:szCs w:val="22"/>
          <w:lang w:val="cs-CZ"/>
        </w:rPr>
        <w:t>E</w:t>
      </w:r>
      <w:r w:rsidR="00680C4B" w:rsidRPr="00267483">
        <w:rPr>
          <w:rFonts w:ascii="Calibri" w:hAnsi="Calibri" w:cs="Calibri"/>
          <w:b/>
          <w:bCs/>
          <w:sz w:val="22"/>
          <w:szCs w:val="22"/>
        </w:rPr>
        <w:t>xpression profile</w:t>
      </w:r>
    </w:p>
    <w:p w14:paraId="7E4D2C8C" w14:textId="458C4E67" w:rsidR="003438AA" w:rsidRPr="003438AA" w:rsidRDefault="003438AA" w:rsidP="003438AA">
      <w:pPr>
        <w:pStyle w:val="p2"/>
        <w:jc w:val="both"/>
        <w:rPr>
          <w:rFonts w:ascii="Calibri" w:hAnsi="Calibri" w:cs="Calibri"/>
          <w:sz w:val="22"/>
          <w:szCs w:val="22"/>
        </w:rPr>
      </w:pPr>
      <w:r w:rsidRPr="003438AA">
        <w:rPr>
          <w:rFonts w:ascii="Calibri" w:hAnsi="Calibri" w:cs="Calibri"/>
          <w:sz w:val="22"/>
          <w:szCs w:val="22"/>
        </w:rPr>
        <w:t>Raw sequencing reads are quality-checked with FastQC and then aligned against GRCh37. The gene counts are</w:t>
      </w:r>
      <w:r>
        <w:rPr>
          <w:rFonts w:ascii="Calibri" w:hAnsi="Calibri" w:cs="Calibri"/>
          <w:sz w:val="22"/>
          <w:szCs w:val="22"/>
          <w:lang w:val="cs-CZ"/>
        </w:rPr>
        <w:t xml:space="preserve"> </w:t>
      </w:r>
      <w:r w:rsidRPr="003438AA">
        <w:rPr>
          <w:rFonts w:ascii="Calibri" w:hAnsi="Calibri" w:cs="Calibri"/>
          <w:sz w:val="22"/>
          <w:szCs w:val="22"/>
        </w:rPr>
        <w:t>estimated with Gencode gene definitions. The gene counts are compared with reference gene counts from the GTEX</w:t>
      </w:r>
      <w:r>
        <w:rPr>
          <w:rFonts w:ascii="Calibri" w:hAnsi="Calibri" w:cs="Calibri"/>
          <w:sz w:val="22"/>
          <w:szCs w:val="22"/>
          <w:lang w:val="cs-CZ"/>
        </w:rPr>
        <w:t xml:space="preserve"> </w:t>
      </w:r>
      <w:r w:rsidRPr="003438AA">
        <w:rPr>
          <w:rFonts w:ascii="Calibri" w:hAnsi="Calibri" w:cs="Calibri"/>
          <w:sz w:val="22"/>
          <w:szCs w:val="22"/>
        </w:rPr>
        <w:t>database of non-disease tissue-specific samples. The comparison is performed against a selection of samples of the</w:t>
      </w:r>
      <w:r>
        <w:rPr>
          <w:rFonts w:ascii="Calibri" w:hAnsi="Calibri" w:cs="Calibri"/>
          <w:sz w:val="22"/>
          <w:szCs w:val="22"/>
          <w:lang w:val="cs-CZ"/>
        </w:rPr>
        <w:t xml:space="preserve"> </w:t>
      </w:r>
      <w:r w:rsidRPr="003438AA">
        <w:rPr>
          <w:rFonts w:ascii="Calibri" w:hAnsi="Calibri" w:cs="Calibri"/>
          <w:sz w:val="22"/>
          <w:szCs w:val="22"/>
        </w:rPr>
        <w:t>selected tissue type. The gene counts are TMM normalized, and a t-test statistic is used. The report contains selected</w:t>
      </w:r>
      <w:r>
        <w:rPr>
          <w:rFonts w:ascii="Calibri" w:hAnsi="Calibri" w:cs="Calibri"/>
          <w:sz w:val="22"/>
          <w:szCs w:val="22"/>
          <w:lang w:val="cs-CZ"/>
        </w:rPr>
        <w:t xml:space="preserve"> </w:t>
      </w:r>
      <w:r w:rsidRPr="003438AA">
        <w:rPr>
          <w:rFonts w:ascii="Calibri" w:hAnsi="Calibri" w:cs="Calibri"/>
          <w:sz w:val="22"/>
          <w:szCs w:val="22"/>
        </w:rPr>
        <w:t>cancer-associated genes with respective pathways and fold change values.</w:t>
      </w:r>
    </w:p>
    <w:p w14:paraId="79714817" w14:textId="77777777" w:rsidR="00680C4B" w:rsidRDefault="00680C4B" w:rsidP="00E55F6A">
      <w:pPr>
        <w:pStyle w:val="p2"/>
        <w:jc w:val="both"/>
        <w:rPr>
          <w:rFonts w:ascii="Calibri" w:hAnsi="Calibri" w:cs="Calibri"/>
          <w:b/>
          <w:bCs/>
          <w:color w:val="173A84"/>
          <w:sz w:val="22"/>
          <w:szCs w:val="22"/>
        </w:rPr>
      </w:pPr>
    </w:p>
    <w:p w14:paraId="7886DF57" w14:textId="4991CCF9" w:rsidR="00C64A22" w:rsidRPr="00267483" w:rsidRDefault="00E55F6A" w:rsidP="00E55F6A">
      <w:pPr>
        <w:pStyle w:val="p2"/>
        <w:jc w:val="both"/>
        <w:rPr>
          <w:rFonts w:ascii="Calibri" w:hAnsi="Calibri" w:cs="Calibri"/>
          <w:sz w:val="24"/>
          <w:szCs w:val="24"/>
        </w:rPr>
      </w:pPr>
      <w:r w:rsidRPr="00267483">
        <w:rPr>
          <w:rFonts w:ascii="Calibri" w:hAnsi="Calibri" w:cs="Calibri"/>
          <w:b/>
          <w:bCs/>
          <w:color w:val="173A84"/>
          <w:sz w:val="24"/>
          <w:szCs w:val="24"/>
        </w:rPr>
        <w:t>Limitations</w:t>
      </w:r>
    </w:p>
    <w:p w14:paraId="1A44E007" w14:textId="77777777" w:rsidR="00EC09E5" w:rsidRDefault="00E55F6A" w:rsidP="00E55F6A">
      <w:pPr>
        <w:pStyle w:val="p2"/>
        <w:jc w:val="both"/>
        <w:rPr>
          <w:rFonts w:ascii="Calibri" w:hAnsi="Calibri" w:cs="Calibri"/>
          <w:sz w:val="22"/>
          <w:szCs w:val="22"/>
        </w:rPr>
      </w:pPr>
      <w:r w:rsidRPr="00E55F6A">
        <w:rPr>
          <w:rFonts w:ascii="Calibri" w:hAnsi="Calibri" w:cs="Calibri"/>
          <w:sz w:val="22"/>
          <w:szCs w:val="22"/>
        </w:rPr>
        <w:t xml:space="preserve">Mutations outside of the coding regions, in other genes, copy number changes, and changes that cannot be detected at present technical possibilities, and the current level of knowledge cannot be excluded. </w:t>
      </w:r>
    </w:p>
    <w:p w14:paraId="177DA1C9" w14:textId="77777777" w:rsidR="00EC09E5" w:rsidRDefault="00EC09E5" w:rsidP="00E55F6A">
      <w:pPr>
        <w:pStyle w:val="p2"/>
        <w:jc w:val="both"/>
        <w:rPr>
          <w:rFonts w:ascii="Calibri" w:hAnsi="Calibri" w:cs="Calibri"/>
          <w:sz w:val="22"/>
          <w:szCs w:val="22"/>
        </w:rPr>
      </w:pPr>
    </w:p>
    <w:p w14:paraId="4FF3F1A0" w14:textId="5F533DFB" w:rsidR="00E55F6A" w:rsidRPr="00E55F6A" w:rsidRDefault="00E55F6A" w:rsidP="00E55F6A">
      <w:pPr>
        <w:pStyle w:val="p2"/>
        <w:jc w:val="both"/>
        <w:rPr>
          <w:rFonts w:ascii="Calibri" w:hAnsi="Calibri" w:cs="Calibri"/>
          <w:sz w:val="22"/>
          <w:szCs w:val="22"/>
        </w:rPr>
      </w:pPr>
      <w:r w:rsidRPr="00E55F6A">
        <w:rPr>
          <w:rFonts w:ascii="Calibri" w:hAnsi="Calibri" w:cs="Calibri"/>
          <w:sz w:val="22"/>
          <w:szCs w:val="22"/>
        </w:rPr>
        <w:t>Not all detected variants are reported. Reported variants were pre-selected based on their known or potential significance in the disease. All variants found are listed in the protocol supplement.</w:t>
      </w:r>
    </w:p>
    <w:p w14:paraId="4412C582" w14:textId="77777777" w:rsidR="00E55F6A" w:rsidRDefault="00E55F6A" w:rsidP="00E55F6A">
      <w:pPr>
        <w:pStyle w:val="normal1"/>
        <w:jc w:val="both"/>
        <w:rPr>
          <w:rFonts w:ascii="Calibri" w:hAnsi="Calibri" w:cs="Calibri"/>
        </w:rPr>
      </w:pPr>
    </w:p>
    <w:p w14:paraId="7705F2EE" w14:textId="44BD2343" w:rsidR="003438AA" w:rsidRDefault="003438AA" w:rsidP="003438AA">
      <w:pPr>
        <w:pStyle w:val="p2"/>
        <w:jc w:val="both"/>
        <w:rPr>
          <w:rFonts w:ascii="Calibri" w:hAnsi="Calibri" w:cs="Calibri"/>
          <w:sz w:val="22"/>
          <w:szCs w:val="22"/>
        </w:rPr>
      </w:pPr>
      <w:r w:rsidRPr="003438AA">
        <w:rPr>
          <w:rFonts w:ascii="Calibri" w:hAnsi="Calibri" w:cs="Calibri"/>
          <w:sz w:val="22"/>
          <w:szCs w:val="22"/>
        </w:rPr>
        <w:t>Not all genes with deregulated gene expression are reported. Reported genes were pre-selected based on their role</w:t>
      </w:r>
      <w:r>
        <w:rPr>
          <w:rFonts w:ascii="Calibri" w:hAnsi="Calibri" w:cs="Calibri"/>
          <w:sz w:val="22"/>
          <w:szCs w:val="22"/>
          <w:lang w:val="cs-CZ"/>
        </w:rPr>
        <w:t xml:space="preserve"> </w:t>
      </w:r>
      <w:r w:rsidRPr="003438AA">
        <w:rPr>
          <w:rFonts w:ascii="Calibri" w:hAnsi="Calibri" w:cs="Calibri"/>
          <w:sz w:val="22"/>
          <w:szCs w:val="22"/>
        </w:rPr>
        <w:t>in important cellular processes and signaling pathways.</w:t>
      </w:r>
    </w:p>
    <w:p w14:paraId="0DA51450" w14:textId="77777777" w:rsidR="00E55F6A" w:rsidRDefault="00E55F6A" w:rsidP="007A5A02">
      <w:pPr>
        <w:pStyle w:val="normal1"/>
        <w:jc w:val="both"/>
        <w:rPr>
          <w:rFonts w:ascii="Calibri" w:hAnsi="Calibri" w:cs="Calibri"/>
        </w:rPr>
      </w:pPr>
    </w:p>
    <w:p w14:paraId="65D161A2" w14:textId="77777777" w:rsidR="006A7BB7" w:rsidRDefault="006A7BB7" w:rsidP="007A5A02">
      <w:pPr>
        <w:pStyle w:val="p1"/>
        <w:jc w:val="both"/>
        <w:rPr>
          <w:rFonts w:ascii="Calibri" w:hAnsi="Calibri" w:cs="Calibri"/>
          <w:b/>
          <w:bCs/>
          <w:sz w:val="28"/>
          <w:szCs w:val="28"/>
        </w:rPr>
      </w:pPr>
      <w:r>
        <w:rPr>
          <w:rFonts w:ascii="Calibri" w:hAnsi="Calibri" w:cs="Calibri"/>
          <w:b/>
          <w:bCs/>
          <w:sz w:val="28"/>
          <w:szCs w:val="28"/>
        </w:rPr>
        <w:br w:type="page"/>
      </w:r>
    </w:p>
    <w:p w14:paraId="66DE4732" w14:textId="7EED0478" w:rsidR="00DE05D2" w:rsidRPr="00E55F6A" w:rsidRDefault="00DE05D2" w:rsidP="007A5A02">
      <w:pPr>
        <w:pStyle w:val="p1"/>
        <w:jc w:val="both"/>
        <w:rPr>
          <w:rFonts w:ascii="Calibri" w:hAnsi="Calibri" w:cs="Calibri"/>
          <w:b/>
          <w:bCs/>
          <w:sz w:val="28"/>
          <w:szCs w:val="28"/>
        </w:rPr>
      </w:pPr>
      <w:r w:rsidRPr="00E55F6A">
        <w:rPr>
          <w:rFonts w:ascii="Calibri" w:hAnsi="Calibri" w:cs="Calibri"/>
          <w:b/>
          <w:bCs/>
          <w:sz w:val="28"/>
          <w:szCs w:val="28"/>
        </w:rPr>
        <w:lastRenderedPageBreak/>
        <w:t>VARIANT CLASSIFICATION SYSTEM</w:t>
      </w:r>
    </w:p>
    <w:p w14:paraId="08F82D28" w14:textId="77777777" w:rsidR="007A5A02" w:rsidRPr="00E55F6A" w:rsidRDefault="007A5A02" w:rsidP="007A5A02">
      <w:pPr>
        <w:pStyle w:val="p1"/>
        <w:jc w:val="both"/>
        <w:rPr>
          <w:rFonts w:ascii="Calibri" w:hAnsi="Calibri" w:cs="Calibri"/>
          <w:sz w:val="28"/>
          <w:szCs w:val="28"/>
        </w:rPr>
      </w:pPr>
    </w:p>
    <w:p w14:paraId="47CD23D4" w14:textId="691C439D" w:rsidR="007A5A02" w:rsidRPr="00E55F6A" w:rsidRDefault="007A5A02" w:rsidP="007A5A02">
      <w:pPr>
        <w:pStyle w:val="p2"/>
        <w:jc w:val="both"/>
        <w:rPr>
          <w:rFonts w:ascii="Calibri" w:hAnsi="Calibri" w:cs="Calibri"/>
          <w:sz w:val="22"/>
          <w:szCs w:val="22"/>
        </w:rPr>
      </w:pPr>
      <w:r w:rsidRPr="00E55F6A">
        <w:rPr>
          <w:rFonts w:ascii="Calibri" w:hAnsi="Calibri" w:cs="Calibri"/>
          <w:sz w:val="22"/>
          <w:szCs w:val="22"/>
        </w:rPr>
        <w:t>The classification system used in this report is based on recommendations of the American College of Medical Genetics and Genomics (ACMG), initially published in 2015 by Richards et al. (PMID: 25741868). Gene selection is focused solely on cancer-associated genes if not specified otherwise. Additionally, 72 genes defined by ACMG that should be evaluated in individuals undergoing clinical exome/genome sequencing based on the medical actionability of the associated condition were evaluated as well (for more details, see Miller et al., 2022; PMID: 35802134). Any potential incidental/secondary findings in such genes are reported and consulted directly with a clinical geneticist.</w:t>
      </w:r>
    </w:p>
    <w:p w14:paraId="19BBD82D" w14:textId="77777777" w:rsidR="007A5A02" w:rsidRPr="00E55F6A" w:rsidRDefault="007A5A02" w:rsidP="007A5A02">
      <w:pPr>
        <w:pStyle w:val="p2"/>
        <w:jc w:val="both"/>
        <w:rPr>
          <w:rFonts w:ascii="Calibri" w:hAnsi="Calibri" w:cs="Calibri"/>
          <w:sz w:val="22"/>
          <w:szCs w:val="22"/>
        </w:rPr>
      </w:pPr>
    </w:p>
    <w:p w14:paraId="0E1B9045" w14:textId="77777777" w:rsidR="007A5A02" w:rsidRPr="00E55F6A" w:rsidRDefault="007A5A02" w:rsidP="007A5A02">
      <w:pPr>
        <w:pStyle w:val="p2"/>
        <w:jc w:val="both"/>
        <w:rPr>
          <w:rFonts w:ascii="Calibri" w:hAnsi="Calibri" w:cs="Calibri"/>
          <w:sz w:val="22"/>
          <w:szCs w:val="22"/>
        </w:rPr>
      </w:pPr>
      <w:r w:rsidRPr="007A5A02">
        <w:rPr>
          <w:rFonts w:ascii="Calibri" w:hAnsi="Calibri" w:cs="Calibri"/>
          <w:b/>
          <w:bCs/>
          <w:color w:val="173A84"/>
          <w:sz w:val="22"/>
          <w:szCs w:val="22"/>
        </w:rPr>
        <w:t xml:space="preserve">Pathogenic </w:t>
      </w:r>
      <w:r w:rsidRPr="007A5A02">
        <w:rPr>
          <w:rFonts w:ascii="Calibri" w:hAnsi="Calibri" w:cs="Calibri"/>
          <w:sz w:val="22"/>
          <w:szCs w:val="22"/>
        </w:rPr>
        <w:t>– the variant has sufficient evidence to classify as pathogenic (capable of causing disease). Targeted testing of at-risk family members and appropriate changes in medical management (i.e., high-risk surveillance) for pathogenic mutation carriers are recommended. Pathogenic variants are always included in results reports.</w:t>
      </w:r>
    </w:p>
    <w:p w14:paraId="0D399000" w14:textId="77777777" w:rsidR="007A5A02" w:rsidRPr="007A5A02" w:rsidRDefault="007A5A02" w:rsidP="007A5A02">
      <w:pPr>
        <w:pStyle w:val="p2"/>
        <w:jc w:val="both"/>
        <w:rPr>
          <w:rFonts w:ascii="Calibri" w:hAnsi="Calibri" w:cs="Calibri"/>
          <w:sz w:val="22"/>
          <w:szCs w:val="22"/>
        </w:rPr>
      </w:pPr>
    </w:p>
    <w:p w14:paraId="527A4DF4" w14:textId="77777777" w:rsidR="007A5A02" w:rsidRPr="00E55F6A" w:rsidRDefault="007A5A02" w:rsidP="007A5A02">
      <w:pPr>
        <w:pStyle w:val="p2"/>
        <w:jc w:val="both"/>
        <w:rPr>
          <w:rFonts w:ascii="Calibri" w:hAnsi="Calibri" w:cs="Calibri"/>
          <w:sz w:val="22"/>
          <w:szCs w:val="22"/>
        </w:rPr>
      </w:pPr>
      <w:r w:rsidRPr="007A5A02">
        <w:rPr>
          <w:rFonts w:ascii="Calibri" w:hAnsi="Calibri" w:cs="Calibri"/>
          <w:b/>
          <w:bCs/>
          <w:color w:val="173A84"/>
          <w:sz w:val="22"/>
          <w:szCs w:val="22"/>
        </w:rPr>
        <w:t>Likely pathogenic</w:t>
      </w:r>
      <w:r w:rsidRPr="007A5A02">
        <w:rPr>
          <w:rFonts w:ascii="Calibri" w:hAnsi="Calibri" w:cs="Calibri"/>
          <w:sz w:val="22"/>
          <w:szCs w:val="22"/>
        </w:rPr>
        <w:t xml:space="preserve"> – the variant has strong evidence in favor of pathogenicity. Targeted testing of at-risk family members and appropriate changes in medical management (i.e., high-risk surveillance) for carriers are recommended. Likely pathogenic variants are always included in results reports.</w:t>
      </w:r>
    </w:p>
    <w:p w14:paraId="263CE98D" w14:textId="77777777" w:rsidR="007A5A02" w:rsidRPr="007A5A02" w:rsidRDefault="007A5A02" w:rsidP="007A5A02">
      <w:pPr>
        <w:pStyle w:val="p2"/>
        <w:jc w:val="both"/>
        <w:rPr>
          <w:rFonts w:ascii="Calibri" w:hAnsi="Calibri" w:cs="Calibri"/>
          <w:sz w:val="22"/>
          <w:szCs w:val="22"/>
        </w:rPr>
      </w:pPr>
    </w:p>
    <w:p w14:paraId="390D6DE5" w14:textId="77777777" w:rsidR="007A5A02" w:rsidRPr="00E55F6A" w:rsidRDefault="007A5A02" w:rsidP="007A5A02">
      <w:pPr>
        <w:pStyle w:val="p2"/>
        <w:jc w:val="both"/>
        <w:rPr>
          <w:rFonts w:ascii="Calibri" w:hAnsi="Calibri" w:cs="Calibri"/>
          <w:sz w:val="22"/>
          <w:szCs w:val="22"/>
        </w:rPr>
      </w:pPr>
      <w:r w:rsidRPr="007A5A02">
        <w:rPr>
          <w:rFonts w:ascii="Calibri" w:hAnsi="Calibri" w:cs="Calibri"/>
          <w:b/>
          <w:bCs/>
          <w:color w:val="173A84"/>
          <w:sz w:val="22"/>
          <w:szCs w:val="22"/>
        </w:rPr>
        <w:t>Variant of uncertain significance (VUS)</w:t>
      </w:r>
      <w:r w:rsidRPr="007A5A02">
        <w:rPr>
          <w:rFonts w:ascii="Calibri" w:hAnsi="Calibri" w:cs="Calibri"/>
          <w:sz w:val="22"/>
          <w:szCs w:val="22"/>
        </w:rPr>
        <w:t xml:space="preserve"> – the variant has limited and/or conflicting evidence regarding pathogenicity. VUS in cancer-associated genes is typically included in results reports, however, can be omitted for heterozygous variants in genes associated with autosomal recessive disorders that predict rather benign by available prediction algorithms.</w:t>
      </w:r>
    </w:p>
    <w:p w14:paraId="520F0AB2" w14:textId="77777777" w:rsidR="007A5A02" w:rsidRPr="007A5A02" w:rsidRDefault="007A5A02" w:rsidP="007A5A02">
      <w:pPr>
        <w:pStyle w:val="p2"/>
        <w:jc w:val="both"/>
        <w:rPr>
          <w:rFonts w:ascii="Calibri" w:hAnsi="Calibri" w:cs="Calibri"/>
          <w:sz w:val="22"/>
          <w:szCs w:val="22"/>
        </w:rPr>
      </w:pPr>
    </w:p>
    <w:p w14:paraId="533DC561" w14:textId="77777777" w:rsidR="007A5A02" w:rsidRPr="00E55F6A" w:rsidRDefault="007A5A02" w:rsidP="007A5A02">
      <w:pPr>
        <w:pStyle w:val="p2"/>
        <w:jc w:val="both"/>
        <w:rPr>
          <w:rFonts w:ascii="Calibri" w:hAnsi="Calibri" w:cs="Calibri"/>
          <w:sz w:val="22"/>
          <w:szCs w:val="22"/>
        </w:rPr>
      </w:pPr>
      <w:r w:rsidRPr="007A5A02">
        <w:rPr>
          <w:rFonts w:ascii="Calibri" w:hAnsi="Calibri" w:cs="Calibri"/>
          <w:b/>
          <w:bCs/>
          <w:color w:val="173A84"/>
          <w:sz w:val="22"/>
          <w:szCs w:val="22"/>
        </w:rPr>
        <w:t>Likely benign</w:t>
      </w:r>
      <w:r w:rsidRPr="007A5A02">
        <w:rPr>
          <w:rFonts w:ascii="Calibri" w:hAnsi="Calibri" w:cs="Calibri"/>
          <w:sz w:val="22"/>
          <w:szCs w:val="22"/>
        </w:rPr>
        <w:t xml:space="preserve"> – the variant has strong evidence against pathogenicity. Likely benign variants are not included in the results reports.</w:t>
      </w:r>
    </w:p>
    <w:p w14:paraId="5798CB9E" w14:textId="77777777" w:rsidR="007A5A02" w:rsidRPr="007A5A02" w:rsidRDefault="007A5A02" w:rsidP="007A5A02">
      <w:pPr>
        <w:pStyle w:val="p2"/>
        <w:jc w:val="both"/>
        <w:rPr>
          <w:rFonts w:ascii="Calibri" w:hAnsi="Calibri" w:cs="Calibri"/>
          <w:sz w:val="22"/>
          <w:szCs w:val="22"/>
        </w:rPr>
      </w:pPr>
    </w:p>
    <w:p w14:paraId="03C9F641" w14:textId="77777777" w:rsidR="007A5A02" w:rsidRPr="00E55F6A" w:rsidRDefault="007A5A02" w:rsidP="007A5A02">
      <w:pPr>
        <w:pStyle w:val="p2"/>
        <w:jc w:val="both"/>
        <w:rPr>
          <w:rFonts w:ascii="Calibri" w:hAnsi="Calibri" w:cs="Calibri"/>
          <w:sz w:val="22"/>
          <w:szCs w:val="22"/>
        </w:rPr>
      </w:pPr>
      <w:r w:rsidRPr="007A5A02">
        <w:rPr>
          <w:rFonts w:ascii="Calibri" w:hAnsi="Calibri" w:cs="Calibri"/>
          <w:b/>
          <w:bCs/>
          <w:color w:val="173A84"/>
          <w:sz w:val="22"/>
          <w:szCs w:val="22"/>
        </w:rPr>
        <w:t xml:space="preserve">Benign </w:t>
      </w:r>
      <w:r w:rsidRPr="007A5A02">
        <w:rPr>
          <w:rFonts w:ascii="Calibri" w:hAnsi="Calibri" w:cs="Calibri"/>
          <w:sz w:val="22"/>
          <w:szCs w:val="22"/>
        </w:rPr>
        <w:t>– the variant has very strong evidence against pathogenicity. Likely benign variants are not included in the results reports.</w:t>
      </w:r>
    </w:p>
    <w:p w14:paraId="6D2464DD" w14:textId="77777777" w:rsidR="007A5A02" w:rsidRPr="007A5A02" w:rsidRDefault="007A5A02" w:rsidP="007A5A02">
      <w:pPr>
        <w:pStyle w:val="p2"/>
        <w:jc w:val="both"/>
        <w:rPr>
          <w:rFonts w:ascii="Calibri" w:hAnsi="Calibri" w:cs="Calibri"/>
          <w:sz w:val="22"/>
          <w:szCs w:val="22"/>
        </w:rPr>
      </w:pPr>
    </w:p>
    <w:p w14:paraId="75F8D12F" w14:textId="77777777" w:rsidR="007A5A02" w:rsidRPr="007A5A02" w:rsidRDefault="007A5A02" w:rsidP="007A5A02">
      <w:pPr>
        <w:pStyle w:val="p2"/>
        <w:jc w:val="both"/>
        <w:rPr>
          <w:rFonts w:ascii="Calibri" w:hAnsi="Calibri" w:cs="Calibri"/>
          <w:sz w:val="22"/>
          <w:szCs w:val="22"/>
        </w:rPr>
      </w:pPr>
      <w:r w:rsidRPr="007A5A02">
        <w:rPr>
          <w:rFonts w:ascii="Calibri" w:hAnsi="Calibri" w:cs="Calibri"/>
          <w:b/>
          <w:bCs/>
          <w:color w:val="173A84"/>
          <w:sz w:val="22"/>
          <w:szCs w:val="22"/>
        </w:rPr>
        <w:t>Disease-associated and/or functional polymorphism</w:t>
      </w:r>
      <w:r w:rsidRPr="007A5A02">
        <w:rPr>
          <w:rFonts w:ascii="Calibri" w:hAnsi="Calibri" w:cs="Calibri"/>
          <w:sz w:val="22"/>
          <w:szCs w:val="22"/>
        </w:rPr>
        <w:t xml:space="preserve"> – this category was defined by the HGMD database and describes variants that are either (i) disease-associated and of likely functional significance, or (ii) of clear functional significance even though no associated clinical phenotype may have been identified to date.</w:t>
      </w:r>
    </w:p>
    <w:p w14:paraId="1B35E54C" w14:textId="77777777" w:rsidR="00454552" w:rsidRPr="00E55F6A" w:rsidRDefault="00454552" w:rsidP="007A5A02">
      <w:pPr>
        <w:pStyle w:val="normal1"/>
        <w:jc w:val="both"/>
        <w:rPr>
          <w:rFonts w:ascii="Calibri" w:hAnsi="Calibri" w:cs="Calibri"/>
        </w:rPr>
      </w:pPr>
    </w:p>
    <w:sectPr w:rsidR="00454552" w:rsidRPr="00E55F6A" w:rsidSect="00FE20B8">
      <w:type w:val="continuous"/>
      <w:pgSz w:w="11906" w:h="16838"/>
      <w:pgMar w:top="720" w:right="720" w:bottom="720" w:left="720" w:header="0" w:footer="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95DCE" w14:textId="77777777" w:rsidR="008B7FC2" w:rsidRDefault="008B7FC2" w:rsidP="00DF1A5E">
      <w:pPr>
        <w:spacing w:line="240" w:lineRule="auto"/>
      </w:pPr>
      <w:r>
        <w:separator/>
      </w:r>
    </w:p>
  </w:endnote>
  <w:endnote w:type="continuationSeparator" w:id="0">
    <w:p w14:paraId="339F4A8A" w14:textId="77777777" w:rsidR="008B7FC2" w:rsidRDefault="008B7FC2" w:rsidP="00DF1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EBBAD" w14:textId="77777777" w:rsidR="008B7FC2" w:rsidRDefault="008B7FC2" w:rsidP="00DF1A5E">
      <w:pPr>
        <w:spacing w:line="240" w:lineRule="auto"/>
      </w:pPr>
      <w:r>
        <w:separator/>
      </w:r>
    </w:p>
  </w:footnote>
  <w:footnote w:type="continuationSeparator" w:id="0">
    <w:p w14:paraId="518A2DE2" w14:textId="77777777" w:rsidR="008B7FC2" w:rsidRDefault="008B7FC2" w:rsidP="00DF1A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D4CE" w14:textId="77777777" w:rsidR="00DF1A5E" w:rsidRDefault="00DF1A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4FD"/>
    <w:multiLevelType w:val="hybridMultilevel"/>
    <w:tmpl w:val="6718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788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52"/>
    <w:rsid w:val="000272A6"/>
    <w:rsid w:val="001711DA"/>
    <w:rsid w:val="00240B38"/>
    <w:rsid w:val="00253513"/>
    <w:rsid w:val="00267483"/>
    <w:rsid w:val="003438AA"/>
    <w:rsid w:val="003B7361"/>
    <w:rsid w:val="003F55C6"/>
    <w:rsid w:val="00454552"/>
    <w:rsid w:val="00680C4B"/>
    <w:rsid w:val="006A7BB7"/>
    <w:rsid w:val="007A5A02"/>
    <w:rsid w:val="008B7FC2"/>
    <w:rsid w:val="0093189B"/>
    <w:rsid w:val="00934029"/>
    <w:rsid w:val="00A22F7B"/>
    <w:rsid w:val="00AC2486"/>
    <w:rsid w:val="00AD1266"/>
    <w:rsid w:val="00AE6C44"/>
    <w:rsid w:val="00AF7E13"/>
    <w:rsid w:val="00BA69B4"/>
    <w:rsid w:val="00C2585A"/>
    <w:rsid w:val="00C630F0"/>
    <w:rsid w:val="00C64A22"/>
    <w:rsid w:val="00DE05D2"/>
    <w:rsid w:val="00DF1A5E"/>
    <w:rsid w:val="00E374D1"/>
    <w:rsid w:val="00E55F6A"/>
    <w:rsid w:val="00EC09E5"/>
    <w:rsid w:val="00EF5E6D"/>
    <w:rsid w:val="00F050F2"/>
    <w:rsid w:val="00FC0045"/>
    <w:rsid w:val="00FE20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937E1"/>
  <w15:docId w15:val="{925356FC-8643-FE48-8A9E-5E2E27C0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C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1"/>
    <w:next w:val="normal1"/>
    <w:uiPriority w:val="9"/>
    <w:qFormat/>
    <w:pPr>
      <w:keepNext/>
      <w:keepLines/>
      <w:spacing w:before="400" w:after="120" w:line="240" w:lineRule="auto"/>
      <w:outlineLvl w:val="0"/>
    </w:pPr>
    <w:rPr>
      <w:sz w:val="40"/>
      <w:szCs w:val="40"/>
    </w:rPr>
  </w:style>
  <w:style w:type="paragraph" w:styleId="Heading2">
    <w:name w:val="heading 2"/>
    <w:basedOn w:val="normal1"/>
    <w:next w:val="normal1"/>
    <w:uiPriority w:val="9"/>
    <w:semiHidden/>
    <w:unhideWhenUsed/>
    <w:qFormat/>
    <w:pPr>
      <w:keepNext/>
      <w:keepLines/>
      <w:spacing w:before="360" w:after="120" w:line="240" w:lineRule="auto"/>
      <w:outlineLvl w:val="1"/>
    </w:pPr>
    <w:rPr>
      <w:sz w:val="32"/>
      <w:szCs w:val="32"/>
    </w:rPr>
  </w:style>
  <w:style w:type="paragraph" w:styleId="Heading3">
    <w:name w:val="heading 3"/>
    <w:basedOn w:val="normal1"/>
    <w:next w:val="normal1"/>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Heading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normal1">
    <w:name w:val="normal1"/>
    <w:qFormat/>
    <w:pPr>
      <w:spacing w:line="276" w:lineRule="auto"/>
    </w:pPr>
  </w:style>
  <w:style w:type="paragraph" w:styleId="Title">
    <w:name w:val="Title"/>
    <w:basedOn w:val="normal1"/>
    <w:next w:val="normal1"/>
    <w:uiPriority w:val="10"/>
    <w:qFormat/>
    <w:pPr>
      <w:keepNext/>
      <w:keepLines/>
      <w:spacing w:after="60" w:line="240" w:lineRule="auto"/>
    </w:pPr>
    <w:rPr>
      <w:sz w:val="52"/>
      <w:szCs w:val="52"/>
    </w:rPr>
  </w:style>
  <w:style w:type="paragraph" w:styleId="Subtitle">
    <w:name w:val="Subtitle"/>
    <w:basedOn w:val="normal1"/>
    <w:next w:val="normal1"/>
    <w:uiPriority w:val="11"/>
    <w:qFormat/>
    <w:pPr>
      <w:keepNext/>
      <w:keepLines/>
      <w:spacing w:after="320" w:line="240" w:lineRule="auto"/>
    </w:pPr>
    <w:rPr>
      <w:color w:val="666666"/>
      <w:sz w:val="30"/>
      <w:szCs w:val="30"/>
    </w:rPr>
  </w:style>
  <w:style w:type="paragraph" w:customStyle="1" w:styleId="p1">
    <w:name w:val="p1"/>
    <w:basedOn w:val="Normal"/>
    <w:rsid w:val="00DE05D2"/>
    <w:pPr>
      <w:suppressAutoHyphens w:val="0"/>
      <w:spacing w:line="240" w:lineRule="auto"/>
    </w:pPr>
    <w:rPr>
      <w:rFonts w:ascii="Helvetica" w:eastAsia="Times New Roman" w:hAnsi="Helvetica" w:cs="Times New Roman"/>
      <w:color w:val="163484"/>
      <w:sz w:val="21"/>
      <w:szCs w:val="21"/>
      <w:lang w:val="en-CZ" w:eastAsia="en-GB" w:bidi="ar-SA"/>
    </w:rPr>
  </w:style>
  <w:style w:type="paragraph" w:customStyle="1" w:styleId="p2">
    <w:name w:val="p2"/>
    <w:basedOn w:val="Normal"/>
    <w:rsid w:val="00DE05D2"/>
    <w:pPr>
      <w:suppressAutoHyphens w:val="0"/>
      <w:spacing w:line="240" w:lineRule="auto"/>
    </w:pPr>
    <w:rPr>
      <w:rFonts w:ascii="Helvetica" w:eastAsia="Times New Roman" w:hAnsi="Helvetica" w:cs="Times New Roman"/>
      <w:color w:val="000000"/>
      <w:sz w:val="18"/>
      <w:szCs w:val="18"/>
      <w:lang w:val="en-CZ" w:eastAsia="en-GB" w:bidi="ar-SA"/>
    </w:rPr>
  </w:style>
  <w:style w:type="paragraph" w:customStyle="1" w:styleId="p3">
    <w:name w:val="p3"/>
    <w:basedOn w:val="Normal"/>
    <w:rsid w:val="00DE05D2"/>
    <w:pPr>
      <w:suppressAutoHyphens w:val="0"/>
      <w:spacing w:line="240" w:lineRule="auto"/>
    </w:pPr>
    <w:rPr>
      <w:rFonts w:ascii="Helvetica" w:eastAsia="Times New Roman" w:hAnsi="Helvetica" w:cs="Times New Roman"/>
      <w:color w:val="173A84"/>
      <w:sz w:val="18"/>
      <w:szCs w:val="18"/>
      <w:lang w:val="en-CZ" w:eastAsia="en-GB" w:bidi="ar-SA"/>
    </w:rPr>
  </w:style>
  <w:style w:type="character" w:customStyle="1" w:styleId="s1">
    <w:name w:val="s1"/>
    <w:basedOn w:val="DefaultParagraphFont"/>
    <w:rsid w:val="00DE05D2"/>
    <w:rPr>
      <w:color w:val="173A84"/>
    </w:rPr>
  </w:style>
  <w:style w:type="character" w:customStyle="1" w:styleId="s2">
    <w:name w:val="s2"/>
    <w:basedOn w:val="DefaultParagraphFont"/>
    <w:rsid w:val="00DE05D2"/>
    <w:rPr>
      <w:color w:val="000000"/>
    </w:rPr>
  </w:style>
  <w:style w:type="paragraph" w:styleId="Quote">
    <w:name w:val="Quote"/>
    <w:basedOn w:val="Normal"/>
    <w:next w:val="Normal"/>
    <w:link w:val="QuoteChar"/>
    <w:uiPriority w:val="29"/>
    <w:qFormat/>
    <w:rsid w:val="007A5A02"/>
    <w:pPr>
      <w:spacing w:before="200" w:after="160"/>
      <w:ind w:left="864" w:right="864"/>
      <w:jc w:val="center"/>
    </w:pPr>
    <w:rPr>
      <w:rFonts w:cs="Mangal"/>
      <w:i/>
      <w:iCs/>
      <w:color w:val="404040" w:themeColor="text1" w:themeTint="BF"/>
      <w:szCs w:val="20"/>
    </w:rPr>
  </w:style>
  <w:style w:type="character" w:customStyle="1" w:styleId="QuoteChar">
    <w:name w:val="Quote Char"/>
    <w:basedOn w:val="DefaultParagraphFont"/>
    <w:link w:val="Quote"/>
    <w:uiPriority w:val="29"/>
    <w:rsid w:val="007A5A02"/>
    <w:rPr>
      <w:rFonts w:cs="Mangal"/>
      <w:i/>
      <w:iCs/>
      <w:color w:val="404040" w:themeColor="text1" w:themeTint="BF"/>
      <w:szCs w:val="20"/>
    </w:rPr>
  </w:style>
  <w:style w:type="character" w:styleId="Emphasis">
    <w:name w:val="Emphasis"/>
    <w:basedOn w:val="DefaultParagraphFont"/>
    <w:uiPriority w:val="20"/>
    <w:qFormat/>
    <w:rsid w:val="007A5A02"/>
    <w:rPr>
      <w:i/>
      <w:iCs/>
    </w:rPr>
  </w:style>
  <w:style w:type="character" w:styleId="BookTitle">
    <w:name w:val="Book Title"/>
    <w:basedOn w:val="DefaultParagraphFont"/>
    <w:uiPriority w:val="33"/>
    <w:qFormat/>
    <w:rsid w:val="007A5A02"/>
    <w:rPr>
      <w:b/>
      <w:bCs/>
      <w:i/>
      <w:iCs/>
      <w:spacing w:val="5"/>
    </w:rPr>
  </w:style>
  <w:style w:type="character" w:styleId="Strong">
    <w:name w:val="Strong"/>
    <w:basedOn w:val="DefaultParagraphFont"/>
    <w:uiPriority w:val="22"/>
    <w:qFormat/>
    <w:rsid w:val="007A5A02"/>
    <w:rPr>
      <w:b/>
      <w:bCs/>
    </w:rPr>
  </w:style>
  <w:style w:type="paragraph" w:styleId="Header">
    <w:name w:val="header"/>
    <w:basedOn w:val="Normal"/>
    <w:link w:val="HeaderChar"/>
    <w:uiPriority w:val="99"/>
    <w:unhideWhenUsed/>
    <w:rsid w:val="00DF1A5E"/>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DF1A5E"/>
    <w:rPr>
      <w:rFonts w:cs="Mangal"/>
      <w:szCs w:val="20"/>
    </w:rPr>
  </w:style>
  <w:style w:type="paragraph" w:styleId="Footer">
    <w:name w:val="footer"/>
    <w:basedOn w:val="Normal"/>
    <w:link w:val="FooterChar"/>
    <w:uiPriority w:val="99"/>
    <w:unhideWhenUsed/>
    <w:rsid w:val="00DF1A5E"/>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DF1A5E"/>
    <w:rPr>
      <w:rFonts w:cs="Mangal"/>
      <w:szCs w:val="20"/>
    </w:rPr>
  </w:style>
  <w:style w:type="paragraph" w:styleId="NoSpacing">
    <w:name w:val="No Spacing"/>
    <w:uiPriority w:val="1"/>
    <w:qFormat/>
    <w:rsid w:val="00DF1A5E"/>
    <w:pPr>
      <w:suppressAutoHyphens w:val="0"/>
    </w:pPr>
    <w:rPr>
      <w:rFonts w:asciiTheme="minorHAnsi" w:eastAsiaTheme="minorEastAsia" w:hAnsiTheme="minorHAnsi" w:cstheme="minorBidi"/>
      <w:lang w:val="en-US" w:bidi="ar-SA"/>
    </w:rPr>
  </w:style>
  <w:style w:type="character" w:customStyle="1" w:styleId="s37">
    <w:name w:val="s37"/>
    <w:basedOn w:val="DefaultParagraphFont"/>
    <w:rsid w:val="003438AA"/>
  </w:style>
  <w:style w:type="character" w:customStyle="1" w:styleId="apple-converted-space">
    <w:name w:val="apple-converted-space"/>
    <w:basedOn w:val="DefaultParagraphFont"/>
    <w:rsid w:val="003438AA"/>
  </w:style>
  <w:style w:type="character" w:customStyle="1" w:styleId="s75">
    <w:name w:val="s75"/>
    <w:basedOn w:val="DefaultParagraphFont"/>
    <w:rsid w:val="003438AA"/>
  </w:style>
  <w:style w:type="table" w:styleId="TableGrid">
    <w:name w:val="Table Grid"/>
    <w:basedOn w:val="TableNormal"/>
    <w:uiPriority w:val="39"/>
    <w:rsid w:val="00AF7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9162">
      <w:bodyDiv w:val="1"/>
      <w:marLeft w:val="0"/>
      <w:marRight w:val="0"/>
      <w:marTop w:val="0"/>
      <w:marBottom w:val="0"/>
      <w:divBdr>
        <w:top w:val="none" w:sz="0" w:space="0" w:color="auto"/>
        <w:left w:val="none" w:sz="0" w:space="0" w:color="auto"/>
        <w:bottom w:val="none" w:sz="0" w:space="0" w:color="auto"/>
        <w:right w:val="none" w:sz="0" w:space="0" w:color="auto"/>
      </w:divBdr>
    </w:div>
    <w:div w:id="158542701">
      <w:bodyDiv w:val="1"/>
      <w:marLeft w:val="0"/>
      <w:marRight w:val="0"/>
      <w:marTop w:val="0"/>
      <w:marBottom w:val="0"/>
      <w:divBdr>
        <w:top w:val="none" w:sz="0" w:space="0" w:color="auto"/>
        <w:left w:val="none" w:sz="0" w:space="0" w:color="auto"/>
        <w:bottom w:val="none" w:sz="0" w:space="0" w:color="auto"/>
        <w:right w:val="none" w:sz="0" w:space="0" w:color="auto"/>
      </w:divBdr>
    </w:div>
    <w:div w:id="342822886">
      <w:bodyDiv w:val="1"/>
      <w:marLeft w:val="0"/>
      <w:marRight w:val="0"/>
      <w:marTop w:val="0"/>
      <w:marBottom w:val="0"/>
      <w:divBdr>
        <w:top w:val="none" w:sz="0" w:space="0" w:color="auto"/>
        <w:left w:val="none" w:sz="0" w:space="0" w:color="auto"/>
        <w:bottom w:val="none" w:sz="0" w:space="0" w:color="auto"/>
        <w:right w:val="none" w:sz="0" w:space="0" w:color="auto"/>
      </w:divBdr>
    </w:div>
    <w:div w:id="377169764">
      <w:bodyDiv w:val="1"/>
      <w:marLeft w:val="0"/>
      <w:marRight w:val="0"/>
      <w:marTop w:val="0"/>
      <w:marBottom w:val="0"/>
      <w:divBdr>
        <w:top w:val="none" w:sz="0" w:space="0" w:color="auto"/>
        <w:left w:val="none" w:sz="0" w:space="0" w:color="auto"/>
        <w:bottom w:val="none" w:sz="0" w:space="0" w:color="auto"/>
        <w:right w:val="none" w:sz="0" w:space="0" w:color="auto"/>
      </w:divBdr>
    </w:div>
    <w:div w:id="537006722">
      <w:bodyDiv w:val="1"/>
      <w:marLeft w:val="0"/>
      <w:marRight w:val="0"/>
      <w:marTop w:val="0"/>
      <w:marBottom w:val="0"/>
      <w:divBdr>
        <w:top w:val="none" w:sz="0" w:space="0" w:color="auto"/>
        <w:left w:val="none" w:sz="0" w:space="0" w:color="auto"/>
        <w:bottom w:val="none" w:sz="0" w:space="0" w:color="auto"/>
        <w:right w:val="none" w:sz="0" w:space="0" w:color="auto"/>
      </w:divBdr>
    </w:div>
    <w:div w:id="987589374">
      <w:bodyDiv w:val="1"/>
      <w:marLeft w:val="0"/>
      <w:marRight w:val="0"/>
      <w:marTop w:val="0"/>
      <w:marBottom w:val="0"/>
      <w:divBdr>
        <w:top w:val="none" w:sz="0" w:space="0" w:color="auto"/>
        <w:left w:val="none" w:sz="0" w:space="0" w:color="auto"/>
        <w:bottom w:val="none" w:sz="0" w:space="0" w:color="auto"/>
        <w:right w:val="none" w:sz="0" w:space="0" w:color="auto"/>
      </w:divBdr>
    </w:div>
    <w:div w:id="990790662">
      <w:bodyDiv w:val="1"/>
      <w:marLeft w:val="0"/>
      <w:marRight w:val="0"/>
      <w:marTop w:val="0"/>
      <w:marBottom w:val="0"/>
      <w:divBdr>
        <w:top w:val="none" w:sz="0" w:space="0" w:color="auto"/>
        <w:left w:val="none" w:sz="0" w:space="0" w:color="auto"/>
        <w:bottom w:val="none" w:sz="0" w:space="0" w:color="auto"/>
        <w:right w:val="none" w:sz="0" w:space="0" w:color="auto"/>
      </w:divBdr>
    </w:div>
    <w:div w:id="1049232433">
      <w:bodyDiv w:val="1"/>
      <w:marLeft w:val="0"/>
      <w:marRight w:val="0"/>
      <w:marTop w:val="0"/>
      <w:marBottom w:val="0"/>
      <w:divBdr>
        <w:top w:val="none" w:sz="0" w:space="0" w:color="auto"/>
        <w:left w:val="none" w:sz="0" w:space="0" w:color="auto"/>
        <w:bottom w:val="none" w:sz="0" w:space="0" w:color="auto"/>
        <w:right w:val="none" w:sz="0" w:space="0" w:color="auto"/>
      </w:divBdr>
    </w:div>
    <w:div w:id="1060598406">
      <w:bodyDiv w:val="1"/>
      <w:marLeft w:val="0"/>
      <w:marRight w:val="0"/>
      <w:marTop w:val="0"/>
      <w:marBottom w:val="0"/>
      <w:divBdr>
        <w:top w:val="none" w:sz="0" w:space="0" w:color="auto"/>
        <w:left w:val="none" w:sz="0" w:space="0" w:color="auto"/>
        <w:bottom w:val="none" w:sz="0" w:space="0" w:color="auto"/>
        <w:right w:val="none" w:sz="0" w:space="0" w:color="auto"/>
      </w:divBdr>
    </w:div>
    <w:div w:id="1247032697">
      <w:bodyDiv w:val="1"/>
      <w:marLeft w:val="0"/>
      <w:marRight w:val="0"/>
      <w:marTop w:val="0"/>
      <w:marBottom w:val="0"/>
      <w:divBdr>
        <w:top w:val="none" w:sz="0" w:space="0" w:color="auto"/>
        <w:left w:val="none" w:sz="0" w:space="0" w:color="auto"/>
        <w:bottom w:val="none" w:sz="0" w:space="0" w:color="auto"/>
        <w:right w:val="none" w:sz="0" w:space="0" w:color="auto"/>
      </w:divBdr>
    </w:div>
    <w:div w:id="1312439240">
      <w:bodyDiv w:val="1"/>
      <w:marLeft w:val="0"/>
      <w:marRight w:val="0"/>
      <w:marTop w:val="0"/>
      <w:marBottom w:val="0"/>
      <w:divBdr>
        <w:top w:val="none" w:sz="0" w:space="0" w:color="auto"/>
        <w:left w:val="none" w:sz="0" w:space="0" w:color="auto"/>
        <w:bottom w:val="none" w:sz="0" w:space="0" w:color="auto"/>
        <w:right w:val="none" w:sz="0" w:space="0" w:color="auto"/>
      </w:divBdr>
    </w:div>
    <w:div w:id="1318537102">
      <w:bodyDiv w:val="1"/>
      <w:marLeft w:val="0"/>
      <w:marRight w:val="0"/>
      <w:marTop w:val="0"/>
      <w:marBottom w:val="0"/>
      <w:divBdr>
        <w:top w:val="none" w:sz="0" w:space="0" w:color="auto"/>
        <w:left w:val="none" w:sz="0" w:space="0" w:color="auto"/>
        <w:bottom w:val="none" w:sz="0" w:space="0" w:color="auto"/>
        <w:right w:val="none" w:sz="0" w:space="0" w:color="auto"/>
      </w:divBdr>
    </w:div>
    <w:div w:id="1668049599">
      <w:bodyDiv w:val="1"/>
      <w:marLeft w:val="0"/>
      <w:marRight w:val="0"/>
      <w:marTop w:val="0"/>
      <w:marBottom w:val="0"/>
      <w:divBdr>
        <w:top w:val="none" w:sz="0" w:space="0" w:color="auto"/>
        <w:left w:val="none" w:sz="0" w:space="0" w:color="auto"/>
        <w:bottom w:val="none" w:sz="0" w:space="0" w:color="auto"/>
        <w:right w:val="none" w:sz="0" w:space="0" w:color="auto"/>
      </w:divBdr>
    </w:div>
    <w:div w:id="1703019710">
      <w:bodyDiv w:val="1"/>
      <w:marLeft w:val="0"/>
      <w:marRight w:val="0"/>
      <w:marTop w:val="0"/>
      <w:marBottom w:val="0"/>
      <w:divBdr>
        <w:top w:val="none" w:sz="0" w:space="0" w:color="auto"/>
        <w:left w:val="none" w:sz="0" w:space="0" w:color="auto"/>
        <w:bottom w:val="none" w:sz="0" w:space="0" w:color="auto"/>
        <w:right w:val="none" w:sz="0" w:space="0" w:color="auto"/>
      </w:divBdr>
    </w:div>
    <w:div w:id="1962414826">
      <w:bodyDiv w:val="1"/>
      <w:marLeft w:val="0"/>
      <w:marRight w:val="0"/>
      <w:marTop w:val="0"/>
      <w:marBottom w:val="0"/>
      <w:divBdr>
        <w:top w:val="none" w:sz="0" w:space="0" w:color="auto"/>
        <w:left w:val="none" w:sz="0" w:space="0" w:color="auto"/>
        <w:bottom w:val="none" w:sz="0" w:space="0" w:color="auto"/>
        <w:right w:val="none" w:sz="0" w:space="0" w:color="auto"/>
      </w:divBdr>
    </w:div>
    <w:div w:id="210530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3C9C6-02FD-5E4C-86E7-DF496B1BE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Kateřina Jurásková</cp:lastModifiedBy>
  <cp:revision>28</cp:revision>
  <dcterms:created xsi:type="dcterms:W3CDTF">2025-04-24T05:39:00Z</dcterms:created>
  <dcterms:modified xsi:type="dcterms:W3CDTF">2025-04-25T12:58:00Z</dcterms:modified>
  <dc:language>en-US</dc:language>
</cp:coreProperties>
</file>