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Curve, beside the easing menu on an animation control, draws that keyframe's easing by hand. Drag either handle: sideways is time and stays inside the box, up and down is the value and may leave it — which is how a move overshoots its target and settles, the one thing the named easings cannot do.</w:t>
      </w:r>
    </w:p>
    <w:p>
      <w:pPr>
        <w:pStyle w:val="ListBullet"/>
      </w:pPr>
      <w:r>
        <w:t xml:space="preserve">A drawn curve supersedes the named easing, so choosing a name from the menu (or pressing Use named easing) discards it. Changing the keyframe's value keeps it. A hold cannot be drawn, because a hold is a step rather than a curve.</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jc w:val="center"/>
      </w:pPr>
      <w:r>
        <w:drawing>
          <wp:inline xmlns:a="http://schemas.openxmlformats.org/drawingml/2006/main" xmlns:pic="http://schemas.openxmlformats.org/drawingml/2006/picture">
            <wp:extent cx="3925584" cy="4445000"/>
            <wp:docPr id="6" name="Picture 6"/>
            <wp:cNvGraphicFramePr>
              <a:graphicFrameLocks noChangeAspect="1"/>
            </wp:cNvGraphicFramePr>
            <a:graphic>
              <a:graphicData uri="http://schemas.openxmlformats.org/drawingml/2006/picture">
                <pic:pic>
                  <pic:nvPicPr>
                    <pic:cNvPr id="0" name="raw-import.png"/>
                    <pic:cNvPicPr/>
                  </pic:nvPicPr>
                  <pic:blipFill>
                    <a:blip r:embed="rId16"/>
                    <a:stretch>
                      <a:fillRect/>
                    </a:stretch>
                  </pic:blipFill>
                  <pic:spPr>
                    <a:xfrm>
                      <a:off x="0" y="0"/>
                      <a:ext cx="3925584" cy="4445000"/>
                    </a:xfrm>
                    <a:prstGeom prst="rect"/>
                  </pic:spPr>
                </pic:pic>
              </a:graphicData>
            </a:graphic>
          </wp:inline>
        </w:drawing>
      </w:r>
    </w:p>
    <w:p>
      <w:pPr>
        <w:pStyle w:val="Caption"/>
      </w:pPr>
      <w:r>
        <w:t xml:space="preserve">A developed DNG in the preview.</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Both uncompressed and losslessly compressed DNGs open — the second being what cameras actually write; uncompressed ones are mostly conversions. A vendor format such as Canon CR3 or Nikon NEF is still refused with a message naming the camera and format and saying the extended decoder is not loaded, rather than failing silently or blaming the file.</w:t>
      </w:r>
    </w:p>
    <w:p>
      <w:pPr>
        <w:pStyle w:val="ListBullet"/>
      </w:pPr>
      <w:r>
        <w:t xml:space="preserve">A DNG using lossy JPEG, or one holding an already-demosaiced image, is named rather than refused blankly. A single damaged tile costs that tile and leaves it black; the rest of the photograph still opens.</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