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A keyframe can carry a hand-drawn easing curve as well as one of the named easings. Nothing in the interface draws one yet; when it does, the curve will shape the move leaving that keyframe and can overshoot its target and settle, which the named easings cannot.</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