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Curve, beside the easing menu on an animation control, draws that keyframe's easing by hand. Drag either handle: sideways is time and stays inside the box, up and down is the value and may leave it — which is how a move overshoots its target and settles, the one thing the named easings cannot do.</w:t>
      </w:r>
    </w:p>
    <w:p>
      <w:pPr>
        <w:pStyle w:val="ListBullet"/>
      </w:pPr>
      <w:r>
        <w:t xml:space="preserve">A drawn curve supersedes the named easing, so choosing a name from the menu (or pressing Use named easing) discards it. Changing the keyframe's value keeps it. A hold cannot be drawn, because a hold is a step rather than a curve.</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Only uncompressed DNGs open at present. A compressed DNG, or a vendor format such as Canon CR3 or Nikon NEF, is refused with a message naming the camera and format and saying the extended decoder is not loaded, rather than failing silently or blaming the file.</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