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t>
      </w:r>
    </w:p>
    <w:p>
      <w:pPr>
        <w:spacing w:after="120" w:before="480"/>
        <w:jc w:val="center"/>
      </w:pPr>
      <w:r>
        <w:rPr>
          <w:rFonts w:ascii="Arial" w:cs="Arial" w:eastAsia="Arial" w:hAnsi="Arial"/>
          <w:b/>
          <w:bCs/>
          <w:color w:val="111111"/>
          <w:sz w:val="56"/>
          <w:szCs w:val="56"/>
        </w:rPr>
        <w:t xml:space="preserve">Stablepay</w:t>
      </w:r>
    </w:p>
    <w:p>
      <w:pPr>
        <w:spacing w:after="80" w:before="0"/>
        <w:jc w:val="center"/>
      </w:pPr>
      <w:r>
        <w:rPr>
          <w:rFonts w:ascii="Arial" w:cs="Arial" w:eastAsia="Arial" w:hAnsi="Arial"/>
          <w:color w:val="555555"/>
          <w:sz w:val="36"/>
          <w:szCs w:val="36"/>
        </w:rPr>
        <w:t xml:space="preserve">Architecture Proposal</w:t>
      </w:r>
    </w:p>
    <w:p>
      <w:pPr>
        <w:spacing w:after="480" w:before="0"/>
        <w:jc w:val="center"/>
      </w:pPr>
      <w:r>
        <w:rPr>
          <w:rFonts w:ascii="Arial" w:cs="Arial" w:eastAsia="Arial" w:hAnsi="Arial"/>
          <w:color w:val="2E7DF7"/>
          <w:sz w:val="28"/>
          <w:szCs w:val="28"/>
        </w:rPr>
        <w:t xml:space="preserve">Treasury Wallet &amp; Settlement Ledger Model</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20"/>
                <w:szCs w:val="20"/>
              </w:rPr>
              <w:t xml:space="preserve">Date</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30 June 2026</w:t>
            </w:r>
          </w:p>
        </w:tc>
      </w:tr>
      <w:tr>
        <w:tc>
          <w:tcPr>
            <w:tcW w:type="dxa" w:w="216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20"/>
                <w:szCs w:val="20"/>
              </w:rPr>
              <w:t xml:space="preserve">Version</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1.0 — For Stakeholder Review</w:t>
            </w:r>
          </w:p>
        </w:tc>
      </w:tr>
      <w:tr>
        <w:tc>
          <w:tcPr>
            <w:tcW w:type="dxa" w:w="216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20"/>
                <w:szCs w:val="20"/>
              </w:rPr>
              <w:t xml:space="preserve">Status</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Pending Sign-off</w:t>
            </w:r>
          </w:p>
        </w:tc>
      </w:tr>
      <w:tr>
        <w:tc>
          <w:tcPr>
            <w:tcW w:type="dxa" w:w="216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11111"/>
                <w:sz w:val="20"/>
                <w:szCs w:val="20"/>
              </w:rPr>
              <w:t xml:space="preserve">Confidential</w:t>
            </w:r>
          </w:p>
        </w:tc>
      </w:tr>
    </w:tbl>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1. Executive Summary</w:t>
      </w:r>
    </w:p>
    <w:p>
      <w:pPr>
        <w:spacing w:after="80" w:before="80"/>
      </w:pPr>
      <w:r>
        <w:rPr>
          <w:rFonts w:ascii="Arial" w:cs="Arial" w:eastAsia="Arial" w:hAnsi="Arial"/>
          <w:color w:val="111111"/>
          <w:sz w:val="22"/>
          <w:szCs w:val="22"/>
        </w:rPr>
        <w:t xml:space="preserve">This proposal outlines a change to the way Stablepay manages funds on behalf of merchants. The current model requires each merchant to maintain their own blockchain wallet, funded with USDC, before any payment can be processed. This document proposes replacing that model with a centralised treasury approach, where Stablepay holds and manages a float, processes payments on behalf of merchants, and settles with each merchant on a per-transaction basis.</w:t>
      </w:r>
    </w:p>
    <w:p>
      <w:pPr>
        <w:spacing w:after="0" w:before="0"/>
      </w:pPr>
      <w:r>
        <w:rPr>
          <w:rFonts w:ascii="Arial" w:cs="Arial" w:eastAsia="Arial" w:hAnsi="Arial"/>
          <w:sz w:val="22"/>
          <w:szCs w:val="22"/>
        </w:rPr>
        <w:t xml:space="preserve"> </w:t>
      </w:r>
    </w:p>
    <w:p>
      <w:pPr>
        <w:spacing w:after="80" w:before="80"/>
      </w:pPr>
      <w:r>
        <w:rPr>
          <w:rFonts w:ascii="Arial" w:cs="Arial" w:eastAsia="Arial" w:hAnsi="Arial"/>
          <w:color w:val="111111"/>
          <w:sz w:val="22"/>
          <w:szCs w:val="22"/>
        </w:rPr>
        <w:t xml:space="preserve">The change eliminates Stablepay's custody of merchant funds, simplifies the merchant onboarding experience, and provides a cleaner foundation for reconciliation and financial reporting.</w:t>
      </w:r>
    </w:p>
    <w:p>
      <w:pPr>
        <w:spacing w:after="0" w:before="0"/>
      </w:pPr>
      <w:r>
        <w:rPr>
          <w:rFonts w:ascii="Arial" w:cs="Arial" w:eastAsia="Arial" w:hAnsi="Arial"/>
          <w:sz w:val="22"/>
          <w:szCs w:val="22"/>
        </w:rPr>
        <w:t xml:space="preserve"> </w:t>
      </w:r>
    </w:p>
    <w:p>
      <w:pPr>
        <w:pStyle w:val="Heading1"/>
        <w:pBdr>
          <w:bottom w:val="single" w:color="2E7DF7" w:sz="6" w:space="6"/>
        </w:pBdr>
        <w:spacing w:after="160" w:before="360"/>
      </w:pPr>
      <w:r>
        <w:rPr>
          <w:rFonts w:ascii="Arial" w:cs="Arial" w:eastAsia="Arial" w:hAnsi="Arial"/>
          <w:b/>
          <w:bCs/>
          <w:color w:val="111111"/>
          <w:sz w:val="32"/>
          <w:szCs w:val="32"/>
        </w:rPr>
        <w:t xml:space="preserve">2. Problem with the Current Model</w:t>
      </w:r>
    </w:p>
    <w:p>
      <w:pPr>
        <w:spacing w:after="80" w:before="80"/>
      </w:pPr>
      <w:r>
        <w:rPr>
          <w:rFonts w:ascii="Arial" w:cs="Arial" w:eastAsia="Arial" w:hAnsi="Arial"/>
          <w:color w:val="111111"/>
          <w:sz w:val="22"/>
          <w:szCs w:val="22"/>
        </w:rPr>
        <w:t xml:space="preserve">Under the current architecture, every merchant provisioned on Stablepay receives four dedicated blockchain wallets — two for sending payments (BSC and Solana) and two for receiving payments (BSC and Solana). These wallets are created via Privy at onboarding time and must be individually funded before the merchant can process any transactions.</w:t>
      </w:r>
    </w:p>
    <w:p>
      <w:pPr>
        <w:spacing w:after="0" w:before="0"/>
      </w:pPr>
      <w:r>
        <w:rPr>
          <w:rFonts w:ascii="Arial" w:cs="Arial" w:eastAsia="Arial" w:hAnsi="Arial"/>
          <w:sz w:val="22"/>
          <w:szCs w:val="22"/>
        </w:rPr>
        <w:t xml:space="preserve"> </w:t>
      </w:r>
    </w:p>
    <w:p>
      <w:pPr>
        <w:spacing w:after="80" w:before="80"/>
      </w:pPr>
      <w:r>
        <w:rPr>
          <w:rFonts w:ascii="Arial" w:cs="Arial" w:eastAsia="Arial" w:hAnsi="Arial"/>
          <w:color w:val="111111"/>
          <w:sz w:val="22"/>
          <w:szCs w:val="22"/>
        </w:rPr>
        <w:t xml:space="preserve">This creates three compounding problems:</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8E2F4" w:val="clear"/>
            <w:tcMar>
              <w:top w:type="dxa" w:w="100"/>
              <w:left w:type="dxa" w:w="140"/>
              <w:bottom w:type="dxa" w:w="100"/>
              <w:right w:type="dxa" w:w="140"/>
            </w:tcMar>
          </w:tcPr>
          <w:p>
            <w:pPr>
              <w:spacing w:after="80" w:before="0"/>
            </w:pPr>
            <w:r>
              <w:rPr>
                <w:rFonts w:ascii="Arial" w:cs="Arial" w:eastAsia="Arial" w:hAnsi="Arial"/>
                <w:b/>
                <w:bCs/>
                <w:color w:val="111111"/>
                <w:sz w:val="22"/>
                <w:szCs w:val="22"/>
              </w:rPr>
              <w:t xml:space="preserve">Current Model</w:t>
            </w:r>
          </w:p>
          <w:p>
            <w:pPr>
              <w:spacing w:after="60" w:before="60"/>
            </w:pPr>
            <w:r>
              <w:rPr>
                <w:rFonts w:ascii="Arial" w:cs="Arial" w:eastAsia="Arial" w:hAnsi="Arial"/>
                <w:color w:val="111111"/>
                <w:sz w:val="21"/>
                <w:szCs w:val="21"/>
              </w:rPr>
              <w:t xml:space="preserve">•  4 wallets created per merchant at sign-up</w:t>
            </w:r>
          </w:p>
          <w:p>
            <w:pPr>
              <w:spacing w:after="60" w:before="60"/>
            </w:pPr>
            <w:r>
              <w:rPr>
                <w:rFonts w:ascii="Arial" w:cs="Arial" w:eastAsia="Arial" w:hAnsi="Arial"/>
                <w:color w:val="111111"/>
                <w:sz w:val="21"/>
                <w:szCs w:val="21"/>
              </w:rPr>
              <w:t xml:space="preserve">•  Merchant must pre-fund wallets before first payment</w:t>
            </w:r>
          </w:p>
          <w:p>
            <w:pPr>
              <w:spacing w:after="60" w:before="60"/>
            </w:pPr>
            <w:r>
              <w:rPr>
                <w:rFonts w:ascii="Arial" w:cs="Arial" w:eastAsia="Arial" w:hAnsi="Arial"/>
                <w:color w:val="111111"/>
                <w:sz w:val="21"/>
                <w:szCs w:val="21"/>
              </w:rPr>
              <w:t xml:space="preserve">•  Stablepay holds merchant USDC in custody</w:t>
            </w:r>
          </w:p>
          <w:p>
            <w:pPr>
              <w:spacing w:after="60" w:before="60"/>
            </w:pPr>
            <w:r>
              <w:rPr>
                <w:rFonts w:ascii="Arial" w:cs="Arial" w:eastAsia="Arial" w:hAnsi="Arial"/>
                <w:color w:val="111111"/>
                <w:sz w:val="21"/>
                <w:szCs w:val="21"/>
              </w:rPr>
              <w:t xml:space="preserve">•  Wallets created for all chains regardless of usage</w:t>
            </w:r>
          </w:p>
          <w:p>
            <w:pPr>
              <w:spacing w:after="60" w:before="60"/>
            </w:pPr>
            <w:r>
              <w:rPr>
                <w:rFonts w:ascii="Arial" w:cs="Arial" w:eastAsia="Arial" w:hAnsi="Arial"/>
                <w:color w:val="111111"/>
                <w:sz w:val="21"/>
                <w:szCs w:val="21"/>
              </w:rPr>
              <w:t xml:space="preserve">•  Per-merchant wallet ops overhead scales with tenants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0"/>
            </w:pPr>
            <w:r>
              <w:rPr>
                <w:rFonts w:ascii="Arial" w:cs="Arial" w:eastAsia="Arial" w:hAnsi="Arial"/>
                <w:b/>
                <w:bCs/>
                <w:color w:val="111111"/>
                <w:sz w:val="22"/>
                <w:szCs w:val="22"/>
              </w:rPr>
              <w:t xml:space="preserve">Impact</w:t>
            </w:r>
          </w:p>
          <w:p>
            <w:pPr>
              <w:spacing w:after="60" w:before="60"/>
            </w:pPr>
            <w:r>
              <w:rPr>
                <w:rFonts w:ascii="Arial" w:cs="Arial" w:eastAsia="Arial" w:hAnsi="Arial"/>
                <w:color w:val="111111"/>
                <w:sz w:val="21"/>
                <w:szCs w:val="21"/>
              </w:rPr>
              <w:t xml:space="preserve">•  Custody exposure and regulatory risk</w:t>
            </w:r>
          </w:p>
          <w:p>
            <w:pPr>
              <w:spacing w:after="60" w:before="60"/>
            </w:pPr>
            <w:r>
              <w:rPr>
                <w:rFonts w:ascii="Arial" w:cs="Arial" w:eastAsia="Arial" w:hAnsi="Arial"/>
                <w:color w:val="111111"/>
                <w:sz w:val="21"/>
                <w:szCs w:val="21"/>
              </w:rPr>
              <w:t xml:space="preserve">•  Friction in merchant onboarding</w:t>
            </w:r>
          </w:p>
          <w:p>
            <w:pPr>
              <w:spacing w:after="60" w:before="60"/>
            </w:pPr>
            <w:r>
              <w:rPr>
                <w:rFonts w:ascii="Arial" w:cs="Arial" w:eastAsia="Arial" w:hAnsi="Arial"/>
                <w:color w:val="111111"/>
                <w:sz w:val="21"/>
                <w:szCs w:val="21"/>
              </w:rPr>
              <w:t xml:space="preserve">•  Wasted wallet infrastructure at scale</w:t>
            </w:r>
          </w:p>
          <w:p>
            <w:pPr>
              <w:spacing w:after="60" w:before="60"/>
            </w:pPr>
            <w:r>
              <w:rPr>
                <w:rFonts w:ascii="Arial" w:cs="Arial" w:eastAsia="Arial" w:hAnsi="Arial"/>
                <w:color w:val="111111"/>
                <w:sz w:val="21"/>
                <w:szCs w:val="21"/>
              </w:rPr>
              <w:t xml:space="preserve">•  Complex reconciliation across many wallets</w:t>
            </w:r>
          </w:p>
          <w:p>
            <w:pPr>
              <w:spacing w:after="60" w:before="60"/>
            </w:pPr>
            <w:r>
              <w:rPr>
                <w:rFonts w:ascii="Arial" w:cs="Arial" w:eastAsia="Arial" w:hAnsi="Arial"/>
                <w:color w:val="111111"/>
                <w:sz w:val="21"/>
                <w:szCs w:val="21"/>
              </w:rPr>
              <w:t xml:space="preserve">•  Balance fragmentation reduces float efficiency</w:t>
            </w:r>
          </w:p>
        </w:tc>
      </w:tr>
    </w:tbl>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3. Proposed Model</w:t>
      </w:r>
    </w:p>
    <w:p>
      <w:pPr>
        <w:spacing w:after="80" w:before="80"/>
      </w:pPr>
      <w:r>
        <w:rPr>
          <w:rFonts w:ascii="Arial" w:cs="Arial" w:eastAsia="Arial" w:hAnsi="Arial"/>
          <w:color w:val="111111"/>
          <w:sz w:val="22"/>
          <w:szCs w:val="22"/>
        </w:rPr>
        <w:t xml:space="preserve">Stablepay will operate a set of master treasury wallets — one per supported blockchain (BSC, Solana). All payments, both outbound and inbound, will flow through these treasury wallets. Merchant accounts will no longer have on-chain wallets; instead, each merchant will have a credit limit and a ledger balance tracked in the Stablepay database.</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F7" w:sz="4"/>
              <w:left w:val="single" w:color="2E7DF7" w:sz="4"/>
              <w:bottom w:val="single" w:color="2E7DF7" w:sz="4"/>
              <w:right w:val="none" w:color="FFFFFF" w:sz="0"/>
            </w:tcBorders>
            <w:shd w:fill="F4F6FA" w:val="clear"/>
            <w:tcMar>
              <w:top w:type="dxa" w:w="120"/>
              <w:left w:type="dxa" w:w="200"/>
              <w:bottom w:type="dxa" w:w="120"/>
              <w:right w:type="dxa" w:w="120"/>
            </w:tcMar>
          </w:tcPr>
          <w:p>
            <w:pPr>
              <w:spacing w:after="80" w:before="0"/>
            </w:pPr>
            <w:r>
              <w:rPr>
                <w:rFonts w:ascii="Arial" w:cs="Arial" w:eastAsia="Arial" w:hAnsi="Arial"/>
                <w:b/>
                <w:bCs/>
                <w:color w:val="2E7DF7"/>
                <w:sz w:val="20"/>
                <w:szCs w:val="20"/>
              </w:rPr>
              <w:t xml:space="preserve">Key Principle</w:t>
            </w:r>
          </w:p>
          <w:p>
            <w:pPr>
              <w:spacing w:after="40" w:before="40"/>
            </w:pPr>
            <w:r>
              <w:rPr>
                <w:rFonts w:ascii="Arial" w:cs="Arial" w:eastAsia="Arial" w:hAnsi="Arial"/>
                <w:color w:val="111111"/>
                <w:sz w:val="21"/>
                <w:szCs w:val="21"/>
              </w:rPr>
              <w:t xml:space="preserve">Stablepay holds the float. Merchants request payments. Stablepay executes against its treasury. Merchants settle with Stablepay based on the FX rate quoted at the time of the payment.</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3.1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Merchant wallets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4 Privy wallets per merchant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None — treasury wallets only</w:t>
            </w:r>
          </w:p>
        </w:tc>
      </w:tr>
      <w:tr>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Merchant onboarding</w:t>
            </w:r>
          </w:p>
        </w:tc>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Create wallets + fund before first payment</w:t>
            </w:r>
          </w:p>
        </w:tc>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Set credit limit, ready to transact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Custody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Stablepay holds merchant USDC</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Stablepay holds its own float only</w:t>
            </w:r>
          </w:p>
        </w:tc>
      </w:tr>
      <w:tr>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Reconciliation</w:t>
            </w:r>
          </w:p>
        </w:tc>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Across many per-merchant wallets</w:t>
            </w:r>
          </w:p>
        </w:tc>
        <w:tc>
          <w:tcPr>
            <w:tcW w:type="dxa" w:w="31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Single ledger per merchant in DB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Float efficiency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Fragmented across merchant wallets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Centralised, fully utilised</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3.2  What Does Not Change</w:t>
      </w:r>
    </w:p>
    <w:p>
      <w:pPr>
        <w:pStyle w:val="ListParagraph"/>
        <w:numPr>
          <w:ilvl w:val="0"/>
          <w:numId w:val="2"/>
        </w:numPr>
        <w:spacing w:after="60" w:before="60"/>
      </w:pPr>
      <w:r>
        <w:rPr>
          <w:rFonts w:ascii="Arial" w:cs="Arial" w:eastAsia="Arial" w:hAnsi="Arial"/>
          <w:b w:val="false"/>
          <w:bCs w:val="false"/>
          <w:color w:val="111111"/>
          <w:sz w:val="22"/>
          <w:szCs w:val="22"/>
        </w:rPr>
        <w:t xml:space="preserve">Provider integrations (Honeycoin, KotaniPay) — no changes to how payments are submitted</w:t>
      </w:r>
    </w:p>
    <w:p>
      <w:pPr>
        <w:pStyle w:val="ListParagraph"/>
        <w:numPr>
          <w:ilvl w:val="0"/>
          <w:numId w:val="2"/>
        </w:numPr>
        <w:spacing w:after="60" w:before="60"/>
      </w:pPr>
      <w:r>
        <w:rPr>
          <w:rFonts w:ascii="Arial" w:cs="Arial" w:eastAsia="Arial" w:hAnsi="Arial"/>
          <w:b w:val="false"/>
          <w:bCs w:val="false"/>
          <w:color w:val="111111"/>
          <w:sz w:val="22"/>
          <w:szCs w:val="22"/>
        </w:rPr>
        <w:t xml:space="preserve">FX rate computation and fee structure</w:t>
      </w:r>
    </w:p>
    <w:p>
      <w:pPr>
        <w:pStyle w:val="ListParagraph"/>
        <w:numPr>
          <w:ilvl w:val="0"/>
          <w:numId w:val="2"/>
        </w:numPr>
        <w:spacing w:after="60" w:before="60"/>
      </w:pPr>
      <w:r>
        <w:rPr>
          <w:rFonts w:ascii="Arial" w:cs="Arial" w:eastAsia="Arial" w:hAnsi="Arial"/>
          <w:b w:val="false"/>
          <w:bCs w:val="false"/>
          <w:color w:val="111111"/>
          <w:sz w:val="22"/>
          <w:szCs w:val="22"/>
        </w:rPr>
        <w:t xml:space="preserve">Payment status tracking, webhooks, and the merchant-facing API</w:t>
      </w:r>
    </w:p>
    <w:p>
      <w:pPr>
        <w:pStyle w:val="ListParagraph"/>
        <w:numPr>
          <w:ilvl w:val="0"/>
          <w:numId w:val="2"/>
        </w:numPr>
        <w:spacing w:after="60" w:before="60"/>
      </w:pPr>
      <w:r>
        <w:rPr>
          <w:rFonts w:ascii="Arial" w:cs="Arial" w:eastAsia="Arial" w:hAnsi="Arial"/>
          <w:b w:val="false"/>
          <w:bCs w:val="false"/>
          <w:color w:val="111111"/>
          <w:sz w:val="22"/>
          <w:szCs w:val="22"/>
        </w:rPr>
        <w:t xml:space="preserve">The existing wallet code is preserved in the codebase for future use if needed</w:t>
      </w:r>
    </w:p>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4. Payment Flows</w:t>
      </w:r>
    </w:p>
    <w:p>
      <w:pPr>
        <w:pStyle w:val="Heading2"/>
        <w:spacing w:after="120" w:before="280"/>
      </w:pPr>
      <w:r>
        <w:rPr>
          <w:rFonts w:ascii="Arial" w:cs="Arial" w:eastAsia="Arial" w:hAnsi="Arial"/>
          <w:b/>
          <w:bCs/>
          <w:color w:val="111111"/>
          <w:sz w:val="26"/>
          <w:szCs w:val="26"/>
        </w:rPr>
        <w:t xml:space="preserve">4.1  Payout (Money-Out)</w:t>
      </w:r>
    </w:p>
    <w:p>
      <w:pPr>
        <w:spacing w:after="80" w:before="80"/>
      </w:pPr>
      <w:r>
        <w:rPr>
          <w:rFonts w:ascii="Arial" w:cs="Arial" w:eastAsia="Arial" w:hAnsi="Arial"/>
          <w:color w:val="111111"/>
          <w:sz w:val="22"/>
          <w:szCs w:val="22"/>
        </w:rPr>
        <w:t xml:space="preserve">The merchant submits a payout request. Stablepay validates the request against the merchant's available credit, executes the payment from its treasury wallet, and returns a success response once the provider confirms. The merchant then settles the USDC amount plus fees with Stablepay.</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2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5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Merchant</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POST /v1/payments/out with recipient details and fiat amount</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2</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Credit limit check — reject if outstanding balance exceeds limit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Fetch live FX rate, compute USDC amount and fee</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4</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Send USDC from treasury wallet to provider (Honeycoin / KotaniPay)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Provider</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Convert USDC to fiat, disburse to recipient</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6</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Return payment success + write payout_advance entry to ledger</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Merchant</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Settle with Stablepay: send USDC + fee to Stablepay treasury</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8</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Confirm receipt, write payout_settlement entry, restore credit</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4.2  Payin (Money-In)</w:t>
      </w:r>
    </w:p>
    <w:p>
      <w:pPr>
        <w:spacing w:after="80" w:before="80"/>
      </w:pPr>
      <w:r>
        <w:rPr>
          <w:rFonts w:ascii="Arial" w:cs="Arial" w:eastAsia="Arial" w:hAnsi="Arial"/>
          <w:color w:val="111111"/>
          <w:sz w:val="22"/>
          <w:szCs w:val="22"/>
        </w:rPr>
        <w:t xml:space="preserve">The merchant submits a payin request on behalf of a customer. The provider collects fiat from the customer and deposits USDC to Stablepay's treasury. Stablepay deducts its fee and forwards the net USDC to the merchant's designated settlement wallet.</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2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Actor</w:t>
            </w:r>
          </w:p>
        </w:tc>
        <w:tc>
          <w:tcPr>
            <w:tcW w:type="dxa" w:w="5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Merchant</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POST /v1/payments/in with customer phone and fiat amount</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2</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Provider</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Initiates MOMO collection from customer</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Provider</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Deposits USDC to Stablepay treasury moneyin wallet</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4</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Write payin_received entry to merchant ledger</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Deduct fee, forward net USDC to merchant settlement wallet address</w:t>
            </w:r>
          </w:p>
        </w:tc>
      </w:tr>
      <w:tr>
        <w:tc>
          <w:tcPr>
            <w:tcW w:type="dxa" w:w="7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6</w:t>
            </w:r>
          </w:p>
        </w:tc>
        <w:tc>
          <w:tcPr>
            <w:tcW w:type="dxa" w:w="32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Stablepay</w:t>
            </w:r>
          </w:p>
        </w:tc>
        <w:tc>
          <w:tcPr>
            <w:tcW w:type="dxa" w:w="5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Write payin_forwarded and fee entries to ledger</w:t>
            </w:r>
          </w:p>
        </w:tc>
      </w:tr>
    </w:tbl>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F7" w:sz="4"/>
              <w:left w:val="single" w:color="2E7DF7" w:sz="4"/>
              <w:bottom w:val="single" w:color="2E7DF7" w:sz="4"/>
              <w:right w:val="none" w:color="FFFFFF" w:sz="0"/>
            </w:tcBorders>
            <w:shd w:fill="F4F6FA" w:val="clear"/>
            <w:tcMar>
              <w:top w:type="dxa" w:w="120"/>
              <w:left w:type="dxa" w:w="200"/>
              <w:bottom w:type="dxa" w:w="120"/>
              <w:right w:type="dxa" w:w="120"/>
            </w:tcMar>
          </w:tcPr>
          <w:p>
            <w:pPr>
              <w:spacing w:after="80" w:before="0"/>
            </w:pPr>
            <w:r>
              <w:rPr>
                <w:rFonts w:ascii="Arial" w:cs="Arial" w:eastAsia="Arial" w:hAnsi="Arial"/>
                <w:b/>
                <w:bCs/>
                <w:color w:val="2E7DF7"/>
                <w:sz w:val="20"/>
                <w:szCs w:val="20"/>
              </w:rPr>
              <w:t xml:space="preserve">Note on Merchant Settlement Wallet</w:t>
            </w:r>
          </w:p>
          <w:p>
            <w:pPr>
              <w:spacing w:after="40" w:before="40"/>
            </w:pPr>
            <w:r>
              <w:rPr>
                <w:rFonts w:ascii="Arial" w:cs="Arial" w:eastAsia="Arial" w:hAnsi="Arial"/>
                <w:color w:val="111111"/>
                <w:sz w:val="21"/>
                <w:szCs w:val="21"/>
              </w:rPr>
              <w:t xml:space="preserve">For payins, the merchant provides a settlement wallet address (stored on their tenant record). This is the merchant's own wallet — Stablepay does not hold or custody these funds beyond the transit period.</w:t>
            </w:r>
          </w:p>
        </w:tc>
      </w:tr>
    </w:tbl>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5. Ledger and Reconciliation</w:t>
      </w:r>
    </w:p>
    <w:p>
      <w:pPr>
        <w:spacing w:after="80" w:before="80"/>
      </w:pPr>
      <w:r>
        <w:rPr>
          <w:rFonts w:ascii="Arial" w:cs="Arial" w:eastAsia="Arial" w:hAnsi="Arial"/>
          <w:color w:val="111111"/>
          <w:sz w:val="22"/>
          <w:szCs w:val="22"/>
        </w:rPr>
        <w:t xml:space="preserve">Every payment generates one or more entries in a per-merchant ledger. This ledger is the single source of truth for what Stablepay has advanced, what has been settled, and what remains outstanding.</w:t>
      </w:r>
    </w:p>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5.1  Ledger Entry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Type</w:t>
            </w:r>
          </w:p>
        </w:tc>
        <w:tc>
          <w:tcPr>
            <w:tcW w:type="dxa" w:w="14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50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payout_advance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Debit</w:t>
            </w:r>
          </w:p>
        </w:tc>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USDC Stablepay fronted for a merchant payout</w:t>
            </w:r>
          </w:p>
        </w:tc>
      </w:tr>
      <w:tr>
        <w:tc>
          <w:tcPr>
            <w:tcW w:type="dxa" w:w="288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payout_settlement</w:t>
            </w:r>
          </w:p>
        </w:tc>
        <w:tc>
          <w:tcPr>
            <w:tcW w:type="dxa" w:w="14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Credit</w:t>
            </w:r>
          </w:p>
        </w:tc>
        <w:tc>
          <w:tcPr>
            <w:tcW w:type="dxa" w:w="50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USDC merchant returned to Stablepay for a payout</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payin_received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Credit</w:t>
            </w:r>
          </w:p>
        </w:tc>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USDC received from provider for a payin</w:t>
            </w:r>
          </w:p>
        </w:tc>
      </w:tr>
      <w:tr>
        <w:tc>
          <w:tcPr>
            <w:tcW w:type="dxa" w:w="288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payin_forwarded</w:t>
            </w:r>
          </w:p>
        </w:tc>
        <w:tc>
          <w:tcPr>
            <w:tcW w:type="dxa" w:w="14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Debit</w:t>
            </w:r>
          </w:p>
        </w:tc>
        <w:tc>
          <w:tcPr>
            <w:tcW w:type="dxa" w:w="50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Net USDC sent to merchant settlement wallet</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fee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Credit</w:t>
            </w:r>
          </w:p>
        </w:tc>
        <w:tc>
          <w:tcPr>
            <w:tcW w:type="dxa" w:w="5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Stablepay fee retained on a payin</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5.2  Reconciliation Principle</w:t>
      </w:r>
    </w:p>
    <w:p>
      <w:pPr>
        <w:spacing w:after="80" w:before="80"/>
      </w:pPr>
      <w:r>
        <w:rPr>
          <w:rFonts w:ascii="Arial" w:cs="Arial" w:eastAsia="Arial" w:hAnsi="Arial"/>
          <w:color w:val="111111"/>
          <w:sz w:val="22"/>
          <w:szCs w:val="22"/>
        </w:rPr>
        <w:t xml:space="preserve">At any point in time, the following must hold for each merchant:</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F7" w:sz="4"/>
              <w:left w:val="single" w:color="2E7DF7" w:sz="4"/>
              <w:bottom w:val="single" w:color="2E7DF7" w:sz="4"/>
              <w:right w:val="none" w:color="FFFFFF" w:sz="0"/>
            </w:tcBorders>
            <w:shd w:fill="F4F6FA" w:val="clear"/>
            <w:tcMar>
              <w:top w:type="dxa" w:w="120"/>
              <w:left w:type="dxa" w:w="200"/>
              <w:bottom w:type="dxa" w:w="120"/>
              <w:right w:type="dxa" w:w="120"/>
            </w:tcMar>
          </w:tcPr>
          <w:p>
            <w:pPr>
              <w:spacing w:after="80" w:before="0"/>
            </w:pPr>
            <w:r>
              <w:rPr>
                <w:rFonts w:ascii="Arial" w:cs="Arial" w:eastAsia="Arial" w:hAnsi="Arial"/>
                <w:b/>
                <w:bCs/>
                <w:color w:val="2E7DF7"/>
                <w:sz w:val="20"/>
                <w:szCs w:val="20"/>
              </w:rPr>
              <w:t xml:space="preserve">Payout Reconciliation</w:t>
            </w:r>
          </w:p>
          <w:p>
            <w:pPr>
              <w:spacing w:after="40" w:before="40"/>
            </w:pPr>
            <w:r>
              <w:rPr>
                <w:rFonts w:ascii="Arial" w:cs="Arial" w:eastAsia="Arial" w:hAnsi="Arial"/>
                <w:color w:val="111111"/>
                <w:sz w:val="21"/>
                <w:szCs w:val="21"/>
              </w:rPr>
              <w:t xml:space="preserve">Total USDC advanced (payout_advance)  =  Total settled (payout_settlement)  +  Outstanding balance</w:t>
            </w:r>
          </w:p>
          <w:p>
            <w:pPr>
              <w:spacing w:after="40" w:before="40"/>
            </w:pPr>
            <w:r>
              <w:rPr>
                <w:rFonts w:ascii="Arial" w:cs="Arial" w:eastAsia="Arial" w:hAnsi="Arial"/>
                <w:color w:val="111111"/>
                <w:sz w:val="21"/>
                <w:szCs w:val="21"/>
              </w:rPr>
              <w:t xml:space="preserve"/>
            </w:r>
          </w:p>
          <w:p>
            <w:pPr>
              <w:spacing w:after="40" w:before="40"/>
            </w:pPr>
            <w:r>
              <w:rPr>
                <w:rFonts w:ascii="Arial" w:cs="Arial" w:eastAsia="Arial" w:hAnsi="Arial"/>
                <w:color w:val="111111"/>
                <w:sz w:val="21"/>
                <w:szCs w:val="21"/>
              </w:rPr>
              <w:t xml:space="preserve">Example: Merchant advances 117.51 USDC across the week, settles 95.01 USDC — outstanding is 22.50 USDC.</w:t>
            </w:r>
          </w:p>
        </w:tc>
      </w:tr>
    </w:tbl>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F7" w:sz="4"/>
              <w:left w:val="single" w:color="2E7DF7" w:sz="4"/>
              <w:bottom w:val="single" w:color="2E7DF7" w:sz="4"/>
              <w:right w:val="none" w:color="FFFFFF" w:sz="0"/>
            </w:tcBorders>
            <w:shd w:fill="F4F6FA" w:val="clear"/>
            <w:tcMar>
              <w:top w:type="dxa" w:w="120"/>
              <w:left w:type="dxa" w:w="200"/>
              <w:bottom w:type="dxa" w:w="120"/>
              <w:right w:type="dxa" w:w="120"/>
            </w:tcMar>
          </w:tcPr>
          <w:p>
            <w:pPr>
              <w:spacing w:after="80" w:before="0"/>
            </w:pPr>
            <w:r>
              <w:rPr>
                <w:rFonts w:ascii="Arial" w:cs="Arial" w:eastAsia="Arial" w:hAnsi="Arial"/>
                <w:b/>
                <w:bCs/>
                <w:color w:val="2E7DF7"/>
                <w:sz w:val="20"/>
                <w:szCs w:val="20"/>
              </w:rPr>
              <w:t xml:space="preserve">Payin Reconciliation</w:t>
            </w:r>
          </w:p>
          <w:p>
            <w:pPr>
              <w:spacing w:after="40" w:before="40"/>
            </w:pPr>
            <w:r>
              <w:rPr>
                <w:rFonts w:ascii="Arial" w:cs="Arial" w:eastAsia="Arial" w:hAnsi="Arial"/>
                <w:color w:val="111111"/>
                <w:sz w:val="21"/>
                <w:szCs w:val="21"/>
              </w:rPr>
              <w:t xml:space="preserve">USDC received from provider (payin_received)  =  USDC forwarded to merchant (payin_forwarded)  +  Fee retained</w:t>
            </w:r>
          </w:p>
          <w:p>
            <w:pPr>
              <w:spacing w:after="40" w:before="40"/>
            </w:pPr>
            <w:r>
              <w:rPr>
                <w:rFonts w:ascii="Arial" w:cs="Arial" w:eastAsia="Arial" w:hAnsi="Arial"/>
                <w:color w:val="111111"/>
                <w:sz w:val="21"/>
                <w:szCs w:val="21"/>
              </w:rPr>
              <w:t xml:space="preserve"/>
            </w:r>
          </w:p>
          <w:p>
            <w:pPr>
              <w:spacing w:after="40" w:before="40"/>
            </w:pPr>
            <w:r>
              <w:rPr>
                <w:rFonts w:ascii="Arial" w:cs="Arial" w:eastAsia="Arial" w:hAnsi="Arial"/>
                <w:color w:val="111111"/>
                <w:sz w:val="21"/>
                <w:szCs w:val="21"/>
              </w:rPr>
              <w:t xml:space="preserve">This must balance per transaction. Any gap is an unreconciled item requiring investigation.</w:t>
            </w:r>
          </w:p>
        </w:tc>
      </w:tr>
    </w:tbl>
    <w:p>
      <w:pPr>
        <w:spacing w:after="0" w:before="0"/>
      </w:pPr>
      <w:r>
        <w:rPr>
          <w:rFonts w:ascii="Arial" w:cs="Arial" w:eastAsia="Arial" w:hAnsi="Arial"/>
          <w:sz w:val="22"/>
          <w:szCs w:val="22"/>
        </w:rPr>
        <w:t xml:space="preserve"> </w:t>
      </w:r>
    </w:p>
    <w:p>
      <w:pPr>
        <w:pStyle w:val="Heading2"/>
        <w:spacing w:after="120" w:before="280"/>
      </w:pPr>
      <w:r>
        <w:rPr>
          <w:rFonts w:ascii="Arial" w:cs="Arial" w:eastAsia="Arial" w:hAnsi="Arial"/>
          <w:b/>
          <w:bCs/>
          <w:color w:val="111111"/>
          <w:sz w:val="26"/>
          <w:szCs w:val="26"/>
        </w:rPr>
        <w:t xml:space="preserve">5.3  Credit Limit</w:t>
      </w:r>
    </w:p>
    <w:p>
      <w:pPr>
        <w:spacing w:after="80" w:before="80"/>
      </w:pPr>
      <w:r>
        <w:rPr>
          <w:rFonts w:ascii="Arial" w:cs="Arial" w:eastAsia="Arial" w:hAnsi="Arial"/>
          <w:color w:val="111111"/>
          <w:sz w:val="22"/>
          <w:szCs w:val="22"/>
        </w:rPr>
        <w:t xml:space="preserve">Each merchant has a configured credit limit (in USDC). A new payout is only accepted if the merchant's outstanding balance is within that limit. This protects Stablepay's float exposure on a per-merchant basis.</w:t>
      </w:r>
    </w:p>
    <w:p>
      <w:pPr>
        <w:spacing w:after="0" w:before="0"/>
      </w:pPr>
      <w:r>
        <w:rPr>
          <w:rFonts w:ascii="Arial" w:cs="Arial" w:eastAsia="Arial" w:hAnsi="Arial"/>
          <w:sz w:val="22"/>
          <w:szCs w:val="22"/>
        </w:rPr>
        <w:t xml:space="preserve"> </w:t>
      </w:r>
    </w:p>
    <w:p>
      <w:pPr>
        <w:spacing w:after="80" w:before="80"/>
      </w:pPr>
      <w:r>
        <w:rPr>
          <w:rFonts w:ascii="Arial" w:cs="Arial" w:eastAsia="Arial" w:hAnsi="Arial"/>
          <w:color w:val="111111"/>
          <w:sz w:val="22"/>
          <w:szCs w:val="22"/>
        </w:rPr>
        <w:t xml:space="preserve">Outstanding balance = sum of all pending and confirmed payout advances minus all confirmed payout settlements.</w:t>
      </w:r>
    </w:p>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6. Treasury Wallet Structure</w:t>
      </w:r>
    </w:p>
    <w:p>
      <w:pPr>
        <w:spacing w:after="80" w:before="80"/>
      </w:pPr>
      <w:r>
        <w:rPr>
          <w:rFonts w:ascii="Arial" w:cs="Arial" w:eastAsia="Arial" w:hAnsi="Arial"/>
          <w:color w:val="111111"/>
          <w:sz w:val="22"/>
          <w:szCs w:val="22"/>
        </w:rPr>
        <w:t xml:space="preserve">Stablepay will operate a small number of treasury wallets, provisioned via Privy (existing custody provider). These are Stablepay's own wallets, not affiliated with any individual merchant.</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Wallet</w:t>
            </w:r>
          </w:p>
        </w:tc>
        <w:tc>
          <w:tcPr>
            <w:tcW w:type="dxa" w:w="21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Chain</w:t>
            </w:r>
          </w:p>
        </w:tc>
        <w:tc>
          <w:tcPr>
            <w:tcW w:type="dxa" w:w="4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Treasury (payout)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BSC</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Source wallet for all BSC payout payments</w:t>
            </w:r>
          </w:p>
        </w:tc>
      </w:tr>
      <w:tr>
        <w:tc>
          <w:tcPr>
            <w:tcW w:type="dxa" w:w="2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Treasury (payout)</w:t>
            </w:r>
          </w:p>
        </w:tc>
        <w:tc>
          <w:tcPr>
            <w:tcW w:type="dxa" w:w="216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Solana</w:t>
            </w:r>
          </w:p>
        </w:tc>
        <w:tc>
          <w:tcPr>
            <w:tcW w:type="dxa" w:w="4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Source wallet for all Solana payout payments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Treasury (moneyin)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BSC</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Receiving wallet for Honeycoin USDC deposits (payins)</w:t>
            </w:r>
          </w:p>
        </w:tc>
      </w:tr>
      <w:tr>
        <w:tc>
          <w:tcPr>
            <w:tcW w:type="dxa" w:w="24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Treasury (moneyin)</w:t>
            </w:r>
          </w:p>
        </w:tc>
        <w:tc>
          <w:tcPr>
            <w:tcW w:type="dxa" w:w="216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Solana</w:t>
            </w:r>
          </w:p>
        </w:tc>
        <w:tc>
          <w:tcPr>
            <w:tcW w:type="dxa" w:w="4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Receiving wallet for KotaniPay USDC deposits (payins)</w:t>
            </w:r>
          </w:p>
        </w:tc>
      </w:tr>
    </w:tbl>
    <w:p>
      <w:pPr>
        <w:spacing w:after="0" w:before="0"/>
      </w:pPr>
      <w:r>
        <w:rPr>
          <w:rFonts w:ascii="Arial" w:cs="Arial" w:eastAsia="Arial" w:hAnsi="Arial"/>
          <w:sz w:val="22"/>
          <w:szCs w:val="22"/>
        </w:rPr>
        <w:t xml:space="preserve"> </w:t>
      </w:r>
    </w:p>
    <w:p>
      <w:pPr>
        <w:spacing w:after="80" w:before="80"/>
      </w:pPr>
      <w:r>
        <w:rPr>
          <w:rFonts w:ascii="Arial" w:cs="Arial" w:eastAsia="Arial" w:hAnsi="Arial"/>
          <w:color w:val="111111"/>
          <w:sz w:val="22"/>
          <w:szCs w:val="22"/>
        </w:rPr>
        <w:t xml:space="preserve">The existing per-merchant wallet schema is preserved in the database (nullable columns). The provisioning code remains in the codebase but will not be called during tenant creation. This preserves the option to reintroduce per-merchant wallets in future without a schema migration.</w:t>
      </w:r>
    </w:p>
    <w:p>
      <w:pPr>
        <w:spacing w:after="0" w:before="0"/>
      </w:pPr>
      <w:r>
        <w:rPr>
          <w:rFonts w:ascii="Arial" w:cs="Arial" w:eastAsia="Arial" w:hAnsi="Arial"/>
          <w:sz w:val="22"/>
          <w:szCs w:val="22"/>
        </w:rPr>
        <w:t xml:space="preserve"> </w:t>
      </w:r>
    </w:p>
    <w:p>
      <w:pPr>
        <w:pStyle w:val="Heading1"/>
        <w:pBdr>
          <w:bottom w:val="single" w:color="2E7DF7" w:sz="6" w:space="6"/>
        </w:pBdr>
        <w:spacing w:after="160" w:before="360"/>
      </w:pPr>
      <w:r>
        <w:rPr>
          <w:rFonts w:ascii="Arial" w:cs="Arial" w:eastAsia="Arial" w:hAnsi="Arial"/>
          <w:b/>
          <w:bCs/>
          <w:color w:val="111111"/>
          <w:sz w:val="32"/>
          <w:szCs w:val="32"/>
        </w:rPr>
        <w:t xml:space="preserve">7. Implementation Scope</w:t>
      </w:r>
    </w:p>
    <w:p>
      <w:pPr>
        <w:spacing w:after="80" w:before="80"/>
      </w:pPr>
      <w:r>
        <w:rPr>
          <w:rFonts w:ascii="Arial" w:cs="Arial" w:eastAsia="Arial" w:hAnsi="Arial"/>
          <w:color w:val="111111"/>
          <w:sz w:val="22"/>
          <w:szCs w:val="22"/>
        </w:rPr>
        <w:t xml:space="preserve">The following changes are required to implement this proposal. No changes are required to provider adapters, FX logic, or the merchant-facing API endpoints.</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submit-moneyout.command.ts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Modify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Resolve treasury wallet address instead of tenant wallet; add credit limit check; write ledger entry</w:t>
            </w:r>
          </w:p>
        </w:tc>
      </w:tr>
      <w:tr>
        <w:tc>
          <w:tcPr>
            <w:tcW w:type="dxa" w:w="3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submit-moneyin.command.ts</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Modify</w:t>
            </w:r>
          </w:p>
        </w:tc>
        <w:tc>
          <w:tcPr>
            <w:tcW w:type="dxa" w:w="396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Use treasury moneyin address; write payin_received ledger entry; queue payin forward job</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forward-payin.worker.ts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Worker that sends net USDC from treasury to merchant settlement wallet</w:t>
            </w:r>
          </w:p>
        </w:tc>
      </w:tr>
      <w:tr>
        <w:tc>
          <w:tcPr>
            <w:tcW w:type="dxa" w:w="3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tenant_credit_config table</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New (migration)</w:t>
            </w:r>
          </w:p>
        </w:tc>
        <w:tc>
          <w:tcPr>
            <w:tcW w:type="dxa" w:w="396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Stores credit limit and merchant settlement wallet address per tenant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tenant_ledger_entries table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New (migration)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Append-only ledger of all debit/credit entries per merchant</w:t>
            </w:r>
          </w:p>
        </w:tc>
      </w:tr>
      <w:tr>
        <w:tc>
          <w:tcPr>
            <w:tcW w:type="dxa" w:w="36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create-tenant.command.ts</w:t>
            </w:r>
          </w:p>
        </w:tc>
        <w:tc>
          <w:tcPr>
            <w:tcW w:type="dxa" w:w="18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Modify</w:t>
            </w:r>
          </w:p>
        </w:tc>
        <w:tc>
          <w:tcPr>
            <w:tcW w:type="dxa" w:w="396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Remove wallet provisioning from tenant creation flow</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Config / env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New</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Treasury wallet addresses added as environment config</w:t>
            </w:r>
          </w:p>
        </w:tc>
      </w:tr>
    </w:tbl>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4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49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Treasury wallet underfunded — payouts fail if float runs low</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High</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Ops alerting on treasury balance; auto-alert below minimum threshold; clear runbook for top-up</w:t>
            </w:r>
          </w:p>
        </w:tc>
      </w:tr>
      <w:tr>
        <w:tc>
          <w:tcPr>
            <w:tcW w:type="dxa" w:w="3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Merchant does not settle — Stablepay carries exposure</w:t>
            </w:r>
          </w:p>
        </w:tc>
        <w:tc>
          <w:tcPr>
            <w:tcW w:type="dxa" w:w="14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Medium</w:t>
            </w:r>
          </w:p>
        </w:tc>
        <w:tc>
          <w:tcPr>
            <w:tcW w:type="dxa" w:w="49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Credit limits cap per-merchant exposure; outstanding balance blocks new payouts above limit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Payin forward fails — merchant USDC stuck in treasury</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Medium</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Retry logic in forward worker; failed forwards surfaced in ops dashboard; manual release path</w:t>
            </w:r>
          </w:p>
        </w:tc>
      </w:tr>
      <w:tr>
        <w:tc>
          <w:tcPr>
            <w:tcW w:type="dxa" w:w="300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Treasury wallet compromise — concentrated risk</w:t>
            </w:r>
          </w:p>
        </w:tc>
        <w:tc>
          <w:tcPr>
            <w:tcW w:type="dxa" w:w="144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High</w:t>
            </w:r>
          </w:p>
        </w:tc>
        <w:tc>
          <w:tcPr>
            <w:tcW w:type="dxa" w:w="4920"/>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tcPr>
          <w:p>
            <w:r>
              <w:rPr>
                <w:rFonts w:ascii="Arial" w:cs="Arial" w:eastAsia="Arial" w:hAnsi="Arial"/>
                <w:color w:val="111111"/>
                <w:sz w:val="20"/>
                <w:szCs w:val="20"/>
              </w:rPr>
              <w:t xml:space="preserve">Privy HSM-backed signing; access controls unchanged from current model; consider multi-sig for large balances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Existing merchant wallets still funded — migration of balances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Low</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Existing tenants’ wallets are preserved; sweeping balances is a one-time ops task, not a code change</w:t>
            </w:r>
          </w:p>
        </w:tc>
      </w:tr>
    </w:tbl>
    <w:p>
      <w:pPr>
        <w:spacing w:after="0" w:before="0"/>
      </w:pPr>
      <w:r>
        <w:rPr>
          <w:rFonts w:ascii="Arial" w:cs="Arial" w:eastAsia="Arial" w:hAnsi="Arial"/>
          <w:sz w:val="22"/>
          <w:szCs w:val="22"/>
        </w:rPr>
        <w:t xml:space="preserve"> </w:t>
      </w:r>
    </w:p>
    <w:p>
      <w:pPr>
        <w:pStyle w:val="Heading1"/>
        <w:pBdr>
          <w:bottom w:val="single" w:color="2E7DF7" w:sz="6" w:space="6"/>
        </w:pBdr>
        <w:spacing w:after="160" w:before="360"/>
      </w:pPr>
      <w:r>
        <w:rPr>
          <w:rFonts w:ascii="Arial" w:cs="Arial" w:eastAsia="Arial" w:hAnsi="Arial"/>
          <w:b/>
          <w:bCs/>
          <w:color w:val="111111"/>
          <w:sz w:val="32"/>
          <w:szCs w:val="32"/>
        </w:rPr>
        <w:t xml:space="preserve">9. Out of Scope</w:t>
      </w:r>
    </w:p>
    <w:p>
      <w:pPr>
        <w:pStyle w:val="ListParagraph"/>
        <w:numPr>
          <w:ilvl w:val="0"/>
          <w:numId w:val="2"/>
        </w:numPr>
        <w:spacing w:after="60" w:before="60"/>
      </w:pPr>
      <w:r>
        <w:rPr>
          <w:rFonts w:ascii="Arial" w:cs="Arial" w:eastAsia="Arial" w:hAnsi="Arial"/>
          <w:b w:val="false"/>
          <w:bCs w:val="false"/>
          <w:color w:val="111111"/>
          <w:sz w:val="22"/>
          <w:szCs w:val="22"/>
        </w:rPr>
        <w:t xml:space="preserve">Automated settlement detection (blockchain monitoring or smart contracts) — settlement confirmation is a manual ops step initially</w:t>
      </w:r>
    </w:p>
    <w:p>
      <w:pPr>
        <w:pStyle w:val="ListParagraph"/>
        <w:numPr>
          <w:ilvl w:val="0"/>
          <w:numId w:val="2"/>
        </w:numPr>
        <w:spacing w:after="60" w:before="60"/>
      </w:pPr>
      <w:r>
        <w:rPr>
          <w:rFonts w:ascii="Arial" w:cs="Arial" w:eastAsia="Arial" w:hAnsi="Arial"/>
          <w:b w:val="false"/>
          <w:bCs w:val="false"/>
          <w:color w:val="111111"/>
          <w:sz w:val="22"/>
          <w:szCs w:val="22"/>
        </w:rPr>
        <w:t xml:space="preserve">Multi-signature treasury wallets — deferred to a future security review</w:t>
      </w:r>
    </w:p>
    <w:p>
      <w:pPr>
        <w:pStyle w:val="ListParagraph"/>
        <w:numPr>
          <w:ilvl w:val="0"/>
          <w:numId w:val="2"/>
        </w:numPr>
        <w:spacing w:after="60" w:before="60"/>
      </w:pPr>
      <w:r>
        <w:rPr>
          <w:rFonts w:ascii="Arial" w:cs="Arial" w:eastAsia="Arial" w:hAnsi="Arial"/>
          <w:b w:val="false"/>
          <w:bCs w:val="false"/>
          <w:color w:val="111111"/>
          <w:sz w:val="22"/>
          <w:szCs w:val="22"/>
        </w:rPr>
        <w:t xml:space="preserve">Per-merchant sub-accounts or virtual wallets</w:t>
      </w:r>
    </w:p>
    <w:p>
      <w:pPr>
        <w:pStyle w:val="ListParagraph"/>
        <w:numPr>
          <w:ilvl w:val="0"/>
          <w:numId w:val="2"/>
        </w:numPr>
        <w:spacing w:after="60" w:before="60"/>
      </w:pPr>
      <w:r>
        <w:rPr>
          <w:rFonts w:ascii="Arial" w:cs="Arial" w:eastAsia="Arial" w:hAnsi="Arial"/>
          <w:b w:val="false"/>
          <w:bCs w:val="false"/>
          <w:color w:val="111111"/>
          <w:sz w:val="22"/>
          <w:szCs w:val="22"/>
        </w:rPr>
        <w:t xml:space="preserve">Migration of balances from existing merchant wallets — handled as a separate ops task</w:t>
      </w:r>
    </w:p>
    <w:p>
      <w:pPr>
        <w:spacing w:after="0" w:before="0"/>
      </w:pPr>
      <w:r>
        <w:rPr>
          <w:rFonts w:ascii="Arial" w:cs="Arial" w:eastAsia="Arial" w:hAnsi="Arial"/>
          <w:sz w:val="22"/>
          <w:szCs w:val="22"/>
        </w:rPr>
        <w:t xml:space="preserve"> </w:t>
      </w:r>
    </w:p>
    <w:p>
      <w:r>
        <w:br w:type="page"/>
      </w:r>
    </w:p>
    <w:p>
      <w:pPr>
        <w:pStyle w:val="Heading1"/>
        <w:pBdr>
          <w:bottom w:val="single" w:color="2E7DF7" w:sz="6" w:space="6"/>
        </w:pBdr>
        <w:spacing w:after="160" w:before="360"/>
      </w:pPr>
      <w:r>
        <w:rPr>
          <w:rFonts w:ascii="Arial" w:cs="Arial" w:eastAsia="Arial" w:hAnsi="Arial"/>
          <w:b/>
          <w:bCs/>
          <w:color w:val="111111"/>
          <w:sz w:val="32"/>
          <w:szCs w:val="32"/>
        </w:rPr>
        <w:t xml:space="preserve">10. Sign-Off</w:t>
      </w:r>
    </w:p>
    <w:p>
      <w:pPr>
        <w:spacing w:after="80" w:before="80"/>
      </w:pPr>
      <w:r>
        <w:rPr>
          <w:rFonts w:ascii="Arial" w:cs="Arial" w:eastAsia="Arial" w:hAnsi="Arial"/>
          <w:color w:val="111111"/>
          <w:sz w:val="22"/>
          <w:szCs w:val="22"/>
        </w:rPr>
        <w:t xml:space="preserve">By signing below, the stakeholder confirms they have reviewed this proposal and approve it for implementation.</w:t>
      </w:r>
    </w:p>
    <w:p>
      <w:pPr>
        <w:spacing w:after="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11111"/>
                <w:sz w:val="20"/>
                <w:szCs w:val="20"/>
              </w:rPr>
              <w:t xml:space="preserve">Engineering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11111"/>
                <w:sz w:val="20"/>
                <w:szCs w:val="20"/>
              </w:rPr>
              <w:t xml:space="preserve">Product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11111"/>
                <w:sz w:val="20"/>
                <w:szCs w:val="20"/>
              </w:rPr>
              <w:t xml:space="preserve">Compliance / Legal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11111"/>
                <w:sz w:val="20"/>
                <w:szCs w:val="20"/>
              </w:rPr>
              <w:t xml:space="preserve">Finance /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0" w:before="0"/>
      </w:pPr>
      <w:r>
        <w:rPr>
          <w:rFonts w:ascii="Arial" w:cs="Arial" w:eastAsia="Arial" w:hAnsi="Arial"/>
          <w:sz w:val="22"/>
          <w:szCs w:val="22"/>
        </w:rPr>
        <w:t xml:space="preserve">  </w:t>
      </w:r>
    </w:p>
    <w:p>
      <w:pPr>
        <w:jc w:val="center"/>
      </w:pPr>
      <w:r>
        <w:rPr>
          <w:rFonts w:ascii="Arial" w:cs="Arial" w:eastAsia="Arial" w:hAnsi="Arial"/>
          <w:i/>
          <w:iCs/>
          <w:color w:val="888888"/>
          <w:sz w:val="18"/>
          <w:szCs w:val="18"/>
        </w:rPr>
        <w:t xml:space="preserve">Stablepay — Confidential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F7" w:sz="4" w:space="6"/>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F7" w:sz="4" w:space="6"/>
      </w:pBdr>
    </w:pPr>
    <w:r>
      <w:rPr>
        <w:rFonts w:ascii="Arial" w:cs="Arial" w:eastAsia="Arial" w:hAnsi="Arial"/>
        <w:b/>
        <w:bCs/>
        <w:color w:val="888888"/>
        <w:sz w:val="18"/>
        <w:szCs w:val="18"/>
      </w:rPr>
      <w:t xml:space="preserve">STABLEPAY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2026-06-30T10:55:34.615Z</dcterms:created>
  <dcterms:modified xsi:type="dcterms:W3CDTF">2026-06-30T10:55:34.615Z</dcterms:modified>
</cp:coreProperties>
</file>

<file path=docProps/custom.xml><?xml version="1.0" encoding="utf-8"?>
<Properties xmlns="http://schemas.openxmlformats.org/officeDocument/2006/custom-properties" xmlns:vt="http://schemas.openxmlformats.org/officeDocument/2006/docPropsVTypes"/>
</file>