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 xml:space="preserve">CSS400B COMMUNICATION SKILLS II </w:t>
      </w:r>
    </w:p>
    <w:p>
      <w:pPr>
        <w:pStyle w:val="style0"/>
        <w:rPr/>
      </w:pPr>
      <w:r>
        <w:rPr>
          <w:lang w:val="en-US"/>
        </w:rPr>
        <w:t xml:space="preserve">NAMES:KATLEHO QHOBELA </w:t>
      </w:r>
    </w:p>
    <w:p>
      <w:pPr>
        <w:pStyle w:val="style0"/>
        <w:rPr/>
      </w:pPr>
      <w:r>
        <w:rPr>
          <w:lang w:val="en-US"/>
        </w:rPr>
        <w:t>STUDENT NUMBER:20250016</w:t>
      </w:r>
    </w:p>
    <w:p>
      <w:pPr>
        <w:pStyle w:val="style0"/>
        <w:rPr/>
      </w:pPr>
      <w:r>
        <w:rPr>
          <w:lang w:val="en-US"/>
        </w:rPr>
        <w:t xml:space="preserve">WEEK11 SELF-STUDY </w:t>
        <w:cr/>
      </w:r>
    </w:p>
    <w:p>
      <w:pPr>
        <w:pStyle w:val="style0"/>
        <w:rPr/>
      </w:pPr>
      <w:r>
        <w:rPr>
          <w:lang w:val="en-US"/>
        </w:rPr>
        <w:cr/>
      </w:r>
    </w:p>
    <w:p>
      <w:pPr>
        <w:pStyle w:val="style0"/>
        <w:rPr/>
      </w:pPr>
      <w:r>
        <w:rPr>
          <w:lang w:val="en-US"/>
        </w:rPr>
        <w:t>1. Personal Communication Audit</w:t>
        <w:cr/>
      </w:r>
    </w:p>
    <w:p>
      <w:pPr>
        <w:pStyle w:val="style0"/>
        <w:rPr/>
      </w:pPr>
      <w:r>
        <w:rPr>
          <w:lang w:val="en-US"/>
        </w:rPr>
        <w:t>300-word reflection:</w:t>
        <w:cr/>
      </w:r>
    </w:p>
    <w:p>
      <w:pPr>
        <w:pStyle w:val="style0"/>
        <w:rPr/>
      </w:pPr>
      <w:r>
        <w:rPr>
          <w:lang w:val="en-US"/>
        </w:rPr>
        <w:cr/>
      </w:r>
    </w:p>
    <w:p>
      <w:pPr>
        <w:pStyle w:val="style0"/>
        <w:rPr/>
      </w:pPr>
      <w:r>
        <w:rPr>
          <w:lang w:val="en-US"/>
        </w:rPr>
        <w:t>Using Hofstede’s dimensions, my communication style leans low power distance and low uncertainty avoidance. I prefer direct, first-name basis interactions and I’m comfortable with ambiguity, often brainstorming without a fixed agenda. I also score low on masculinity, valuing collaboration over competition, and moderately individualist, as I take personal accountability but still prioritize team goals.</w:t>
        <w:cr/>
      </w:r>
    </w:p>
    <w:p>
      <w:pPr>
        <w:pStyle w:val="style0"/>
        <w:rPr/>
      </w:pPr>
      <w:r>
        <w:rPr>
          <w:lang w:val="en-US"/>
        </w:rPr>
        <w:cr/>
      </w:r>
    </w:p>
    <w:p>
      <w:pPr>
        <w:pStyle w:val="style0"/>
        <w:rPr/>
      </w:pPr>
      <w:r>
        <w:rPr>
          <w:lang w:val="en-US"/>
        </w:rPr>
        <w:t xml:space="preserve">A challenging interaction happened during a group project with an exchange student from Japan. I was leading the team and kept pushing for rapid decisions in our WhatsApp group: “Let’s vote now and finalize this tonight.” He remained silent online, then submitted work late without explanation. I assumed disengagement and felt frustrated. </w:t>
        <w:cr/>
      </w:r>
    </w:p>
    <w:p>
      <w:pPr>
        <w:pStyle w:val="style0"/>
        <w:rPr/>
      </w:pPr>
      <w:r>
        <w:rPr>
          <w:lang w:val="en-US"/>
        </w:rPr>
        <w:cr/>
      </w:r>
    </w:p>
    <w:p>
      <w:pPr>
        <w:pStyle w:val="style0"/>
        <w:rPr/>
      </w:pPr>
      <w:r>
        <w:rPr>
          <w:lang w:val="en-US"/>
        </w:rPr>
        <w:t>Re-analyzing with Hofstede’s model, the clash was cultural. Japan scores high on uncertainty avoidance and high power distance. My low-context, direct style likely felt rushed and disrespectful. In high-context cultures, silence often means “I need to consider this” or “I disagree but won’t say it openly.” His culture also values consensus and saving face, so public disagreement in a group chat was inappropriate. My urgency violated his need for careful, hierarchical decision-making.</w:t>
        <w:cr/>
      </w:r>
    </w:p>
    <w:p>
      <w:pPr>
        <w:pStyle w:val="style0"/>
        <w:rPr/>
      </w:pPr>
      <w:r>
        <w:rPr>
          <w:lang w:val="en-US"/>
        </w:rPr>
        <w:cr/>
      </w:r>
    </w:p>
    <w:p>
      <w:pPr>
        <w:pStyle w:val="style0"/>
        <w:rPr/>
      </w:pPr>
      <w:r>
        <w:rPr>
          <w:lang w:val="en-US"/>
        </w:rPr>
        <w:t>Now, I would handle it differently. First, I’d use high-context strategies: schedule a 1-on-1 call to build rapport before task discussions. Second, I’d allow ambiguity by setting a 48-hour window for input instead of demanding instant votes. Third, I’d frame requests to show respect for hierarchy: “Could you please share your thoughts when convenient? Your expertise is important here.” This adapts to his high power distance and uncertainty avoidance. The goal isn’t to abandon directness, but to code-switch. Understanding dimensions beneath the surface turns conflict into cultural fluency.</w:t>
        <w:cr/>
      </w:r>
    </w:p>
    <w:p>
      <w:pPr>
        <w:pStyle w:val="style0"/>
        <w:rPr/>
      </w:pPr>
      <w:r>
        <w:rPr>
          <w:lang w:val="en-US"/>
        </w:rPr>
        <w:cr/>
      </w:r>
    </w:p>
    <w:p>
      <w:pPr>
        <w:pStyle w:val="style0"/>
        <w:rPr/>
      </w:pPr>
      <w:r>
        <w:rPr>
          <w:lang w:val="en-US"/>
        </w:rPr>
        <w:t>2. Professional Document Localization</w:t>
        <w:cr/>
      </w:r>
    </w:p>
    <w:p>
      <w:pPr>
        <w:pStyle w:val="style0"/>
        <w:rPr/>
      </w:pPr>
      <w:r>
        <w:rPr>
          <w:lang w:val="en-US"/>
        </w:rPr>
        <w:t xml:space="preserve">Chosen product: Electric kettle  </w:t>
        <w:cr/>
      </w:r>
    </w:p>
    <w:p>
      <w:pPr>
        <w:pStyle w:val="style0"/>
        <w:rPr/>
      </w:pPr>
      <w:r>
        <w:rPr>
          <w:lang w:val="en-US"/>
        </w:rPr>
        <w:t xml:space="preserve">Target country: Japan  </w:t>
        <w:cr/>
      </w:r>
    </w:p>
    <w:p>
      <w:pPr>
        <w:pStyle w:val="style0"/>
        <w:rPr/>
      </w:pPr>
      <w:r>
        <w:rPr>
          <w:lang w:val="en-US"/>
        </w:rPr>
        <w:cr/>
      </w:r>
    </w:p>
    <w:p>
      <w:pPr>
        <w:pStyle w:val="style0"/>
        <w:rPr/>
      </w:pPr>
      <w:r>
        <w:rPr>
          <w:lang w:val="en-US"/>
        </w:rPr>
        <w:t>Original US Instructions:</w:t>
        <w:cr/>
      </w:r>
    </w:p>
    <w:p>
      <w:pPr>
        <w:pStyle w:val="style0"/>
        <w:rPr/>
      </w:pPr>
      <w:r>
        <w:rPr>
          <w:lang w:val="en-US"/>
        </w:rPr>
        <w:t xml:space="preserve">1. Plug in kettle. </w:t>
        <w:cr/>
      </w:r>
    </w:p>
    <w:p>
      <w:pPr>
        <w:pStyle w:val="style0"/>
        <w:rPr/>
      </w:pPr>
      <w:r>
        <w:rPr>
          <w:lang w:val="en-US"/>
        </w:rPr>
        <w:t>2. Fill with water to MAX line.</w:t>
        <w:cr/>
      </w:r>
    </w:p>
    <w:p>
      <w:pPr>
        <w:pStyle w:val="style0"/>
        <w:rPr/>
      </w:pPr>
      <w:r>
        <w:rPr>
          <w:lang w:val="en-US"/>
        </w:rPr>
        <w:t>3. Press button to boil.</w:t>
        <w:cr/>
      </w:r>
    </w:p>
    <w:p>
      <w:pPr>
        <w:pStyle w:val="style0"/>
        <w:rPr/>
      </w:pPr>
      <w:r>
        <w:rPr>
          <w:lang w:val="en-US"/>
        </w:rPr>
        <w:t>4. Enjoy!</w:t>
        <w:cr/>
      </w:r>
    </w:p>
    <w:p>
      <w:pPr>
        <w:pStyle w:val="style0"/>
        <w:rPr/>
      </w:pPr>
      <w:r>
        <w:rPr>
          <w:lang w:val="en-US"/>
        </w:rPr>
        <w:cr/>
      </w:r>
    </w:p>
    <w:p>
      <w:pPr>
        <w:pStyle w:val="style0"/>
        <w:rPr/>
      </w:pPr>
      <w:r>
        <w:rPr>
          <w:lang w:val="en-US"/>
        </w:rPr>
        <w:t>Localized for Japan:</w:t>
        <w:cr/>
      </w:r>
    </w:p>
    <w:p>
      <w:pPr>
        <w:pStyle w:val="style0"/>
        <w:rPr/>
      </w:pPr>
      <w:r>
        <w:rPr>
          <w:lang w:val="en-US"/>
        </w:rPr>
        <w:t>1. 安全のため、ご使用前に取扱説明書をよくお読みください。</w:t>
        <w:cr/>
      </w:r>
    </w:p>
    <w:p>
      <w:pPr>
        <w:pStyle w:val="style0"/>
        <w:rPr/>
      </w:pPr>
      <w:r>
        <w:rPr>
          <w:lang w:val="en-US"/>
        </w:rPr>
        <w:t>2. 本体の底が濡れていないことを確認してから、コンセントに差し込んでください。</w:t>
        <w:cr/>
      </w:r>
    </w:p>
    <w:p>
      <w:pPr>
        <w:pStyle w:val="style0"/>
        <w:rPr/>
      </w:pPr>
      <w:r>
        <w:rPr>
          <w:lang w:val="en-US"/>
        </w:rPr>
        <w:t>3. 水は「満水」の線を超えないように注いでください。</w:t>
        <w:cr/>
      </w:r>
    </w:p>
    <w:p>
      <w:pPr>
        <w:pStyle w:val="style0"/>
        <w:rPr/>
      </w:pPr>
      <w:r>
        <w:rPr>
          <w:lang w:val="en-US"/>
        </w:rPr>
        <w:t>4. 電源ボタンを押すと、湯沸かしが始まります。自動で電源が切れますのでご安心ください。</w:t>
        <w:cr/>
      </w:r>
    </w:p>
    <w:p>
      <w:pPr>
        <w:pStyle w:val="style0"/>
        <w:rPr/>
      </w:pPr>
      <w:r>
        <w:rPr>
          <w:lang w:val="en-US"/>
        </w:rPr>
        <w:t>5. 使用後は必ずプラグを抜いてください。</w:t>
        <w:cr/>
      </w:r>
    </w:p>
    <w:p>
      <w:pPr>
        <w:pStyle w:val="style0"/>
        <w:rPr/>
      </w:pPr>
      <w:r>
        <w:rPr>
          <w:lang w:val="en-US"/>
        </w:rPr>
        <w:cr/>
      </w:r>
    </w:p>
    <w:p>
      <w:pPr>
        <w:pStyle w:val="style0"/>
        <w:rPr/>
      </w:pPr>
      <w:r>
        <w:rPr>
          <w:lang w:val="en-US"/>
        </w:rPr>
        <w:t>150-word note on changes:</w:t>
        <w:cr/>
      </w:r>
    </w:p>
    <w:p>
      <w:pPr>
        <w:pStyle w:val="style0"/>
        <w:rPr/>
      </w:pPr>
      <w:r>
        <w:rPr>
          <w:lang w:val="en-US"/>
        </w:rPr>
        <w:t>I adapted the instructions for Japan by adjusting tone, formality, and non-verbal elements to fit high uncertainty avoidance and high context norms. First, language: US text uses casual imperatives like “Enjoy!”. Japanese version uses _keigo_ (honorific form) and full sentences, showing respect and reducing ambiguity. Safety warnings are placed first, reflecting Japan’s low risk tolerance. Second, non-verbal: The manual would add a red “危険” symbol for electrical safety and diagrams for each step, because high-context cultures rely on visuals over text. Icons must avoid the “OK” hand gesture, which can be offensive. Third, cultural assumptions: US instructions assume users know not to overfill. Japan’s version explicitly states “do not exceed the line” to prevent error. I also removed “Enjoy!” because it assumes an outcome. This prevents miscommunication by aligning with Japan’s precision and indirect communication style learned in class.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615</Words>
  <Characters>2880</Characters>
  <Application>WPS Office</Application>
  <Paragraphs>35</Paragraphs>
  <CharactersWithSpaces>3333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2026-06-02T14:55:00Z</dcterms:created>
  <dc:creator>SM-A042F</dc:creator>
  <lastModifiedBy>SM-A042F</lastModifiedBy>
  <dcterms:modified xsi:type="dcterms:W3CDTF">2026-06-02T14:55:00Z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dea5dab9b809415b957a5d84505660ff</vt:lpwstr>
  </property>
</Properties>
</file>