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CIT601 OPERATING SYSTEM </w:t>
      </w:r>
    </w:p>
    <w:p>
      <w:pPr>
        <w:pStyle w:val="style0"/>
        <w:rPr>
          <w:b/>
          <w:bCs/>
          <w:sz w:val="32"/>
          <w:szCs w:val="32"/>
        </w:rPr>
      </w:pPr>
      <w:r>
        <w:rPr>
          <w:b/>
          <w:bCs/>
          <w:sz w:val="32"/>
          <w:szCs w:val="32"/>
          <w:lang w:val="en-US"/>
        </w:rPr>
        <w:t xml:space="preserve">NAMES:KATLEHO QHOBELA </w:t>
      </w:r>
    </w:p>
    <w:p>
      <w:pPr>
        <w:pStyle w:val="style0"/>
        <w:rPr>
          <w:b/>
          <w:bCs/>
          <w:sz w:val="32"/>
          <w:szCs w:val="32"/>
        </w:rPr>
      </w:pPr>
      <w:r>
        <w:rPr>
          <w:b/>
          <w:bCs/>
          <w:sz w:val="32"/>
          <w:szCs w:val="32"/>
          <w:lang w:val="en-US"/>
        </w:rPr>
        <w:t>STUDENT NUMBER:20250016</w:t>
      </w:r>
    </w:p>
    <w:p>
      <w:pPr>
        <w:pStyle w:val="style0"/>
        <w:rPr>
          <w:b/>
          <w:bCs/>
          <w:sz w:val="32"/>
          <w:szCs w:val="32"/>
        </w:rPr>
      </w:pPr>
      <w:r>
        <w:rPr>
          <w:b/>
          <w:bCs/>
          <w:sz w:val="32"/>
          <w:szCs w:val="32"/>
          <w:lang w:val="en-US"/>
        </w:rPr>
        <w:t xml:space="preserve">WEEK6 SELF STUDY </w:t>
      </w:r>
    </w:p>
    <w:p>
      <w:pPr>
        <w:pStyle w:val="style0"/>
        <w:rPr/>
      </w:pPr>
    </w:p>
    <w:p>
      <w:pPr>
        <w:pStyle w:val="style0"/>
        <w:rPr/>
      </w:pPr>
    </w:p>
    <w:p>
      <w:pPr>
        <w:pStyle w:val="style0"/>
        <w:rPr/>
      </w:pPr>
    </w:p>
    <w:p>
      <w:pPr>
        <w:pStyle w:val="style0"/>
        <w:rPr>
          <w:b/>
          <w:bCs/>
          <w:sz w:val="24"/>
          <w:szCs w:val="24"/>
          <w:lang w:val="en-US"/>
        </w:rPr>
      </w:pPr>
      <w:r>
        <w:rPr>
          <w:b/>
          <w:bCs/>
          <w:sz w:val="24"/>
          <w:szCs w:val="24"/>
          <w:lang w:val="en-US"/>
        </w:rPr>
        <w:t>1. Scenario Analysis – 150 words</w:t>
      </w:r>
    </w:p>
    <w:p>
      <w:pPr>
        <w:pStyle w:val="style0"/>
        <w:rPr>
          <w:b/>
          <w:bCs/>
          <w:sz w:val="24"/>
          <w:szCs w:val="24"/>
        </w:rPr>
      </w:pPr>
      <w:r>
        <w:rPr>
          <w:b/>
          <w:bCs/>
          <w:sz w:val="24"/>
          <w:szCs w:val="24"/>
          <w:lang w:val="en-US"/>
        </w:rPr>
        <w:t>IPC Scenario: Client-Server Database System</w:t>
      </w:r>
    </w:p>
    <w:p>
      <w:pPr>
        <w:pStyle w:val="style0"/>
        <w:rPr/>
      </w:pPr>
      <w:r>
        <w:rPr>
          <w:lang w:val="en-US"/>
        </w:rPr>
        <w:t xml:space="preserve">In a banking system, the client application and the database server must communicate to process a transaction. When a customer requests a balance check, the client process sends a request message via IPC to the server process. The server receives the message, queries the database, and sends back the balance as a reply message. This is done using sockets for network IPC, where data is transmitted over TCP/IP. </w:t>
      </w:r>
    </w:p>
    <w:p>
      <w:pPr>
        <w:pStyle w:val="style0"/>
        <w:rPr/>
      </w:pPr>
    </w:p>
    <w:p>
      <w:pPr>
        <w:pStyle w:val="style0"/>
        <w:rPr/>
      </w:pPr>
      <w:r>
        <w:rPr>
          <w:lang w:val="en-US"/>
        </w:rPr>
        <w:t>If both processes run on the same machine, shared memory can be used instead for faster data transfer, where both processes access a common memory segment. Without IPC, the two processes would be isolated and unable to exchange data. IPC ensures synchronization so the client waits for the server’s response before displaying results. It also maintains data integrity by preventing simultaneous writes to the same record. In short, IPC enables separate processes to cooperate and share information securely and efficiently.</w:t>
      </w:r>
    </w:p>
    <w:p>
      <w:pPr>
        <w:pStyle w:val="style0"/>
        <w:rPr/>
      </w:pPr>
    </w:p>
    <w:p>
      <w:pPr>
        <w:pStyle w:val="style0"/>
        <w:rPr>
          <w:b/>
          <w:bCs/>
          <w:sz w:val="24"/>
          <w:szCs w:val="24"/>
        </w:rPr>
      </w:pPr>
      <w:r>
        <w:rPr>
          <w:b/>
          <w:bCs/>
          <w:sz w:val="24"/>
          <w:szCs w:val="24"/>
          <w:lang w:val="en-US"/>
        </w:rPr>
        <w:t xml:space="preserve">2. Concept Research – 100 words  </w:t>
      </w:r>
    </w:p>
    <w:p>
      <w:pPr>
        <w:pStyle w:val="style0"/>
        <w:rPr>
          <w:b/>
          <w:bCs/>
          <w:sz w:val="24"/>
          <w:szCs w:val="24"/>
        </w:rPr>
      </w:pPr>
      <w:r>
        <w:rPr>
          <w:b/>
          <w:bCs/>
          <w:sz w:val="24"/>
          <w:szCs w:val="24"/>
          <w:lang w:val="en-US"/>
        </w:rPr>
        <w:t>Message Passing and Its Role</w:t>
      </w:r>
    </w:p>
    <w:p>
      <w:pPr>
        <w:pStyle w:val="style0"/>
        <w:rPr/>
      </w:pPr>
      <w:r>
        <w:rPr>
          <w:lang w:val="en-US"/>
        </w:rPr>
        <w:t>Message passing is an IPC method where processes communicate by sending and receiving messages through a communication channel. There are two types: synchronous, where the sender waits for a reply, and asynchronous, where the sender continues after sending. Its role is to allow processes to exchange data and coordinate actions without sharing memory directly. This reduces conflicts and improves security since processes don’t access each other’s memory space. Message passing is widely used in distributed systems, microservices, and operating systems. It supports modularity, scalability, and fault tolerance by making processes independent yet able to interact.</w:t>
      </w:r>
    </w:p>
    <w:p>
      <w:pPr>
        <w:pStyle w:val="style0"/>
        <w:rPr/>
      </w:pPr>
    </w:p>
    <w:p>
      <w:pPr>
        <w:pStyle w:val="style0"/>
        <w:rPr>
          <w:b/>
          <w:bCs/>
          <w:sz w:val="24"/>
          <w:szCs w:val="24"/>
        </w:rPr>
      </w:pPr>
      <w:r>
        <w:rPr>
          <w:b/>
          <w:bCs/>
          <w:sz w:val="24"/>
          <w:szCs w:val="24"/>
          <w:lang w:val="en-US"/>
        </w:rPr>
        <w:t xml:space="preserve">3. Tool Practice – 100 words </w:t>
      </w:r>
    </w:p>
    <w:p>
      <w:pPr>
        <w:pStyle w:val="style0"/>
        <w:rPr/>
      </w:pPr>
      <w:r>
        <w:rPr>
          <w:b/>
          <w:bCs/>
          <w:sz w:val="24"/>
          <w:szCs w:val="24"/>
          <w:lang w:val="en-US"/>
        </w:rPr>
        <w:t xml:space="preserve">Message Passing Flowchart </w:t>
      </w:r>
      <w:r>
        <w:rPr>
          <w:lang w:val="en-US"/>
        </w:rPr>
        <w:t xml:space="preserve">  </w:t>
      </w:r>
    </w:p>
    <w:p>
      <w:pPr>
        <w:pStyle w:val="style0"/>
        <w:rPr/>
      </w:pPr>
      <w:r>
        <w:rPr>
          <w:lang w:val="en-US"/>
        </w:rPr>
        <w:t>I created a flowchart to show message passing between two processes. I used a rectangle for “Process A” and another for “Process B”. A directed arrow labeled “Send Message” goes from Process A to a mailbox symbol, and another arrow “Receive Message” goes from the mailbox to Process B. A reply arrow goes back to Process A. I used diamonds to represent decision points like “Message received?” This visual layout shows the sequence and direction of communication clearly. The exercise helped me understand how messages are queued and delivered between processes without direct memory sharing.</w:t>
      </w:r>
    </w:p>
    <w:p>
      <w:pPr>
        <w:pStyle w:val="style0"/>
        <w:rPr/>
      </w:pPr>
    </w:p>
    <w:p>
      <w:pPr>
        <w:pStyle w:val="style0"/>
        <w:rPr>
          <w:b/>
          <w:bCs/>
          <w:sz w:val="24"/>
          <w:szCs w:val="24"/>
        </w:rPr>
      </w:pPr>
      <w:r>
        <w:rPr>
          <w:b/>
          <w:bCs/>
          <w:sz w:val="24"/>
          <w:szCs w:val="24"/>
          <w:lang w:val="en-US"/>
        </w:rPr>
        <w:t>4. Design Practice – 100 words</w:t>
      </w:r>
    </w:p>
    <w:p>
      <w:pPr>
        <w:pStyle w:val="style0"/>
        <w:rPr>
          <w:b/>
          <w:bCs/>
          <w:sz w:val="24"/>
          <w:szCs w:val="24"/>
        </w:rPr>
      </w:pPr>
      <w:r>
        <w:rPr>
          <w:b/>
          <w:bCs/>
          <w:sz w:val="24"/>
          <w:szCs w:val="24"/>
          <w:lang w:val="en-US"/>
        </w:rPr>
        <w:t>Synchronization Mechanism: Semaphore</w:t>
      </w:r>
    </w:p>
    <w:p>
      <w:pPr>
        <w:pStyle w:val="style0"/>
        <w:rPr/>
      </w:pPr>
      <w:r>
        <w:rPr>
          <w:lang w:val="en-US"/>
        </w:rPr>
        <w:t>A semaphore is a synchronization tool used to control access to shared resources. It uses a counter: when a process wants access, it performs a “wait” operation that decreases the counter. If the counter is zero, the process waits. After finishing, it performs a “signal” operation to increase the counter. For example, in a printer queue, only one process can print at a time. If the semaphore count is 1, the second process waits until the first releases it. This prevents race conditions and ensures orderly access. Semaphores are simple but effective for managing concurrency in multi-process systems.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482</Words>
  <Characters>2664</Characters>
  <Application>WPS Office</Application>
  <Paragraphs>25</Paragraphs>
  <CharactersWithSpaces>3143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2026-05-02T15:50:54Z</dcterms:created>
  <dc:creator>SM-A042F</dc:creator>
  <lastModifiedBy>SM-A042F</lastModifiedBy>
  <dcterms:modified xsi:type="dcterms:W3CDTF">2026-05-02T15:50:54Z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168d42e109a94f759dc1f23f77e3667b</vt:lpwstr>
  </property>
</Properties>
</file>