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t xml:space="preserve"/>
      </w:r>
    </w:p>
    <w:p>
      <w:pPr>
        <w:spacing w:after="200" w:before="0"/>
        <w:jc w:val="center"/>
      </w:pPr>
      <w:r>
        <w:rPr>
          <w:rFonts w:ascii="Calibri" w:cs="Calibri" w:eastAsia="Calibri" w:hAnsi="Calibri"/>
          <w:b/>
          <w:bCs/>
          <w:color w:val="2E4057"/>
          <w:spacing w:val="60"/>
          <w:sz w:val="96"/>
          <w:szCs w:val="96"/>
        </w:rPr>
        <w:t xml:space="preserve">MOATLY</w:t>
      </w:r>
    </w:p>
    <w:p>
      <w:pPr>
        <w:spacing w:after="120" w:before="0"/>
        <w:jc w:val="center"/>
      </w:pPr>
      <w:r>
        <w:rPr>
          <w:rFonts w:ascii="Calibri" w:cs="Calibri" w:eastAsia="Calibri" w:hAnsi="Calibri"/>
          <w:color w:val="1A1A1A"/>
          <w:sz w:val="44"/>
          <w:szCs w:val="44"/>
        </w:rPr>
        <w:t xml:space="preserve">Developer Build Brief</w:t>
      </w:r>
    </w:p>
    <w:p>
      <w:pPr>
        <w:spacing w:after="600" w:before="0"/>
        <w:jc w:val="center"/>
      </w:pPr>
      <w:r>
        <w:rPr>
          <w:rFonts w:ascii="Calibri" w:cs="Calibri" w:eastAsia="Calibri" w:hAnsi="Calibri"/>
          <w:i/>
          <w:iCs/>
          <w:color w:val="4A4A4A"/>
          <w:sz w:val="24"/>
          <w:szCs w:val="24"/>
        </w:rPr>
        <w:t xml:space="preserve">A complete engineering specification for the platform, the device, and the rollout.</w:t>
      </w:r>
    </w:p>
    <w:p>
      <w:pPr>
        <w:pBdr>
          <w:bottom w:val="single" w:color="2E4057" w:sz="6" w:space="1"/>
        </w:pBdr>
        <w:spacing w:after="240" w:before="0"/>
        <w:jc w:val="center"/>
      </w:pPr>
      <w:r>
        <w:t xml:space="preserve"/>
      </w:r>
    </w:p>
    <w:p>
      <w:pPr>
        <w:spacing w:after="120" w:before="0"/>
        <w:jc w:val="center"/>
      </w:pPr>
      <w:r>
        <w:rPr>
          <w:rFonts w:ascii="Calibri" w:cs="Calibri" w:eastAsia="Calibri" w:hAnsi="Calibri"/>
          <w:color w:val="1A1A1A"/>
          <w:sz w:val="22"/>
          <w:szCs w:val="22"/>
        </w:rPr>
        <w:t xml:space="preserve">Prepared for:  Full-stack engineering lead</w:t>
      </w:r>
    </w:p>
    <w:p>
      <w:pPr>
        <w:spacing w:after="120" w:before="0"/>
        <w:jc w:val="center"/>
      </w:pPr>
      <w:r>
        <w:rPr>
          <w:rFonts w:ascii="Calibri" w:cs="Calibri" w:eastAsia="Calibri" w:hAnsi="Calibri"/>
          <w:color w:val="1A1A1A"/>
          <w:sz w:val="22"/>
          <w:szCs w:val="22"/>
        </w:rPr>
        <w:t xml:space="preserve">Document version:  1.0   ·   Status:  Draft for kickoff</w:t>
      </w:r>
    </w:p>
    <w:p>
      <w:pPr>
        <w:spacing w:after="120" w:before="0"/>
        <w:jc w:val="center"/>
      </w:pPr>
      <w:r>
        <w:rPr>
          <w:rFonts w:ascii="Calibri" w:cs="Calibri" w:eastAsia="Calibri" w:hAnsi="Calibri"/>
          <w:color w:val="1A1A1A"/>
          <w:sz w:val="22"/>
          <w:szCs w:val="22"/>
        </w:rPr>
        <w:t xml:space="preserve">Date:  April 2026</w:t>
      </w:r>
    </w:p>
    <w:p>
      <w:r>
        <w:br w:type="page"/>
      </w:r>
    </w:p>
    <w:p>
      <w:pPr>
        <w:pStyle w:val="Heading1"/>
        <w:spacing w:after="180" w:before="360"/>
      </w:pPr>
      <w:r>
        <w:rPr>
          <w:rFonts w:ascii="Calibri" w:cs="Calibri" w:eastAsia="Calibri" w:hAnsi="Calibri"/>
          <w:b/>
          <w:bCs/>
          <w:color w:val="2E4057"/>
          <w:sz w:val="36"/>
          <w:szCs w:val="36"/>
        </w:rPr>
        <w:t xml:space="preserve">0.  How to read this document</w:t>
      </w:r>
    </w:p>
    <w:p>
      <w:pPr>
        <w:spacing w:after="120" w:before="60" w:line="300"/>
      </w:pPr>
      <w:r>
        <w:rPr>
          <w:rFonts w:ascii="Calibri" w:cs="Calibri" w:eastAsia="Calibri" w:hAnsi="Calibri"/>
          <w:b w:val="false"/>
          <w:bCs w:val="false"/>
          <w:i w:val="false"/>
          <w:iCs w:val="false"/>
          <w:color w:val="1A1A1A"/>
          <w:sz w:val="22"/>
          <w:szCs w:val="22"/>
        </w:rPr>
        <w:t xml:space="preserve">This brief describes a product called Moatly. Moatly is not a typical social app. It is a privacy-first practice platform whose non-negotiable commitments (end-to-end encryption, seven-day true deletion, no profiles, no analytics, open-source codebase) override the defaults a full-stack team would reach for if they were building a conventional SaaS.</w:t>
      </w:r>
    </w:p>
    <w:p>
      <w:pPr>
        <w:spacing w:after="120" w:before="60" w:line="300"/>
      </w:pPr>
      <w:r>
        <w:rPr>
          <w:rFonts w:ascii="Calibri" w:cs="Calibri" w:eastAsia="Calibri" w:hAnsi="Calibri"/>
          <w:b w:val="false"/>
          <w:bCs w:val="false"/>
          <w:i w:val="false"/>
          <w:iCs w:val="false"/>
          <w:color w:val="1A1A1A"/>
          <w:sz w:val="22"/>
          <w:szCs w:val="22"/>
        </w:rPr>
        <w:t xml:space="preserve">Read sections 1 and 2 before you look at anything else. They contain constraints that will feel unusual. Those constraints are load-bearing — removing them to ‘simplify delivery’ destroys the product. The rest of the brief assumes you have internalised them.</w:t>
      </w:r>
    </w:p>
    <w:p>
      <w:pPr>
        <w:pStyle w:val="Heading2"/>
        <w:spacing w:after="140" w:before="280"/>
      </w:pPr>
      <w:r>
        <w:rPr>
          <w:rFonts w:ascii="Calibri" w:cs="Calibri" w:eastAsia="Calibri" w:hAnsi="Calibri"/>
          <w:b/>
          <w:bCs/>
          <w:color w:val="2E4057"/>
          <w:sz w:val="28"/>
          <w:szCs w:val="28"/>
        </w:rPr>
        <w:t xml:space="preserve">Document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1760"/>
      </w:tblGrid>
      <w:tr>
        <w:trPr>
          <w:tblHeader/>
        </w:trPr>
        <w:tc>
          <w:tcPr>
            <w:tcW w:type="dxa" w:w="22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Section</w:t>
            </w:r>
          </w:p>
        </w:tc>
        <w:tc>
          <w:tcPr>
            <w:tcW w:type="dxa" w:w="54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What it contains</w:t>
            </w:r>
          </w:p>
        </w:tc>
        <w:tc>
          <w:tcPr>
            <w:tcW w:type="dxa" w:w="176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Who needs it most</w:t>
            </w:r>
          </w:p>
        </w:tc>
      </w:tr>
      <w:tr>
        <w:tc>
          <w:tcPr>
            <w:tcW w:type="dxa" w:w="2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 Executive summary</w:t>
            </w:r>
          </w:p>
        </w:tc>
        <w:tc>
          <w:tcPr>
            <w:tcW w:type="dxa" w:w="5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One-page overview of product, stack, and rollout phases.</w:t>
            </w:r>
          </w:p>
        </w:tc>
        <w:tc>
          <w:tcPr>
            <w:tcW w:type="dxa" w:w="17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Lead, PM, investors</w:t>
            </w:r>
          </w:p>
        </w:tc>
      </w:tr>
      <w:tr>
        <w:tc>
          <w:tcPr>
            <w:tcW w:type="dxa" w:w="22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2. Non-negotiable principles</w:t>
            </w:r>
          </w:p>
        </w:tc>
        <w:tc>
          <w:tcPr>
            <w:tcW w:type="dxa" w:w="5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seven commitments that override ordinary engineering defaults.</w:t>
            </w:r>
          </w:p>
        </w:tc>
        <w:tc>
          <w:tcPr>
            <w:tcW w:type="dxa" w:w="17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Everyone</w:t>
            </w:r>
          </w:p>
        </w:tc>
      </w:tr>
      <w:tr>
        <w:tc>
          <w:tcPr>
            <w:tcW w:type="dxa" w:w="2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3. System architecture</w:t>
            </w:r>
          </w:p>
        </w:tc>
        <w:tc>
          <w:tcPr>
            <w:tcW w:type="dxa" w:w="5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Three-component model, deployment topology, trust boundaries.</w:t>
            </w:r>
          </w:p>
        </w:tc>
        <w:tc>
          <w:tcPr>
            <w:tcW w:type="dxa" w:w="17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Lead, architect</w:t>
            </w:r>
          </w:p>
        </w:tc>
      </w:tr>
      <w:tr>
        <w:tc>
          <w:tcPr>
            <w:tcW w:type="dxa" w:w="22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4. Technology stack</w:t>
            </w:r>
          </w:p>
        </w:tc>
        <w:tc>
          <w:tcPr>
            <w:tcW w:type="dxa" w:w="5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Recommended languages, frameworks, libraries, with rationale.</w:t>
            </w:r>
          </w:p>
        </w:tc>
        <w:tc>
          <w:tcPr>
            <w:tcW w:type="dxa" w:w="17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All engineers</w:t>
            </w:r>
          </w:p>
        </w:tc>
      </w:tr>
      <w:tr>
        <w:tc>
          <w:tcPr>
            <w:tcW w:type="dxa" w:w="2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5. Component specifications</w:t>
            </w:r>
          </w:p>
        </w:tc>
        <w:tc>
          <w:tcPr>
            <w:tcW w:type="dxa" w:w="5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Detailed specs for the app, backend, device, email service, rings, moat service.</w:t>
            </w:r>
          </w:p>
        </w:tc>
        <w:tc>
          <w:tcPr>
            <w:tcW w:type="dxa" w:w="17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Component owners</w:t>
            </w:r>
          </w:p>
        </w:tc>
      </w:tr>
      <w:tr>
        <w:tc>
          <w:tcPr>
            <w:tcW w:type="dxa" w:w="22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6. Security &amp; cryptography</w:t>
            </w:r>
          </w:p>
        </w:tc>
        <w:tc>
          <w:tcPr>
            <w:tcW w:type="dxa" w:w="5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Threat model, E2E scheme, device auth, key management.</w:t>
            </w:r>
          </w:p>
        </w:tc>
        <w:tc>
          <w:tcPr>
            <w:tcW w:type="dxa" w:w="17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Security engineer</w:t>
            </w:r>
          </w:p>
        </w:tc>
      </w:tr>
      <w:tr>
        <w:tc>
          <w:tcPr>
            <w:tcW w:type="dxa" w:w="2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7. Data model &amp; retention</w:t>
            </w:r>
          </w:p>
        </w:tc>
        <w:tc>
          <w:tcPr>
            <w:tcW w:type="dxa" w:w="5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What is stored, where, for how long, and how it is verifiably destroyed.</w:t>
            </w:r>
          </w:p>
        </w:tc>
        <w:tc>
          <w:tcPr>
            <w:tcW w:type="dxa" w:w="17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Backend, DPO</w:t>
            </w:r>
          </w:p>
        </w:tc>
      </w:tr>
      <w:tr>
        <w:tc>
          <w:tcPr>
            <w:tcW w:type="dxa" w:w="22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8. API surface</w:t>
            </w:r>
          </w:p>
        </w:tc>
        <w:tc>
          <w:tcPr>
            <w:tcW w:type="dxa" w:w="5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REST and WebSocket endpoints with payload shapes.</w:t>
            </w:r>
          </w:p>
        </w:tc>
        <w:tc>
          <w:tcPr>
            <w:tcW w:type="dxa" w:w="17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Backend, mobile</w:t>
            </w:r>
          </w:p>
        </w:tc>
      </w:tr>
      <w:tr>
        <w:tc>
          <w:tcPr>
            <w:tcW w:type="dxa" w:w="2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9. The seven-day deletion system</w:t>
            </w:r>
          </w:p>
        </w:tc>
        <w:tc>
          <w:tcPr>
            <w:tcW w:type="dxa" w:w="5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most technically sensitive subsystem. Treated separately.</w:t>
            </w:r>
          </w:p>
        </w:tc>
        <w:tc>
          <w:tcPr>
            <w:tcW w:type="dxa" w:w="17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Backend, SRE</w:t>
            </w:r>
          </w:p>
        </w:tc>
      </w:tr>
      <w:tr>
        <w:tc>
          <w:tcPr>
            <w:tcW w:type="dxa" w:w="22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10. Rollout plan</w:t>
            </w:r>
          </w:p>
        </w:tc>
        <w:tc>
          <w:tcPr>
            <w:tcW w:type="dxa" w:w="5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Five phases from foundations to public beta, with milestones and gates.</w:t>
            </w:r>
          </w:p>
        </w:tc>
        <w:tc>
          <w:tcPr>
            <w:tcW w:type="dxa" w:w="17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Lead, PM</w:t>
            </w:r>
          </w:p>
        </w:tc>
      </w:tr>
      <w:tr>
        <w:tc>
          <w:tcPr>
            <w:tcW w:type="dxa" w:w="2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11. Team &amp; timeline</w:t>
            </w:r>
          </w:p>
        </w:tc>
        <w:tc>
          <w:tcPr>
            <w:tcW w:type="dxa" w:w="5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Recommended team shape and 9–12 month schedule.</w:t>
            </w:r>
          </w:p>
        </w:tc>
        <w:tc>
          <w:tcPr>
            <w:tcW w:type="dxa" w:w="17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Lead, hiring</w:t>
            </w:r>
          </w:p>
        </w:tc>
      </w:tr>
      <w:tr>
        <w:tc>
          <w:tcPr>
            <w:tcW w:type="dxa" w:w="22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12. Compliance, legal, open source</w:t>
            </w:r>
          </w:p>
        </w:tc>
        <w:tc>
          <w:tcPr>
            <w:tcW w:type="dxa" w:w="5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GDPR, the covenant, licensing, audit posture.</w:t>
            </w:r>
          </w:p>
        </w:tc>
        <w:tc>
          <w:tcPr>
            <w:tcW w:type="dxa" w:w="17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Legal, lead</w:t>
            </w:r>
          </w:p>
        </w:tc>
      </w:tr>
      <w:tr>
        <w:tc>
          <w:tcPr>
            <w:tcW w:type="dxa" w:w="2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13. Acceptance criteria</w:t>
            </w:r>
          </w:p>
        </w:tc>
        <w:tc>
          <w:tcPr>
            <w:tcW w:type="dxa" w:w="5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Per-component definition of done.</w:t>
            </w:r>
          </w:p>
        </w:tc>
        <w:tc>
          <w:tcPr>
            <w:tcW w:type="dxa" w:w="17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QA, lead</w:t>
            </w:r>
          </w:p>
        </w:tc>
      </w:tr>
      <w:tr>
        <w:tc>
          <w:tcPr>
            <w:tcW w:type="dxa" w:w="22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14. Risks &amp; open questions</w:t>
            </w:r>
          </w:p>
        </w:tc>
        <w:tc>
          <w:tcPr>
            <w:tcW w:type="dxa" w:w="5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What is not yet decided and who needs to decide it.</w:t>
            </w:r>
          </w:p>
        </w:tc>
        <w:tc>
          <w:tcPr>
            <w:tcW w:type="dxa" w:w="17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Lead, founder</w:t>
            </w:r>
          </w:p>
        </w:tc>
      </w:tr>
      <w:tr>
        <w:tc>
          <w:tcPr>
            <w:tcW w:type="dxa" w:w="2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15. Appendices</w:t>
            </w:r>
          </w:p>
        </w:tc>
        <w:tc>
          <w:tcPr>
            <w:tcW w:type="dxa" w:w="5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Glossary, sample payloads, ADRs.</w:t>
            </w:r>
          </w:p>
        </w:tc>
        <w:tc>
          <w:tcPr>
            <w:tcW w:type="dxa" w:w="17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All engineers</w:t>
            </w:r>
          </w:p>
        </w:tc>
      </w:tr>
    </w:tbl>
    <w:p>
      <w:r>
        <w:br w:type="page"/>
      </w:r>
    </w:p>
    <w:p>
      <w:pPr>
        <w:pStyle w:val="Heading1"/>
        <w:spacing w:after="180" w:before="360"/>
      </w:pPr>
      <w:r>
        <w:rPr>
          <w:rFonts w:ascii="Calibri" w:cs="Calibri" w:eastAsia="Calibri" w:hAnsi="Calibri"/>
          <w:b/>
          <w:bCs/>
          <w:color w:val="2E4057"/>
          <w:sz w:val="36"/>
          <w:szCs w:val="36"/>
        </w:rPr>
        <w:t xml:space="preserve">1.  Executive summary</w:t>
      </w:r>
    </w:p>
    <w:p>
      <w:pPr>
        <w:pStyle w:val="Heading2"/>
        <w:spacing w:after="140" w:before="280"/>
      </w:pPr>
      <w:r>
        <w:rPr>
          <w:rFonts w:ascii="Calibri" w:cs="Calibri" w:eastAsia="Calibri" w:hAnsi="Calibri"/>
          <w:b/>
          <w:bCs/>
          <w:color w:val="2E4057"/>
          <w:sz w:val="28"/>
          <w:szCs w:val="28"/>
        </w:rPr>
        <w:t xml:space="preserve">1.1  What Moatly is</w:t>
      </w:r>
    </w:p>
    <w:p>
      <w:pPr>
        <w:spacing w:after="120" w:before="60" w:line="300"/>
      </w:pPr>
      <w:r>
        <w:rPr>
          <w:rFonts w:ascii="Calibri" w:cs="Calibri" w:eastAsia="Calibri" w:hAnsi="Calibri"/>
          <w:b w:val="false"/>
          <w:bCs w:val="false"/>
          <w:i w:val="false"/>
          <w:iCs w:val="false"/>
          <w:color w:val="1A1A1A"/>
          <w:sz w:val="22"/>
          <w:szCs w:val="22"/>
        </w:rPr>
        <w:t xml:space="preserve">Moatly is a privacy-first practice platform that helps a person become more fully themselves through a structured, anonymous, text-only witnessing practice. The user experiences it as two sibling applications that share a theme and an email channel but are otherwise independent:</w:t>
      </w:r>
    </w:p>
    <w:p>
      <w:pPr>
        <w:pStyle w:val="ListParagraph"/>
        <w:numPr>
          <w:ilvl w:val="0"/>
          <w:numId w:val="2"/>
        </w:numPr>
        <w:spacing w:after="60" w:before="30" w:line="280"/>
      </w:pPr>
      <w:r>
        <w:rPr>
          <w:rFonts w:ascii="Calibri" w:cs="Calibri" w:eastAsia="Calibri" w:hAnsi="Calibri"/>
          <w:b/>
          <w:bCs/>
          <w:i w:val="false"/>
          <w:iCs w:val="false"/>
          <w:color w:val="1A1A1A"/>
          <w:sz w:val="22"/>
          <w:szCs w:val="22"/>
        </w:rPr>
        <w:t xml:space="preserve">The Moatly app (this build) — </w:t>
      </w:r>
      <w:r>
        <w:rPr>
          <w:rFonts w:ascii="Calibri" w:cs="Calibri" w:eastAsia="Calibri" w:hAnsi="Calibri"/>
          <w:b w:val="false"/>
          <w:bCs w:val="false"/>
          <w:i w:val="false"/>
          <w:iCs w:val="false"/>
          <w:color w:val="1A1A1A"/>
          <w:sz w:val="22"/>
          <w:szCs w:val="22"/>
        </w:rPr>
        <w:t xml:space="preserve">the anonymous encrypted group witnessing space. Small (8–12 person) Moats, seven-day cycles, cryptographic destruction, device-bound authentication. This document describes it end to end.</w:t>
      </w:r>
    </w:p>
    <w:p>
      <w:pPr>
        <w:pStyle w:val="ListParagraph"/>
        <w:numPr>
          <w:ilvl w:val="0"/>
          <w:numId w:val="2"/>
        </w:numPr>
        <w:spacing w:after="60" w:before="30" w:line="280"/>
      </w:pPr>
      <w:r>
        <w:rPr>
          <w:rFonts w:ascii="Calibri" w:cs="Calibri" w:eastAsia="Calibri" w:hAnsi="Calibri"/>
          <w:b/>
          <w:bCs/>
          <w:i w:val="false"/>
          <w:iCs w:val="false"/>
          <w:color w:val="1A1A1A"/>
          <w:sz w:val="22"/>
          <w:szCs w:val="22"/>
        </w:rPr>
        <w:t xml:space="preserve">The Moatly ritual app (Unity, already complete — out of scope here) — </w:t>
      </w:r>
      <w:r>
        <w:rPr>
          <w:rFonts w:ascii="Calibri" w:cs="Calibri" w:eastAsia="Calibri" w:hAnsi="Calibri"/>
          <w:b w:val="false"/>
          <w:bCs w:val="false"/>
          <w:i w:val="false"/>
          <w:iCs w:val="false"/>
          <w:color w:val="1A1A1A"/>
          <w:sz w:val="22"/>
          <w:szCs w:val="22"/>
        </w:rPr>
        <w:t xml:space="preserve">the archetypal ceremony that generates the prescription (action, reflection, mantra) delivered to the user by email. Already built and shipping. Linked to this build only through a shared account identity, a shared design language, and an email relay. See section 5.3.</w:t>
      </w:r>
    </w:p>
    <w:p>
      <w:pPr>
        <w:pStyle w:val="ListParagraph"/>
        <w:numPr>
          <w:ilvl w:val="0"/>
          <w:numId w:val="2"/>
        </w:numPr>
        <w:spacing w:after="60" w:before="30" w:line="280"/>
      </w:pPr>
      <w:r>
        <w:rPr>
          <w:rFonts w:ascii="Calibri" w:cs="Calibri" w:eastAsia="Calibri" w:hAnsi="Calibri"/>
          <w:b/>
          <w:bCs/>
          <w:i w:val="false"/>
          <w:iCs w:val="false"/>
          <w:color w:val="1A1A1A"/>
          <w:sz w:val="22"/>
          <w:szCs w:val="22"/>
        </w:rPr>
        <w:t xml:space="preserve">The Journal — </w:t>
      </w:r>
      <w:r>
        <w:rPr>
          <w:rFonts w:ascii="Calibri" w:cs="Calibri" w:eastAsia="Calibri" w:hAnsi="Calibri"/>
          <w:b w:val="false"/>
          <w:bCs w:val="false"/>
          <w:i w:val="false"/>
          <w:iCs w:val="false"/>
          <w:color w:val="1A1A1A"/>
          <w:sz w:val="22"/>
          <w:szCs w:val="22"/>
        </w:rPr>
        <w:t xml:space="preserve">a physical paper notebook that holds the seed phrase binding the device to the account. Deliberately offline. Not built by us.</w:t>
      </w:r>
    </w:p>
    <w:p>
      <w:pPr>
        <w:spacing w:after="120" w:before="60" w:line="300"/>
      </w:pPr>
      <w:r>
        <w:rPr>
          <w:rFonts w:ascii="Calibri" w:cs="Calibri" w:eastAsia="Calibri" w:hAnsi="Calibri"/>
          <w:b w:val="false"/>
          <w:bCs w:val="false"/>
          <w:i w:val="false"/>
          <w:iCs w:val="false"/>
          <w:color w:val="1A1A1A"/>
          <w:sz w:val="22"/>
          <w:szCs w:val="22"/>
        </w:rPr>
        <w:t xml:space="preserve">A physical hardware device (the Device) is the authentication key and the notification surface. It glows when someone in the user’s Moat posts a major statement. Ownership of the device and knowledge of its combination sequence are required to enter the Moat; there is no username-and-password fallback. Device tiers (section 5.5) ensure the device does not become a wealth gate.</w:t>
      </w:r>
    </w:p>
    <w:p>
      <w:pPr>
        <w:spacing w:after="120" w:before="60" w:line="300"/>
      </w:pPr>
      <w:r>
        <w:rPr>
          <w:rFonts w:ascii="Calibri" w:cs="Calibri" w:eastAsia="Calibri" w:hAnsi="Calibri"/>
          <w:b w:val="false"/>
          <w:bCs w:val="false"/>
          <w:i w:val="false"/>
          <w:iCs w:val="false"/>
          <w:color w:val="1A1A1A"/>
          <w:sz w:val="22"/>
          <w:szCs w:val="22"/>
        </w:rPr>
        <w:t xml:space="preserve">A persistent safety surface — the Lamp (section 5.9) — is present in every session, giving any user one-tap access to trained crisis resources. A complaint and reassignment flow (section 5.10) removes bad actors without reading any Moat content.</w:t>
      </w:r>
    </w:p>
    <w:p>
      <w:pPr>
        <w:pStyle w:val="Heading2"/>
        <w:spacing w:after="140" w:before="280"/>
      </w:pPr>
      <w:r>
        <w:rPr>
          <w:rFonts w:ascii="Calibri" w:cs="Calibri" w:eastAsia="Calibri" w:hAnsi="Calibri"/>
          <w:b/>
          <w:bCs/>
          <w:color w:val="2E4057"/>
          <w:sz w:val="28"/>
          <w:szCs w:val="28"/>
        </w:rPr>
        <w:t xml:space="preserve">1.2  What we are building, in one paragraph</w:t>
      </w:r>
    </w:p>
    <w:p>
      <w:pPr>
        <w:spacing w:after="120" w:before="60" w:line="300"/>
      </w:pPr>
      <w:r>
        <w:rPr>
          <w:rFonts w:ascii="Calibri" w:cs="Calibri" w:eastAsia="Calibri" w:hAnsi="Calibri"/>
          <w:b w:val="false"/>
          <w:bCs w:val="false"/>
          <w:i w:val="false"/>
          <w:iCs w:val="false"/>
          <w:color w:val="1A1A1A"/>
          <w:sz w:val="22"/>
          <w:szCs w:val="22"/>
        </w:rPr>
        <w:t xml:space="preserve">A React Native (or Flutter) mobile app containing the Moat client. A small stateless Go API that holds only opaque ciphertext blobs and minimal metadata. A group messaging service built on the Olm/Megolm protocol family (via vodozemac) with a deterministic seven-day destruction pipeline that erases from every store and every backup. A narrow email relay that forwards prescriptions authored by the separate Unity ritual app. A firmware layer on an nRF52840-class Bluetooth device, in two tiers (premium and simple) so that cost is not a barrier. A persistent in-app safety surface and a complaint-and-reassignment flow. An open-source repository that lets anyone verify the claims we make. Nothing else.</w:t>
      </w:r>
    </w:p>
    <w:p>
      <w:pPr>
        <w:pStyle w:val="Heading2"/>
        <w:spacing w:after="140" w:before="280"/>
      </w:pPr>
      <w:r>
        <w:rPr>
          <w:rFonts w:ascii="Calibri" w:cs="Calibri" w:eastAsia="Calibri" w:hAnsi="Calibri"/>
          <w:b/>
          <w:bCs/>
          <w:color w:val="2E4057"/>
          <w:sz w:val="28"/>
          <w:szCs w:val="28"/>
        </w:rPr>
        <w:t xml:space="preserve">1.3  Rollout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1500"/>
        <w:gridCol w:w="1860"/>
      </w:tblGrid>
      <w:tr>
        <w:trPr>
          <w:tblHeader/>
        </w:trPr>
        <w:tc>
          <w:tcPr>
            <w:tcW w:type="dxa" w:w="16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Phase</w:t>
            </w:r>
          </w:p>
        </w:tc>
        <w:tc>
          <w:tcPr>
            <w:tcW w:type="dxa" w:w="44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Scope</w:t>
            </w:r>
          </w:p>
        </w:tc>
        <w:tc>
          <w:tcPr>
            <w:tcW w:type="dxa" w:w="15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Duration (est.)</w:t>
            </w:r>
          </w:p>
        </w:tc>
        <w:tc>
          <w:tcPr>
            <w:tcW w:type="dxa" w:w="186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Exit gate</w:t>
            </w:r>
          </w:p>
        </w:tc>
      </w:tr>
      <w:tr>
        <w:tc>
          <w:tcPr>
            <w:tcW w:type="dxa" w:w="1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0 — Foundations</w:t>
            </w:r>
          </w:p>
        </w:tc>
        <w:tc>
          <w:tcPr>
            <w:tcW w:type="dxa" w:w="4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Threat model, crypto design review, open-source repo, CI, infra-as-code, legal covenant signed off.</w:t>
            </w:r>
          </w:p>
        </w:tc>
        <w:tc>
          <w:tcPr>
            <w:tcW w:type="dxa" w:w="15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4–6 weeks</w:t>
            </w:r>
          </w:p>
        </w:tc>
        <w:tc>
          <w:tcPr>
            <w:tcW w:type="dxa" w:w="18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Architecture Decision Records (ADRs) approved; crypto design reviewed by external cryptographer.</w:t>
            </w:r>
          </w:p>
        </w:tc>
      </w:tr>
      <w:tr>
        <w:tc>
          <w:tcPr>
            <w:tcW w:type="dxa" w:w="16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 — MVP (app-only)</w:t>
            </w:r>
          </w:p>
        </w:tc>
        <w:tc>
          <w:tcPr>
            <w:tcW w:type="dxa" w:w="4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Onboarding, covenant, two questions, journal/seed flow, safety lamp, account linkage with Unity ritual app, email relay, rings (local only). No Moats yet.</w:t>
            </w:r>
          </w:p>
        </w:tc>
        <w:tc>
          <w:tcPr>
            <w:tcW w:type="dxa" w:w="15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10–12 weeks</w:t>
            </w:r>
          </w:p>
        </w:tc>
        <w:tc>
          <w:tcPr>
            <w:tcW w:type="dxa" w:w="18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10 internal dogfooders complete 2 full cycles.</w:t>
            </w:r>
          </w:p>
        </w:tc>
      </w:tr>
      <w:tr>
        <w:tc>
          <w:tcPr>
            <w:tcW w:type="dxa" w:w="1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2 — Alpha (Moats, no device)</w:t>
            </w:r>
          </w:p>
        </w:tc>
        <w:tc>
          <w:tcPr>
            <w:tcW w:type="dxa" w:w="4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Moat service with Megolm group messaging, 7-day deletion pipeline, major statement framework, complaint flow. Soft-auth via phone + passphrase while device is in development.</w:t>
            </w:r>
          </w:p>
        </w:tc>
        <w:tc>
          <w:tcPr>
            <w:tcW w:type="dxa" w:w="15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8–10 weeks</w:t>
            </w:r>
          </w:p>
        </w:tc>
        <w:tc>
          <w:tcPr>
            <w:tcW w:type="dxa" w:w="18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50-person closed alpha completes 4 cycles with zero data-retention incidents.</w:t>
            </w:r>
          </w:p>
        </w:tc>
      </w:tr>
      <w:tr>
        <w:tc>
          <w:tcPr>
            <w:tcW w:type="dxa" w:w="16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3 — Device integration</w:t>
            </w:r>
          </w:p>
        </w:tc>
        <w:tc>
          <w:tcPr>
            <w:tcW w:type="dxa" w:w="4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Firmware, Bluetooth pairing, combination sequence, composite identity code, glow notifications. Soft-auth decommissioned.</w:t>
            </w:r>
          </w:p>
        </w:tc>
        <w:tc>
          <w:tcPr>
            <w:tcW w:type="dxa" w:w="15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10–12 weeks</w:t>
            </w:r>
          </w:p>
        </w:tc>
        <w:tc>
          <w:tcPr>
            <w:tcW w:type="dxa" w:w="18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100-person cohort authenticates via device only; glow-to-read latency &lt; 5s.</w:t>
            </w:r>
          </w:p>
        </w:tc>
      </w:tr>
      <w:tr>
        <w:tc>
          <w:tcPr>
            <w:tcW w:type="dxa" w:w="1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4 — Public beta &amp; open source</w:t>
            </w:r>
          </w:p>
        </w:tc>
        <w:tc>
          <w:tcPr>
            <w:tcW w:type="dxa" w:w="4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Harden, publish codebase, independent security audit, TestFlight / Play open beta.</w:t>
            </w:r>
          </w:p>
        </w:tc>
        <w:tc>
          <w:tcPr>
            <w:tcW w:type="dxa" w:w="15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6–8 weeks</w:t>
            </w:r>
          </w:p>
        </w:tc>
        <w:tc>
          <w:tcPr>
            <w:tcW w:type="dxa" w:w="18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Audit passes with no high or critical findings; public repo live.</w:t>
            </w:r>
          </w:p>
        </w:tc>
      </w:tr>
    </w:tbl>
    <w:p>
      <w:pPr>
        <w:spacing w:after="120" w:before="60" w:line="300"/>
      </w:pPr>
      <w:r>
        <w:rPr>
          <w:rFonts w:ascii="Calibri" w:cs="Calibri" w:eastAsia="Calibri" w:hAnsi="Calibri"/>
          <w:b w:val="false"/>
          <w:bCs w:val="false"/>
          <w:i w:val="false"/>
          <w:iCs w:val="false"/>
          <w:color w:val="1A1A1A"/>
          <w:sz w:val="22"/>
          <w:szCs w:val="22"/>
        </w:rPr>
        <w:t xml:space="preserve">Total time to public beta: approximately 10 months with a team of eight (see section 11). The device hardware schedule is the critical path; firmware work must begin no later than the end of Phase 1 to avoid stalling Phase 3.</w:t>
      </w:r>
    </w:p>
    <w:p>
      <w:r>
        <w:br w:type="page"/>
      </w:r>
    </w:p>
    <w:p>
      <w:pPr>
        <w:pStyle w:val="Heading1"/>
        <w:spacing w:after="180" w:before="360"/>
      </w:pPr>
      <w:r>
        <w:rPr>
          <w:rFonts w:ascii="Calibri" w:cs="Calibri" w:eastAsia="Calibri" w:hAnsi="Calibri"/>
          <w:b/>
          <w:bCs/>
          <w:color w:val="2E4057"/>
          <w:sz w:val="36"/>
          <w:szCs w:val="36"/>
        </w:rPr>
        <w:t xml:space="preserve">2.  Non-negotiable principles</w:t>
      </w:r>
    </w:p>
    <w:p>
      <w:pPr>
        <w:spacing w:after="120" w:before="60" w:line="300"/>
      </w:pPr>
      <w:r>
        <w:rPr>
          <w:rFonts w:ascii="Calibri" w:cs="Calibri" w:eastAsia="Calibri" w:hAnsi="Calibri"/>
          <w:b w:val="false"/>
          <w:bCs w:val="false"/>
          <w:i w:val="false"/>
          <w:iCs w:val="false"/>
          <w:color w:val="1A1A1A"/>
          <w:sz w:val="22"/>
          <w:szCs w:val="22"/>
        </w:rPr>
        <w:t xml:space="preserve">These seven commitments are the product. They are derived from the founding Declaration of Inner Rights and they override normal engineering defaults. If you find yourself proposing a change that violates one of them to ‘ship faster’ or ‘improve engagement’, you are no longer building Moatly.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2"/>
              <w:left w:val="single" w:color="2E4057" w:sz="12"/>
              <w:bottom w:val="single" w:color="2E4057" w:sz="4"/>
              <w:right w:val="single" w:color="2E4057" w:sz="4"/>
            </w:tcBorders>
            <w:shd w:fill="F4E9DC" w:color="auto" w:val="clear"/>
            <w:tcMar>
              <w:top w:type="dxa" w:w="180"/>
              <w:left w:type="dxa" w:w="240"/>
              <w:bottom w:type="dxa" w:w="180"/>
              <w:right w:type="dxa" w:w="240"/>
            </w:tcMar>
          </w:tcPr>
          <w:p>
            <w:pPr>
              <w:spacing w:after="80" w:before="0"/>
            </w:pPr>
            <w:r>
              <w:rPr>
                <w:rFonts w:ascii="Calibri" w:cs="Calibri" w:eastAsia="Calibri" w:hAnsi="Calibri"/>
                <w:b/>
                <w:bCs/>
                <w:color w:val="2E4057"/>
                <w:sz w:val="22"/>
                <w:szCs w:val="22"/>
              </w:rPr>
              <w:t xml:space="preserve">Principle 1 — End-to-end encryption is the floor, not the ceiling</w:t>
            </w:r>
          </w:p>
          <w:p>
            <w:pPr>
              <w:spacing w:after="60" w:before="0" w:line="280"/>
            </w:pPr>
            <w:r>
              <w:rPr>
                <w:rFonts w:ascii="Calibri" w:cs="Calibri" w:eastAsia="Calibri" w:hAnsi="Calibri"/>
                <w:color w:val="1A1A1A"/>
                <w:sz w:val="22"/>
                <w:szCs w:val="22"/>
              </w:rPr>
              <w:t xml:space="preserve">Every message in a Moat must be encrypted on the sender’s device before it leaves. The server holds ciphertext only. There is no server-side key, no ‘break glass’ admin access, no plaintext logging anywhere in the pipeline — including during debugging.</w:t>
            </w:r>
          </w:p>
          <w:p>
            <w:pPr>
              <w:spacing w:after="60" w:before="0" w:line="280"/>
            </w:pPr>
            <w:r>
              <w:rPr>
                <w:rFonts w:ascii="Calibri" w:cs="Calibri" w:eastAsia="Calibri" w:hAnsi="Calibri"/>
                <w:color w:val="1A1A1A"/>
                <w:sz w:val="22"/>
                <w:szCs w:val="22"/>
              </w:rPr>
              <w:t xml:space="preserve">Implementation: vodozemac, a modern Rust implementation of the Olm and Megolm protocols that has been battle-tested in Element and the wider Matrix ecosystem since 2016 and independently audited in 2022. It is Apache 2.0 licensed, aligning with ADR-007. Rolling our own crypto is forbidden.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2"/>
              <w:left w:val="single" w:color="2E4057" w:sz="12"/>
              <w:bottom w:val="single" w:color="2E4057" w:sz="4"/>
              <w:right w:val="single" w:color="2E4057" w:sz="4"/>
            </w:tcBorders>
            <w:shd w:fill="F4E9DC" w:color="auto" w:val="clear"/>
            <w:tcMar>
              <w:top w:type="dxa" w:w="180"/>
              <w:left w:type="dxa" w:w="240"/>
              <w:bottom w:type="dxa" w:w="180"/>
              <w:right w:type="dxa" w:w="240"/>
            </w:tcMar>
          </w:tcPr>
          <w:p>
            <w:pPr>
              <w:spacing w:after="80" w:before="0"/>
            </w:pPr>
            <w:r>
              <w:rPr>
                <w:rFonts w:ascii="Calibri" w:cs="Calibri" w:eastAsia="Calibri" w:hAnsi="Calibri"/>
                <w:b/>
                <w:bCs/>
                <w:color w:val="2E4057"/>
                <w:sz w:val="22"/>
                <w:szCs w:val="22"/>
              </w:rPr>
              <w:t xml:space="preserve">Principle 2 — Seven-day deletion is cryptographic, not administrative</w:t>
            </w:r>
          </w:p>
          <w:p>
            <w:pPr>
              <w:spacing w:after="60" w:before="0" w:line="280"/>
            </w:pPr>
            <w:r>
              <w:rPr>
                <w:rFonts w:ascii="Calibri" w:cs="Calibri" w:eastAsia="Calibri" w:hAnsi="Calibri"/>
                <w:color w:val="1A1A1A"/>
                <w:sz w:val="22"/>
                <w:szCs w:val="22"/>
              </w:rPr>
              <w:t xml:space="preserve">Content must be provably unreadable seven days after it is written. We achieve this by (a) deleting the ciphertext row, and (b) forcing a full Megolm session rotation at each cycle boundary so that any rogue backup encrypted under the prior key becomes undecryptable. Deletion runs hourly. Backups use encrypted snapshots whose keys themselves expire after eight days.</w:t>
            </w:r>
          </w:p>
          <w:p>
            <w:pPr>
              <w:spacing w:after="60" w:before="0" w:line="280"/>
            </w:pPr>
            <w:r>
              <w:rPr>
                <w:rFonts w:ascii="Calibri" w:cs="Calibri" w:eastAsia="Calibri" w:hAnsi="Calibri"/>
                <w:color w:val="1A1A1A"/>
                <w:sz w:val="22"/>
                <w:szCs w:val="22"/>
              </w:rPr>
              <w:t xml:space="preserve">This is described in full in section 9. Treat it as the hardest subsystem to get right.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2"/>
              <w:left w:val="single" w:color="2E4057" w:sz="12"/>
              <w:bottom w:val="single" w:color="2E4057" w:sz="4"/>
              <w:right w:val="single" w:color="2E4057" w:sz="4"/>
            </w:tcBorders>
            <w:shd w:fill="F4E9DC" w:color="auto" w:val="clear"/>
            <w:tcMar>
              <w:top w:type="dxa" w:w="180"/>
              <w:left w:type="dxa" w:w="240"/>
              <w:bottom w:type="dxa" w:w="180"/>
              <w:right w:type="dxa" w:w="240"/>
            </w:tcMar>
          </w:tcPr>
          <w:p>
            <w:pPr>
              <w:spacing w:after="80" w:before="0"/>
            </w:pPr>
            <w:r>
              <w:rPr>
                <w:rFonts w:ascii="Calibri" w:cs="Calibri" w:eastAsia="Calibri" w:hAnsi="Calibri"/>
                <w:b/>
                <w:bCs/>
                <w:color w:val="2E4057"/>
                <w:sz w:val="22"/>
                <w:szCs w:val="22"/>
              </w:rPr>
              <w:t xml:space="preserve">Principle 3 — No profiles, no identifiers, no analytics</w:t>
            </w:r>
          </w:p>
          <w:p>
            <w:pPr>
              <w:spacing w:after="60" w:before="0" w:line="280"/>
            </w:pPr>
            <w:r>
              <w:rPr>
                <w:rFonts w:ascii="Calibri" w:cs="Calibri" w:eastAsia="Calibri" w:hAnsi="Calibri"/>
                <w:color w:val="1A1A1A"/>
                <w:sz w:val="22"/>
                <w:szCs w:val="22"/>
              </w:rPr>
              <w:t xml:space="preserve">There is no display name, no avatar, no bio, no follower count, no like, no share, no explore tab, no recommendation. There is no third-party analytics SDK, no Firebase Analytics, no crash reporter that ships message content, no growth-marketing tag, no advertising identifier, no anything that observes the user inside the Moat.</w:t>
            </w:r>
          </w:p>
          <w:p>
            <w:pPr>
              <w:spacing w:after="60" w:before="0" w:line="280"/>
            </w:pPr>
            <w:r>
              <w:rPr>
                <w:rFonts w:ascii="Calibri" w:cs="Calibri" w:eastAsia="Calibri" w:hAnsi="Calibri"/>
                <w:color w:val="1A1A1A"/>
                <w:sz w:val="22"/>
                <w:szCs w:val="22"/>
              </w:rPr>
              <w:t xml:space="preserve">Operational metrics (p99 latency, error rate, deletion-job success) are collected from infrastructure only, never from user behaviour.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2"/>
              <w:left w:val="single" w:color="2E4057" w:sz="12"/>
              <w:bottom w:val="single" w:color="2E4057" w:sz="4"/>
              <w:right w:val="single" w:color="2E4057" w:sz="4"/>
            </w:tcBorders>
            <w:shd w:fill="F4E9DC" w:color="auto" w:val="clear"/>
            <w:tcMar>
              <w:top w:type="dxa" w:w="180"/>
              <w:left w:type="dxa" w:w="240"/>
              <w:bottom w:type="dxa" w:w="180"/>
              <w:right w:type="dxa" w:w="240"/>
            </w:tcMar>
          </w:tcPr>
          <w:p>
            <w:pPr>
              <w:spacing w:after="80" w:before="0"/>
            </w:pPr>
            <w:r>
              <w:rPr>
                <w:rFonts w:ascii="Calibri" w:cs="Calibri" w:eastAsia="Calibri" w:hAnsi="Calibri"/>
                <w:b/>
                <w:bCs/>
                <w:color w:val="2E4057"/>
                <w:sz w:val="22"/>
                <w:szCs w:val="22"/>
              </w:rPr>
              <w:t xml:space="preserve">Principle 4 — No ranking, no curation, no algorithmic ordering</w:t>
            </w:r>
          </w:p>
          <w:p>
            <w:pPr>
              <w:spacing w:after="60" w:before="0" w:line="280"/>
            </w:pPr>
            <w:r>
              <w:rPr>
                <w:rFonts w:ascii="Calibri" w:cs="Calibri" w:eastAsia="Calibri" w:hAnsi="Calibri"/>
                <w:color w:val="1A1A1A"/>
                <w:sz w:val="22"/>
                <w:szCs w:val="22"/>
              </w:rPr>
              <w:t xml:space="preserve">Posts in a Moat appear in strict chronological order. There is no ‘for you’ logic, no pinning, no boosting. The only ordering logic that exists anywhere is reverse-chronological within a single Moat for a single seven-day window.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2"/>
              <w:left w:val="single" w:color="2E4057" w:sz="12"/>
              <w:bottom w:val="single" w:color="2E4057" w:sz="4"/>
              <w:right w:val="single" w:color="2E4057" w:sz="4"/>
            </w:tcBorders>
            <w:shd w:fill="F4E9DC" w:color="auto" w:val="clear"/>
            <w:tcMar>
              <w:top w:type="dxa" w:w="180"/>
              <w:left w:type="dxa" w:w="240"/>
              <w:bottom w:type="dxa" w:w="180"/>
              <w:right w:type="dxa" w:w="240"/>
            </w:tcMar>
          </w:tcPr>
          <w:p>
            <w:pPr>
              <w:spacing w:after="80" w:before="0"/>
            </w:pPr>
            <w:r>
              <w:rPr>
                <w:rFonts w:ascii="Calibri" w:cs="Calibri" w:eastAsia="Calibri" w:hAnsi="Calibri"/>
                <w:b/>
                <w:bCs/>
                <w:color w:val="2E4057"/>
                <w:sz w:val="22"/>
                <w:szCs w:val="22"/>
              </w:rPr>
              <w:t xml:space="preserve">Principle 5 — The device is the key</w:t>
            </w:r>
          </w:p>
          <w:p>
            <w:pPr>
              <w:spacing w:after="60" w:before="0" w:line="280"/>
            </w:pPr>
            <w:r>
              <w:rPr>
                <w:rFonts w:ascii="Calibri" w:cs="Calibri" w:eastAsia="Calibri" w:hAnsi="Calibri"/>
                <w:color w:val="1A1A1A"/>
                <w:sz w:val="22"/>
                <w:szCs w:val="22"/>
              </w:rPr>
              <w:t xml:space="preserve">Authentication requires physical possession of the Device plus knowledge of the combination sequence plus verification of the composite identity code generated from behavioural and hardware characteristics. There is no email-reset flow into a Moat. Lose the device and lose the combination, you lose access. This is by design; it is communicated clearly at onboarding.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2"/>
              <w:left w:val="single" w:color="2E4057" w:sz="12"/>
              <w:bottom w:val="single" w:color="2E4057" w:sz="4"/>
              <w:right w:val="single" w:color="2E4057" w:sz="4"/>
            </w:tcBorders>
            <w:shd w:fill="F4E9DC" w:color="auto" w:val="clear"/>
            <w:tcMar>
              <w:top w:type="dxa" w:w="180"/>
              <w:left w:type="dxa" w:w="240"/>
              <w:bottom w:type="dxa" w:w="180"/>
              <w:right w:type="dxa" w:w="240"/>
            </w:tcMar>
          </w:tcPr>
          <w:p>
            <w:pPr>
              <w:spacing w:after="80" w:before="0"/>
            </w:pPr>
            <w:r>
              <w:rPr>
                <w:rFonts w:ascii="Calibri" w:cs="Calibri" w:eastAsia="Calibri" w:hAnsi="Calibri"/>
                <w:b/>
                <w:bCs/>
                <w:color w:val="2E4057"/>
                <w:sz w:val="22"/>
                <w:szCs w:val="22"/>
              </w:rPr>
              <w:t xml:space="preserve">Principle 6 — Open source, always</w:t>
            </w:r>
          </w:p>
          <w:p>
            <w:pPr>
              <w:spacing w:after="60" w:before="0" w:line="280"/>
            </w:pPr>
            <w:r>
              <w:rPr>
                <w:rFonts w:ascii="Calibri" w:cs="Calibri" w:eastAsia="Calibri" w:hAnsi="Calibri"/>
                <w:color w:val="1A1A1A"/>
                <w:sz w:val="22"/>
                <w:szCs w:val="22"/>
              </w:rPr>
              <w:t xml:space="preserve">The entire client and server codebase is published under a permissive license (proposed: Apache 2.0 with a Commons Clause addendum to prevent hostile commercial forks). Every commit goes to the public repository. ‘Private beta’ means restricted accounts, not closed source.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2"/>
              <w:left w:val="single" w:color="2E4057" w:sz="12"/>
              <w:bottom w:val="single" w:color="2E4057" w:sz="4"/>
              <w:right w:val="single" w:color="2E4057" w:sz="4"/>
            </w:tcBorders>
            <w:shd w:fill="F4E9DC" w:color="auto" w:val="clear"/>
            <w:tcMar>
              <w:top w:type="dxa" w:w="180"/>
              <w:left w:type="dxa" w:w="240"/>
              <w:bottom w:type="dxa" w:w="180"/>
              <w:right w:type="dxa" w:w="240"/>
            </w:tcMar>
          </w:tcPr>
          <w:p>
            <w:pPr>
              <w:spacing w:after="80" w:before="0"/>
            </w:pPr>
            <w:r>
              <w:rPr>
                <w:rFonts w:ascii="Calibri" w:cs="Calibri" w:eastAsia="Calibri" w:hAnsi="Calibri"/>
                <w:b/>
                <w:bCs/>
                <w:color w:val="2E4057"/>
                <w:sz w:val="22"/>
                <w:szCs w:val="22"/>
              </w:rPr>
              <w:t xml:space="preserve">Principle 7 — The rings are private</w:t>
            </w:r>
          </w:p>
          <w:p>
            <w:pPr>
              <w:spacing w:after="60" w:before="0" w:line="280"/>
            </w:pPr>
            <w:r>
              <w:rPr>
                <w:rFonts w:ascii="Calibri" w:cs="Calibri" w:eastAsia="Calibri" w:hAnsi="Calibri"/>
                <w:color w:val="1A1A1A"/>
                <w:sz w:val="22"/>
                <w:szCs w:val="22"/>
              </w:rPr>
              <w:t xml:space="preserve">A user sees only their own rings. No leaderboard. No comparison view. No ‘users near you’. No ‘people with similar patterns’. The rings UI has no social surface of any kind. The database schema does not support ranking queries — not as a policy, as a schema absence.</w:t>
            </w:r>
          </w:p>
        </w:tc>
      </w:tr>
    </w:tbl>
    <w:p>
      <w:pPr>
        <w:pStyle w:val="Heading2"/>
        <w:spacing w:after="140" w:before="280"/>
      </w:pPr>
      <w:r>
        <w:rPr>
          <w:rFonts w:ascii="Calibri" w:cs="Calibri" w:eastAsia="Calibri" w:hAnsi="Calibri"/>
          <w:b/>
          <w:bCs/>
          <w:color w:val="2E4057"/>
          <w:sz w:val="28"/>
          <w:szCs w:val="28"/>
        </w:rPr>
        <w:t xml:space="preserve">2.2  What this means for the engineering culture</w:t>
      </w:r>
    </w:p>
    <w:p>
      <w:pPr>
        <w:spacing w:after="120" w:before="60" w:line="300"/>
      </w:pPr>
      <w:r>
        <w:rPr>
          <w:rFonts w:ascii="Calibri" w:cs="Calibri" w:eastAsia="Calibri" w:hAnsi="Calibri"/>
          <w:b w:val="false"/>
          <w:bCs w:val="false"/>
          <w:i w:val="false"/>
          <w:iCs w:val="false"/>
          <w:color w:val="1A1A1A"/>
          <w:sz w:val="22"/>
          <w:szCs w:val="22"/>
        </w:rPr>
        <w:t xml:space="preserve">These principles create engineering consequences that should be stated bluntly:</w:t>
      </w:r>
    </w:p>
    <w:p>
      <w:pPr>
        <w:pStyle w:val="ListParagraph"/>
        <w:numPr>
          <w:ilvl w:val="0"/>
          <w:numId w:val="2"/>
        </w:numPr>
        <w:spacing w:after="60" w:before="30" w:line="280"/>
      </w:pPr>
      <w:r>
        <w:rPr>
          <w:rFonts w:ascii="Calibri" w:cs="Calibri" w:eastAsia="Calibri" w:hAnsi="Calibri"/>
          <w:color w:val="1A1A1A"/>
          <w:sz w:val="22"/>
          <w:szCs w:val="22"/>
        </w:rPr>
        <w:t xml:space="preserve">Feature requests that add observation, engagement, or retention mechanics will be rejected. A roadmap ticket that reads ‘increase DAU’ will not be accepted.</w:t>
      </w:r>
    </w:p>
    <w:p>
      <w:pPr>
        <w:pStyle w:val="ListParagraph"/>
        <w:numPr>
          <w:ilvl w:val="0"/>
          <w:numId w:val="2"/>
        </w:numPr>
        <w:spacing w:after="60" w:before="30" w:line="280"/>
      </w:pPr>
      <w:r>
        <w:rPr>
          <w:rFonts w:ascii="Calibri" w:cs="Calibri" w:eastAsia="Calibri" w:hAnsi="Calibri"/>
          <w:color w:val="1A1A1A"/>
          <w:sz w:val="22"/>
          <w:szCs w:val="22"/>
        </w:rPr>
        <w:t xml:space="preserve">Debugging happens on synthetic data. Production incidents are triaged from infrastructure signals only. You will never have access to a user’s Moat content, even during an outage.</w:t>
      </w:r>
    </w:p>
    <w:p>
      <w:pPr>
        <w:pStyle w:val="ListParagraph"/>
        <w:numPr>
          <w:ilvl w:val="0"/>
          <w:numId w:val="2"/>
        </w:numPr>
        <w:spacing w:after="60" w:before="30" w:line="280"/>
      </w:pPr>
      <w:r>
        <w:rPr>
          <w:rFonts w:ascii="Calibri" w:cs="Calibri" w:eastAsia="Calibri" w:hAnsi="Calibri"/>
          <w:color w:val="1A1A1A"/>
          <w:sz w:val="22"/>
          <w:szCs w:val="22"/>
        </w:rPr>
        <w:t xml:space="preserve">Post-mortems are published publicly. A security incident response plan (section 12.4) assumes the public will read it.</w:t>
      </w:r>
    </w:p>
    <w:p>
      <w:pPr>
        <w:pStyle w:val="ListParagraph"/>
        <w:numPr>
          <w:ilvl w:val="0"/>
          <w:numId w:val="2"/>
        </w:numPr>
        <w:spacing w:after="60" w:before="30" w:line="280"/>
      </w:pPr>
      <w:r>
        <w:rPr>
          <w:rFonts w:ascii="Calibri" w:cs="Calibri" w:eastAsia="Calibri" w:hAnsi="Calibri"/>
          <w:color w:val="1A1A1A"/>
          <w:sz w:val="22"/>
          <w:szCs w:val="22"/>
        </w:rPr>
        <w:t xml:space="preserve">Every dependency is audited before adoption. Transitive dependencies that phone home (telemetry) are replaced or patched out.</w:t>
      </w:r>
    </w:p>
    <w:p>
      <w:r>
        <w:br w:type="page"/>
      </w:r>
    </w:p>
    <w:p>
      <w:pPr>
        <w:pStyle w:val="Heading1"/>
        <w:spacing w:after="180" w:before="360"/>
      </w:pPr>
      <w:r>
        <w:rPr>
          <w:rFonts w:ascii="Calibri" w:cs="Calibri" w:eastAsia="Calibri" w:hAnsi="Calibri"/>
          <w:b/>
          <w:bCs/>
          <w:color w:val="2E4057"/>
          <w:sz w:val="36"/>
          <w:szCs w:val="36"/>
        </w:rPr>
        <w:t xml:space="preserve">3.  System architecture</w:t>
      </w:r>
    </w:p>
    <w:p>
      <w:pPr>
        <w:pStyle w:val="Heading2"/>
        <w:spacing w:after="140" w:before="280"/>
      </w:pPr>
      <w:r>
        <w:rPr>
          <w:rFonts w:ascii="Calibri" w:cs="Calibri" w:eastAsia="Calibri" w:hAnsi="Calibri"/>
          <w:b/>
          <w:bCs/>
          <w:color w:val="2E4057"/>
          <w:sz w:val="28"/>
          <w:szCs w:val="28"/>
        </w:rPr>
        <w:t xml:space="preserve">3.1  The three-component model</w:t>
      </w:r>
    </w:p>
    <w:p>
      <w:pPr>
        <w:spacing w:after="120" w:before="60" w:line="300"/>
      </w:pPr>
      <w:r>
        <w:rPr>
          <w:rFonts w:ascii="Calibri" w:cs="Calibri" w:eastAsia="Calibri" w:hAnsi="Calibri"/>
          <w:b w:val="false"/>
          <w:bCs w:val="false"/>
          <w:i w:val="false"/>
          <w:iCs w:val="false"/>
          <w:color w:val="1A1A1A"/>
          <w:sz w:val="22"/>
          <w:szCs w:val="22"/>
        </w:rPr>
        <w:t xml:space="preserve">Moatly is composed of three components that present as one product to the user but are built as largely independent services. They communicate only through narrowly defined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700"/>
        <w:gridCol w:w="1860"/>
      </w:tblGrid>
      <w:tr>
        <w:trPr>
          <w:tblHeader/>
        </w:trPr>
        <w:tc>
          <w:tcPr>
            <w:tcW w:type="dxa" w:w="20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Component</w:t>
            </w:r>
          </w:p>
        </w:tc>
        <w:tc>
          <w:tcPr>
            <w:tcW w:type="dxa" w:w="18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Runs on</w:t>
            </w:r>
          </w:p>
        </w:tc>
        <w:tc>
          <w:tcPr>
            <w:tcW w:type="dxa" w:w="37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Primary responsibility</w:t>
            </w:r>
          </w:p>
        </w:tc>
        <w:tc>
          <w:tcPr>
            <w:tcW w:type="dxa" w:w="186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Holds plaintext?</w:t>
            </w:r>
          </w:p>
        </w:tc>
      </w:tr>
      <w:tr>
        <w:tc>
          <w:tcPr>
            <w:tcW w:type="dxa" w:w="2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Mobile client (Moat app)</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User device (iOS / Android)</w:t>
            </w:r>
          </w:p>
        </w:tc>
        <w:tc>
          <w:tcPr>
            <w:tcW w:type="dxa" w:w="3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Moat client, key management, UI, safety lamp, complaint flow.</w:t>
            </w:r>
          </w:p>
        </w:tc>
        <w:tc>
          <w:tcPr>
            <w:tcW w:type="dxa" w:w="18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Yes — only on-device.</w:t>
            </w:r>
          </w:p>
        </w:tc>
      </w:tr>
      <w:tr>
        <w:tc>
          <w:tcPr>
            <w:tcW w:type="dxa" w:w="2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Moat service (messaging)</w:t>
            </w:r>
          </w:p>
        </w:tc>
        <w:tc>
          <w:tcPr>
            <w:tcW w:type="dxa" w:w="1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Cloud (our servers)</w:t>
            </w:r>
          </w:p>
        </w:tc>
        <w:tc>
          <w:tcPr>
            <w:tcW w:type="dxa" w:w="37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Routes and stores E2E-encrypted group messages via vodozemac (Megolm); runs deletion pipeline.</w:t>
            </w:r>
          </w:p>
        </w:tc>
        <w:tc>
          <w:tcPr>
            <w:tcW w:type="dxa" w:w="18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Never — server is cryptographically blind.</w:t>
            </w:r>
          </w:p>
        </w:tc>
      </w:tr>
      <w:tr>
        <w:tc>
          <w:tcPr>
            <w:tcW w:type="dxa" w:w="2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Account &amp; linkage service</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Cloud (our servers)</w:t>
            </w:r>
          </w:p>
        </w:tc>
        <w:tc>
          <w:tcPr>
            <w:tcW w:type="dxa" w:w="3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Opaque account records, device pairing, shared-ID handoff to the external Unity ritual app, email relay.</w:t>
            </w:r>
          </w:p>
        </w:tc>
        <w:tc>
          <w:tcPr>
            <w:tcW w:type="dxa" w:w="18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No — handles only opaque tokens and relay envelopes.</w:t>
            </w:r>
          </w:p>
        </w:tc>
      </w:tr>
      <w:tr>
        <w:tc>
          <w:tcPr>
            <w:tcW w:type="dxa" w:w="2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Hardware device (Premium / Simple / Virtual)</w:t>
            </w:r>
          </w:p>
        </w:tc>
        <w:tc>
          <w:tcPr>
            <w:tcW w:type="dxa" w:w="1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BLE-tethered physical object or software fallback</w:t>
            </w:r>
          </w:p>
        </w:tc>
        <w:tc>
          <w:tcPr>
            <w:tcW w:type="dxa" w:w="37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Authentication, glow-based notification, combination input.</w:t>
            </w:r>
          </w:p>
        </w:tc>
        <w:tc>
          <w:tcPr>
            <w:tcW w:type="dxa" w:w="18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N/A — holds key material only.</w:t>
            </w:r>
          </w:p>
        </w:tc>
      </w:tr>
      <w:tr>
        <w:tc>
          <w:tcPr>
            <w:tcW w:type="dxa" w:w="2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Email dispatcher</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Cloud + third-party SMTP (e.g. Postmark)</w:t>
            </w:r>
          </w:p>
        </w:tc>
        <w:tc>
          <w:tcPr>
            <w:tcW w:type="dxa" w:w="3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Relays prescription text authored by the Unity app.</w:t>
            </w:r>
          </w:p>
        </w:tc>
        <w:tc>
          <w:tcPr>
            <w:tcW w:type="dxa" w:w="18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Briefly, in transit. Never stored after send confirmation.</w:t>
            </w:r>
          </w:p>
        </w:tc>
      </w:tr>
      <w:tr>
        <w:tc>
          <w:tcPr>
            <w:tcW w:type="dxa" w:w="2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Unity ritual app (COMPLETE, SEPARATE BUILD)</w:t>
            </w:r>
          </w:p>
        </w:tc>
        <w:tc>
          <w:tcPr>
            <w:tcW w:type="dxa" w:w="1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User device</w:t>
            </w:r>
          </w:p>
        </w:tc>
        <w:tc>
          <w:tcPr>
            <w:tcW w:type="dxa" w:w="37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Ritual experience; authors prescription text. Already built. Out of scope for this brief — we consume its existing linkage contract.</w:t>
            </w:r>
          </w:p>
        </w:tc>
        <w:tc>
          <w:tcPr>
            <w:tcW w:type="dxa" w:w="18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On-device only. Never shares content with our backend.</w:t>
            </w:r>
          </w:p>
        </w:tc>
      </w:tr>
    </w:tbl>
    <w:p>
      <w:pPr>
        <w:pStyle w:val="Heading2"/>
        <w:spacing w:after="140" w:before="280"/>
      </w:pPr>
      <w:r>
        <w:rPr>
          <w:rFonts w:ascii="Calibri" w:cs="Calibri" w:eastAsia="Calibri" w:hAnsi="Calibri"/>
          <w:b/>
          <w:bCs/>
          <w:color w:val="2E4057"/>
          <w:sz w:val="28"/>
          <w:szCs w:val="28"/>
        </w:rPr>
        <w:t xml:space="preserve">3.2  Trust boundaries</w:t>
      </w:r>
    </w:p>
    <w:p>
      <w:pPr>
        <w:spacing w:after="120" w:before="60" w:line="300"/>
      </w:pPr>
      <w:r>
        <w:rPr>
          <w:rFonts w:ascii="Calibri" w:cs="Calibri" w:eastAsia="Calibri" w:hAnsi="Calibri"/>
          <w:b w:val="false"/>
          <w:bCs w:val="false"/>
          <w:i w:val="false"/>
          <w:iCs w:val="false"/>
          <w:color w:val="1A1A1A"/>
          <w:sz w:val="22"/>
          <w:szCs w:val="22"/>
        </w:rPr>
        <w:t xml:space="preserve">Drawing the trust boundaries correctly is what makes the server-blind architecture possible. Every boundary is a point where plaintext must not cross in the wrong direction.</w:t>
      </w:r>
    </w:p>
    <w:p>
      <w:pPr>
        <w:pStyle w:val="ListParagraph"/>
        <w:numPr>
          <w:ilvl w:val="0"/>
          <w:numId w:val="2"/>
        </w:numPr>
        <w:spacing w:after="60" w:before="30" w:line="280"/>
      </w:pPr>
      <w:r>
        <w:rPr>
          <w:rFonts w:ascii="Calibri" w:cs="Calibri" w:eastAsia="Calibri" w:hAnsi="Calibri"/>
          <w:color w:val="1A1A1A"/>
          <w:sz w:val="22"/>
          <w:szCs w:val="22"/>
        </w:rPr>
        <w:t xml:space="preserve">Boundary A (client ↔ Moat service): plaintext never crosses. Client encrypts; server stores ciphertext.</w:t>
      </w:r>
    </w:p>
    <w:p>
      <w:pPr>
        <w:pStyle w:val="ListParagraph"/>
        <w:numPr>
          <w:ilvl w:val="0"/>
          <w:numId w:val="2"/>
        </w:numPr>
        <w:spacing w:after="60" w:before="30" w:line="280"/>
      </w:pPr>
      <w:r>
        <w:rPr>
          <w:rFonts w:ascii="Calibri" w:cs="Calibri" w:eastAsia="Calibri" w:hAnsi="Calibri"/>
          <w:color w:val="1A1A1A"/>
          <w:sz w:val="22"/>
          <w:szCs w:val="22"/>
        </w:rPr>
        <w:t xml:space="preserve">Boundary B (device ↔ client): key material and combination entropy flow in both directions. Messages do not.</w:t>
      </w:r>
    </w:p>
    <w:p>
      <w:pPr>
        <w:pStyle w:val="ListParagraph"/>
        <w:numPr>
          <w:ilvl w:val="0"/>
          <w:numId w:val="2"/>
        </w:numPr>
        <w:spacing w:after="60" w:before="30" w:line="280"/>
      </w:pPr>
      <w:r>
        <w:rPr>
          <w:rFonts w:ascii="Calibri" w:cs="Calibri" w:eastAsia="Calibri" w:hAnsi="Calibri"/>
          <w:color w:val="1A1A1A"/>
          <w:sz w:val="22"/>
          <w:szCs w:val="22"/>
        </w:rPr>
        <w:t xml:space="preserve">Boundary C (external Unity ritual app ↔ our email relay): prescription text is composed inside the Unity app. It reaches our email service as a finished envelope; we forward and forget. The Unity app never speaks to the Moat service.</w:t>
      </w:r>
    </w:p>
    <w:p>
      <w:pPr>
        <w:pStyle w:val="ListParagraph"/>
        <w:numPr>
          <w:ilvl w:val="0"/>
          <w:numId w:val="2"/>
        </w:numPr>
        <w:spacing w:after="60" w:before="30" w:line="280"/>
      </w:pPr>
      <w:r>
        <w:rPr>
          <w:rFonts w:ascii="Calibri" w:cs="Calibri" w:eastAsia="Calibri" w:hAnsi="Calibri"/>
          <w:color w:val="1A1A1A"/>
          <w:sz w:val="22"/>
          <w:szCs w:val="22"/>
        </w:rPr>
        <w:t xml:space="preserve">Boundary D (app ↔ third-party SDKs): there are almost no third-party SDKs. The few that exist (push provider, crash sink) are patched to strip any user content before upload. See section 5.2.</w:t>
      </w:r>
    </w:p>
    <w:p>
      <w:pPr>
        <w:pStyle w:val="Heading2"/>
        <w:spacing w:after="140" w:before="280"/>
      </w:pPr>
      <w:r>
        <w:rPr>
          <w:rFonts w:ascii="Calibri" w:cs="Calibri" w:eastAsia="Calibri" w:hAnsi="Calibri"/>
          <w:b/>
          <w:bCs/>
          <w:color w:val="2E4057"/>
          <w:sz w:val="28"/>
          <w:szCs w:val="28"/>
        </w:rPr>
        <w:t xml:space="preserve">3.3  Deployment topology</w:t>
      </w:r>
    </w:p>
    <w:p>
      <w:pPr>
        <w:spacing w:after="120" w:before="60" w:line="300"/>
      </w:pPr>
      <w:r>
        <w:rPr>
          <w:rFonts w:ascii="Calibri" w:cs="Calibri" w:eastAsia="Calibri" w:hAnsi="Calibri"/>
          <w:b w:val="false"/>
          <w:bCs w:val="false"/>
          <w:i w:val="false"/>
          <w:iCs w:val="false"/>
          <w:color w:val="1A1A1A"/>
          <w:sz w:val="22"/>
          <w:szCs w:val="22"/>
        </w:rPr>
        <w:t xml:space="preserve">A minimal, boring, auditable cloud footprint. Complexity is the enemy of a system whose security claims must be independently verifiable.</w:t>
      </w:r>
    </w:p>
    <w:p>
      <w:pPr>
        <w:shd w:fill="F2F2F2" w:color="auto" w:val="clear"/>
        <w:spacing w:after="120" w:before="120" w:line="260"/>
        <w:ind w:left="180" w:right="180"/>
      </w:pPr>
      <w:r>
        <w:rPr>
          <w:rFonts w:ascii="Consolas" w:cs="Consolas" w:eastAsia="Consolas" w:hAnsi="Consolas"/>
          <w:color w:val="1A1A1A"/>
          <w:sz w:val="20"/>
          <w:szCs w:val="20"/>
        </w:rPr>
        <w:t xml:space="preserve">                           ┌───────────────────────────────┐</w:t>
      </w:r>
      <w:r>
        <w:br/>
      </w:r>
      <w:r>
        <w:rPr>
          <w:rFonts w:ascii="Consolas" w:cs="Consolas" w:eastAsia="Consolas" w:hAnsi="Consolas"/>
          <w:color w:val="1A1A1A"/>
          <w:sz w:val="20"/>
          <w:szCs w:val="20"/>
        </w:rPr>
        <w:t xml:space="preserve">                           │ Mobile client (RN / Flutter)  │</w:t>
      </w:r>
      <w:r>
        <w:br/>
      </w:r>
      <w:r>
        <w:rPr>
          <w:rFonts w:ascii="Consolas" w:cs="Consolas" w:eastAsia="Consolas" w:hAnsi="Consolas"/>
          <w:color w:val="1A1A1A"/>
          <w:sz w:val="20"/>
          <w:szCs w:val="20"/>
        </w:rPr>
        <w:t xml:space="preserve">                           │  - local SQLite (SQLCipher)   │</w:t>
      </w:r>
      <w:r>
        <w:br/>
      </w:r>
      <w:r>
        <w:rPr>
          <w:rFonts w:ascii="Consolas" w:cs="Consolas" w:eastAsia="Consolas" w:hAnsi="Consolas"/>
          <w:color w:val="1A1A1A"/>
          <w:sz w:val="20"/>
          <w:szCs w:val="20"/>
        </w:rPr>
        <w:t xml:space="preserve">                           │  - vodozemac (Olm / Megolm)   │</w:t>
      </w:r>
      <w:r>
        <w:br/>
      </w:r>
      <w:r>
        <w:rPr>
          <w:rFonts w:ascii="Consolas" w:cs="Consolas" w:eastAsia="Consolas" w:hAnsi="Consolas"/>
          <w:color w:val="1A1A1A"/>
          <w:sz w:val="20"/>
          <w:szCs w:val="20"/>
        </w:rPr>
        <w:t xml:space="preserve">                           │  - BLE stack (device)         │</w:t>
      </w:r>
      <w:r>
        <w:br/>
      </w:r>
      <w:r>
        <w:rPr>
          <w:rFonts w:ascii="Consolas" w:cs="Consolas" w:eastAsia="Consolas" w:hAnsi="Consolas"/>
          <w:color w:val="1A1A1A"/>
          <w:sz w:val="20"/>
          <w:szCs w:val="20"/>
        </w:rPr>
        <w:t xml:space="preserve">                           │  - Safety Lamp (offline)      │</w:t>
      </w:r>
      <w:r>
        <w:br/>
      </w:r>
      <w:r>
        <w:rPr>
          <w:rFonts w:ascii="Consolas" w:cs="Consolas" w:eastAsia="Consolas" w:hAnsi="Consolas"/>
          <w:color w:val="1A1A1A"/>
          <w:sz w:val="20"/>
          <w:szCs w:val="20"/>
        </w:rPr>
        <w:t xml:space="preserve">                           └────────────┬──────────────────┘</w:t>
      </w:r>
      <w:r>
        <w:br/>
      </w:r>
      <w:r>
        <w:rPr>
          <w:rFonts w:ascii="Consolas" w:cs="Consolas" w:eastAsia="Consolas" w:hAnsi="Consolas"/>
          <w:color w:val="1A1A1A"/>
          <w:sz w:val="20"/>
          <w:szCs w:val="20"/>
        </w:rPr>
        <w:t xml:space="preserve">                                        │   TLS 1.3</w:t>
      </w:r>
      <w:r>
        <w:br/>
      </w:r>
      <w:r>
        <w:rPr>
          <w:rFonts w:ascii="Consolas" w:cs="Consolas" w:eastAsia="Consolas" w:hAnsi="Consolas"/>
          <w:color w:val="1A1A1A"/>
          <w:sz w:val="20"/>
          <w:szCs w:val="20"/>
        </w:rPr>
        <w:t xml:space="preserve">                                        │</w:t>
      </w:r>
      <w:r>
        <w:br/>
      </w:r>
      <w:r>
        <w:rPr>
          <w:rFonts w:ascii="Consolas" w:cs="Consolas" w:eastAsia="Consolas" w:hAnsi="Consolas"/>
          <w:color w:val="1A1A1A"/>
          <w:sz w:val="20"/>
          <w:szCs w:val="20"/>
        </w:rPr>
        <w:t xml:space="preserve">          ┌─────────────────────────────┼─────────────────────────────┐</w:t>
      </w:r>
      <w:r>
        <w:br/>
      </w:r>
      <w:r>
        <w:rPr>
          <w:rFonts w:ascii="Consolas" w:cs="Consolas" w:eastAsia="Consolas" w:hAnsi="Consolas"/>
          <w:color w:val="1A1A1A"/>
          <w:sz w:val="20"/>
          <w:szCs w:val="20"/>
        </w:rPr>
        <w:t xml:space="preserve">          │                             │                             │</w:t>
      </w:r>
      <w:r>
        <w:br/>
      </w:r>
      <w:r>
        <w:rPr>
          <w:rFonts w:ascii="Consolas" w:cs="Consolas" w:eastAsia="Consolas" w:hAnsi="Consolas"/>
          <w:color w:val="1A1A1A"/>
          <w:sz w:val="20"/>
          <w:szCs w:val="20"/>
        </w:rPr>
        <w:t xml:space="preserve"> ┌────────▼─────────┐       ┌───────────▼────────────┐   ┌────────────▼────────────┐</w:t>
      </w:r>
      <w:r>
        <w:br/>
      </w:r>
      <w:r>
        <w:rPr>
          <w:rFonts w:ascii="Consolas" w:cs="Consolas" w:eastAsia="Consolas" w:hAnsi="Consolas"/>
          <w:color w:val="1A1A1A"/>
          <w:sz w:val="20"/>
          <w:szCs w:val="20"/>
        </w:rPr>
        <w:t xml:space="preserve"> │ Account &amp; linkage│       │  Moat service (Megolm) │   │   Auth / identity       │</w:t>
      </w:r>
      <w:r>
        <w:br/>
      </w:r>
      <w:r>
        <w:rPr>
          <w:rFonts w:ascii="Consolas" w:cs="Consolas" w:eastAsia="Consolas" w:hAnsi="Consolas"/>
          <w:color w:val="1A1A1A"/>
          <w:sz w:val="20"/>
          <w:szCs w:val="20"/>
        </w:rPr>
        <w:t xml:space="preserve"> │ (email relay +   │       │  - WebSocket gateway   │   │   - device attestation  │</w:t>
      </w:r>
      <w:r>
        <w:br/>
      </w:r>
      <w:r>
        <w:rPr>
          <w:rFonts w:ascii="Consolas" w:cs="Consolas" w:eastAsia="Consolas" w:hAnsi="Consolas"/>
          <w:color w:val="1A1A1A"/>
          <w:sz w:val="20"/>
          <w:szCs w:val="20"/>
        </w:rPr>
        <w:t xml:space="preserve"> │  Unity handoff)  │       │  - Postgres (ciphertext│   │   - no passwords        │</w:t>
      </w:r>
      <w:r>
        <w:br/>
      </w:r>
      <w:r>
        <w:rPr>
          <w:rFonts w:ascii="Consolas" w:cs="Consolas" w:eastAsia="Consolas" w:hAnsi="Consolas"/>
          <w:color w:val="1A1A1A"/>
          <w:sz w:val="20"/>
          <w:szCs w:val="20"/>
        </w:rPr>
        <w:t xml:space="preserve"> │                  │       │    + Megolm state)     │   │                         │</w:t>
      </w:r>
      <w:r>
        <w:br/>
      </w:r>
      <w:r>
        <w:rPr>
          <w:rFonts w:ascii="Consolas" w:cs="Consolas" w:eastAsia="Consolas" w:hAnsi="Consolas"/>
          <w:color w:val="1A1A1A"/>
          <w:sz w:val="20"/>
          <w:szCs w:val="20"/>
        </w:rPr>
        <w:t xml:space="preserve"> └────────┬─────────┘       │  - Deletion worker     │   └─────────────────────────┘</w:t>
      </w:r>
      <w:r>
        <w:br/>
      </w:r>
      <w:r>
        <w:rPr>
          <w:rFonts w:ascii="Consolas" w:cs="Consolas" w:eastAsia="Consolas" w:hAnsi="Consolas"/>
          <w:color w:val="1A1A1A"/>
          <w:sz w:val="20"/>
          <w:szCs w:val="20"/>
        </w:rPr>
        <w:t xml:space="preserve">          │                 │  - Complaint pipeline  │</w:t>
      </w:r>
      <w:r>
        <w:br/>
      </w:r>
      <w:r>
        <w:rPr>
          <w:rFonts w:ascii="Consolas" w:cs="Consolas" w:eastAsia="Consolas" w:hAnsi="Consolas"/>
          <w:color w:val="1A1A1A"/>
          <w:sz w:val="20"/>
          <w:szCs w:val="20"/>
        </w:rPr>
        <w:t xml:space="preserve">          │                 └───────────┬────────────┘</w:t>
      </w:r>
      <w:r>
        <w:br/>
      </w:r>
      <w:r>
        <w:rPr>
          <w:rFonts w:ascii="Consolas" w:cs="Consolas" w:eastAsia="Consolas" w:hAnsi="Consolas"/>
          <w:color w:val="1A1A1A"/>
          <w:sz w:val="20"/>
          <w:szCs w:val="20"/>
        </w:rPr>
        <w:t xml:space="preserve">          ▼                             ▼</w:t>
      </w:r>
      <w:r>
        <w:br/>
      </w:r>
      <w:r>
        <w:rPr>
          <w:rFonts w:ascii="Consolas" w:cs="Consolas" w:eastAsia="Consolas" w:hAnsi="Consolas"/>
          <w:color w:val="1A1A1A"/>
          <w:sz w:val="20"/>
          <w:szCs w:val="20"/>
        </w:rPr>
        <w:t xml:space="preserve"> ┌──────────────────┐       ┌────────────────────────┐</w:t>
      </w:r>
      <w:r>
        <w:br/>
      </w:r>
      <w:r>
        <w:rPr>
          <w:rFonts w:ascii="Consolas" w:cs="Consolas" w:eastAsia="Consolas" w:hAnsi="Consolas"/>
          <w:color w:val="1A1A1A"/>
          <w:sz w:val="20"/>
          <w:szCs w:val="20"/>
        </w:rPr>
        <w:t xml:space="preserve"> │ Postmark (email) │       │ Object store (optional)│</w:t>
      </w:r>
      <w:r>
        <w:br/>
      </w:r>
      <w:r>
        <w:rPr>
          <w:rFonts w:ascii="Consolas" w:cs="Consolas" w:eastAsia="Consolas" w:hAnsi="Consolas"/>
          <w:color w:val="1A1A1A"/>
          <w:sz w:val="20"/>
          <w:szCs w:val="20"/>
        </w:rPr>
        <w:t xml:space="preserve"> └──────────────────┘       │ - encrypted attachments│</w:t>
      </w:r>
      <w:r>
        <w:br/>
      </w:r>
      <w:r>
        <w:rPr>
          <w:rFonts w:ascii="Consolas" w:cs="Consolas" w:eastAsia="Consolas" w:hAnsi="Consolas"/>
          <w:color w:val="1A1A1A"/>
          <w:sz w:val="20"/>
          <w:szCs w:val="20"/>
        </w:rPr>
        <w:t xml:space="preserve">          │                 │ - 7-day lifecycle rule │</w:t>
      </w:r>
      <w:r>
        <w:br/>
      </w:r>
      <w:r>
        <w:rPr>
          <w:rFonts w:ascii="Consolas" w:cs="Consolas" w:eastAsia="Consolas" w:hAnsi="Consolas"/>
          <w:color w:val="1A1A1A"/>
          <w:sz w:val="20"/>
          <w:szCs w:val="20"/>
        </w:rPr>
        <w:t xml:space="preserve">          ▼                 └────────────────────────┘</w:t>
      </w:r>
      <w:r>
        <w:br/>
      </w:r>
      <w:r>
        <w:rPr>
          <w:rFonts w:ascii="Consolas" w:cs="Consolas" w:eastAsia="Consolas" w:hAnsi="Consolas"/>
          <w:color w:val="1A1A1A"/>
          <w:sz w:val="20"/>
          <w:szCs w:val="20"/>
        </w:rPr>
        <w:t xml:space="preserve"> ┌──────────────────────────────────┐</w:t>
      </w:r>
      <w:r>
        <w:br/>
      </w:r>
      <w:r>
        <w:rPr>
          <w:rFonts w:ascii="Consolas" w:cs="Consolas" w:eastAsia="Consolas" w:hAnsi="Consolas"/>
          <w:color w:val="1A1A1A"/>
          <w:sz w:val="20"/>
          <w:szCs w:val="20"/>
        </w:rPr>
        <w:t xml:space="preserve"> │  Unity ritual app (separate)     │</w:t>
      </w:r>
      <w:r>
        <w:br/>
      </w:r>
      <w:r>
        <w:rPr>
          <w:rFonts w:ascii="Consolas" w:cs="Consolas" w:eastAsia="Consolas" w:hAnsi="Consolas"/>
          <w:color w:val="1A1A1A"/>
          <w:sz w:val="20"/>
          <w:szCs w:val="20"/>
        </w:rPr>
        <w:t xml:space="preserve"> │  Authors prescriptions locally;  │</w:t>
      </w:r>
      <w:r>
        <w:br/>
      </w:r>
      <w:r>
        <w:rPr>
          <w:rFonts w:ascii="Consolas" w:cs="Consolas" w:eastAsia="Consolas" w:hAnsi="Consolas"/>
          <w:color w:val="1A1A1A"/>
          <w:sz w:val="20"/>
          <w:szCs w:val="20"/>
        </w:rPr>
        <w:t xml:space="preserve"> │  hands envelope to email relay.  │</w:t>
      </w:r>
      <w:r>
        <w:br/>
      </w:r>
      <w:r>
        <w:rPr>
          <w:rFonts w:ascii="Consolas" w:cs="Consolas" w:eastAsia="Consolas" w:hAnsi="Consolas"/>
          <w:color w:val="1A1A1A"/>
          <w:sz w:val="20"/>
          <w:szCs w:val="20"/>
        </w:rPr>
        <w:t xml:space="preserve"> └──────────────────────────────────┘</w:t>
      </w:r>
    </w:p>
    <w:p>
      <w:pPr>
        <w:spacing w:after="120" w:before="60" w:line="300"/>
      </w:pPr>
      <w:r>
        <w:rPr>
          <w:rFonts w:ascii="Calibri" w:cs="Calibri" w:eastAsia="Calibri" w:hAnsi="Calibri"/>
          <w:b w:val="false"/>
          <w:bCs w:val="false"/>
          <w:i w:val="false"/>
          <w:iCs w:val="false"/>
          <w:color w:val="1A1A1A"/>
          <w:sz w:val="22"/>
          <w:szCs w:val="22"/>
        </w:rPr>
        <w:t xml:space="preserve">All services deploy to a single cloud provider (AWS is assumed in this brief; GCP or Hetzner are acceptable alternatives). Region: EU (Frankfurt or Dublin) with failover to a second EU region. No US primary region — GDPR posture is load-bearing.</w:t>
      </w:r>
    </w:p>
    <w:p>
      <w:pPr>
        <w:pStyle w:val="Heading2"/>
        <w:spacing w:after="140" w:before="280"/>
      </w:pPr>
      <w:r>
        <w:rPr>
          <w:rFonts w:ascii="Calibri" w:cs="Calibri" w:eastAsia="Calibri" w:hAnsi="Calibri"/>
          <w:b/>
          <w:bCs/>
          <w:color w:val="2E4057"/>
          <w:sz w:val="28"/>
          <w:szCs w:val="28"/>
        </w:rPr>
        <w:t xml:space="preserve">3.4  What the server knows vs does not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The server knows</w:t>
            </w:r>
          </w:p>
        </w:tc>
        <w:tc>
          <w:tcPr>
            <w:tcW w:type="dxa" w:w="468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The server does not know</w:t>
            </w:r>
          </w:p>
        </w:tc>
      </w:tr>
      <w:tr>
        <w:tc>
          <w:tcPr>
            <w:tcW w:type="dxa" w:w="468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 user has an account (opaque account ID).</w:t>
            </w:r>
          </w:p>
        </w:tc>
        <w:tc>
          <w:tcPr>
            <w:tcW w:type="dxa" w:w="468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user’s real name, email content, or Moat content.</w:t>
            </w:r>
          </w:p>
        </w:tc>
      </w:tr>
      <w:tr>
        <w:tc>
          <w:tcPr>
            <w:tcW w:type="dxa" w:w="468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 device is paired to an account.</w:t>
            </w:r>
          </w:p>
        </w:tc>
        <w:tc>
          <w:tcPr>
            <w:tcW w:type="dxa" w:w="468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What the user typed, ever.</w:t>
            </w:r>
          </w:p>
        </w:tc>
      </w:tr>
      <w:tr>
        <w:tc>
          <w:tcPr>
            <w:tcW w:type="dxa" w:w="468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 Moat exists with N members (opaque IDs).</w:t>
            </w:r>
          </w:p>
        </w:tc>
        <w:tc>
          <w:tcPr>
            <w:tcW w:type="dxa" w:w="468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Who is in a Moat in any identifying way.</w:t>
            </w:r>
          </w:p>
        </w:tc>
      </w:tr>
      <w:tr>
        <w:tc>
          <w:tcPr>
            <w:tcW w:type="dxa" w:w="468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 ciphertext blob of size K was posted at time T.</w:t>
            </w:r>
          </w:p>
        </w:tc>
        <w:tc>
          <w:tcPr>
            <w:tcW w:type="dxa" w:w="468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What the blob contains. What topic. What tone.</w:t>
            </w:r>
          </w:p>
        </w:tc>
      </w:tr>
      <w:tr>
        <w:tc>
          <w:tcPr>
            <w:tcW w:type="dxa" w:w="468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 user opened the app at time T.</w:t>
            </w:r>
          </w:p>
        </w:tc>
        <w:tc>
          <w:tcPr>
            <w:tcW w:type="dxa" w:w="468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What they saw or did.</w:t>
            </w:r>
          </w:p>
        </w:tc>
      </w:tr>
      <w:tr>
        <w:tc>
          <w:tcPr>
            <w:tcW w:type="dxa" w:w="468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deletion job ran successfully for cycle E.</w:t>
            </w:r>
          </w:p>
        </w:tc>
        <w:tc>
          <w:tcPr>
            <w:tcW w:type="dxa" w:w="468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Any content that was deleted.</w:t>
            </w:r>
          </w:p>
        </w:tc>
      </w:tr>
    </w:tbl>
    <w:p>
      <w:r>
        <w:br w:type="page"/>
      </w:r>
    </w:p>
    <w:p>
      <w:pPr>
        <w:pStyle w:val="Heading1"/>
        <w:spacing w:after="180" w:before="360"/>
      </w:pPr>
      <w:r>
        <w:rPr>
          <w:rFonts w:ascii="Calibri" w:cs="Calibri" w:eastAsia="Calibri" w:hAnsi="Calibri"/>
          <w:b/>
          <w:bCs/>
          <w:color w:val="2E4057"/>
          <w:sz w:val="36"/>
          <w:szCs w:val="36"/>
        </w:rPr>
        <w:t xml:space="preserve">4.  Technology stack</w:t>
      </w:r>
    </w:p>
    <w:p>
      <w:pPr>
        <w:spacing w:after="120" w:before="60" w:line="300"/>
      </w:pPr>
      <w:r>
        <w:rPr>
          <w:rFonts w:ascii="Calibri" w:cs="Calibri" w:eastAsia="Calibri" w:hAnsi="Calibri"/>
          <w:b w:val="false"/>
          <w:bCs w:val="false"/>
          <w:i w:val="false"/>
          <w:iCs w:val="false"/>
          <w:color w:val="1A1A1A"/>
          <w:sz w:val="22"/>
          <w:szCs w:val="22"/>
        </w:rPr>
        <w:t xml:space="preserve">Choices below are recommendations, with the rationale made explicit so the engineering lead can override them with evidence. Where a choice is non-negotiable, it is flagged as such.</w:t>
      </w:r>
    </w:p>
    <w:p>
      <w:pPr>
        <w:pStyle w:val="Heading2"/>
        <w:spacing w:after="140" w:before="280"/>
      </w:pPr>
      <w:r>
        <w:rPr>
          <w:rFonts w:ascii="Calibri" w:cs="Calibri" w:eastAsia="Calibri" w:hAnsi="Calibri"/>
          <w:b/>
          <w:bCs/>
          <w:color w:val="2E4057"/>
          <w:sz w:val="28"/>
          <w:szCs w:val="28"/>
        </w:rPr>
        <w:t xml:space="preserve">4.1  Mobile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Concern</w:t>
            </w:r>
          </w:p>
        </w:tc>
        <w:tc>
          <w:tcPr>
            <w:tcW w:type="dxa" w:w="30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Recommendation</w:t>
            </w:r>
          </w:p>
        </w:tc>
        <w:tc>
          <w:tcPr>
            <w:tcW w:type="dxa" w:w="456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Rationale</w:t>
            </w:r>
          </w:p>
        </w:tc>
      </w:tr>
      <w:tr>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Framework</w:t>
            </w:r>
          </w:p>
        </w:tc>
        <w:tc>
          <w:tcPr>
            <w:tcW w:type="dxa" w:w="3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React Native (Expo prebuild) OR Flutter</w:t>
            </w:r>
          </w:p>
        </w:tc>
        <w:tc>
          <w:tcPr>
            <w:tcW w:type="dxa" w:w="45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Both give us one codebase with native BLE and native crypto. Choose based on team skill. Native iOS + Android is acceptable but doubles cost.</w:t>
            </w:r>
          </w:p>
        </w:tc>
      </w:tr>
      <w:tr>
        <w:tc>
          <w:tcPr>
            <w:tcW w:type="dxa" w:w="1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Language</w:t>
            </w:r>
          </w:p>
        </w:tc>
        <w:tc>
          <w:tcPr>
            <w:tcW w:type="dxa" w:w="3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TypeScript (RN) or Dart (Flutter)</w:t>
            </w:r>
          </w:p>
        </w:tc>
        <w:tc>
          <w:tcPr>
            <w:tcW w:type="dxa" w:w="45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Team familiarity; strong typing limits a class of bugs.</w:t>
            </w:r>
          </w:p>
        </w:tc>
      </w:tr>
      <w:tr>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Local storage</w:t>
            </w:r>
          </w:p>
        </w:tc>
        <w:tc>
          <w:tcPr>
            <w:tcW w:type="dxa" w:w="3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SQLCipher</w:t>
            </w:r>
          </w:p>
        </w:tc>
        <w:tc>
          <w:tcPr>
            <w:tcW w:type="dxa" w:w="45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Transparent encryption at rest with a well-audited format. The database key derives from the device secret + OS keystore.</w:t>
            </w:r>
          </w:p>
        </w:tc>
      </w:tr>
      <w:tr>
        <w:tc>
          <w:tcPr>
            <w:tcW w:type="dxa" w:w="1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Cryptography</w:t>
            </w:r>
          </w:p>
        </w:tc>
        <w:tc>
          <w:tcPr>
            <w:tcW w:type="dxa" w:w="3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vodozemac (Rust) via FFI; tink for AEAD and key derivation</w:t>
            </w:r>
          </w:p>
        </w:tc>
        <w:tc>
          <w:tcPr>
            <w:tcW w:type="dxa" w:w="45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vodozemac is a modern audited Rust implementation of Olm/Megolm; Apache 2.0; used at scale in Matrix/Element. Matches ADR-007 licensing. Pin to exact versions. Never hand-roll.</w:t>
            </w:r>
          </w:p>
        </w:tc>
      </w:tr>
      <w:tr>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BLE</w:t>
            </w:r>
          </w:p>
        </w:tc>
        <w:tc>
          <w:tcPr>
            <w:tcW w:type="dxa" w:w="3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react-native-ble-plx or flutter_blue_plus</w:t>
            </w:r>
          </w:p>
        </w:tc>
        <w:tc>
          <w:tcPr>
            <w:tcW w:type="dxa" w:w="45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Mature, maintained. We will patch to remove any anonymous telemetry.</w:t>
            </w:r>
          </w:p>
        </w:tc>
      </w:tr>
      <w:tr>
        <w:tc>
          <w:tcPr>
            <w:tcW w:type="dxa" w:w="1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State</w:t>
            </w:r>
          </w:p>
        </w:tc>
        <w:tc>
          <w:tcPr>
            <w:tcW w:type="dxa" w:w="3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Zustand (RN) or Riverpod (Flutter)</w:t>
            </w:r>
          </w:p>
        </w:tc>
        <w:tc>
          <w:tcPr>
            <w:tcW w:type="dxa" w:w="45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Minimal, testable, no network-style side effects.</w:t>
            </w:r>
          </w:p>
        </w:tc>
      </w:tr>
      <w:tr>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Animation</w:t>
            </w:r>
          </w:p>
        </w:tc>
        <w:tc>
          <w:tcPr>
            <w:tcW w:type="dxa" w:w="3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Reanimated 3 / Rive (RN), Lottie (Flutter)</w:t>
            </w:r>
          </w:p>
        </w:tc>
        <w:tc>
          <w:tcPr>
            <w:tcW w:type="dxa" w:w="45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ritual experience is animated. Plan for a designer–engineer pairing on the host animations.</w:t>
            </w:r>
          </w:p>
        </w:tc>
      </w:tr>
    </w:tbl>
    <w:p>
      <w:pPr>
        <w:pStyle w:val="Heading2"/>
        <w:spacing w:after="140" w:before="280"/>
      </w:pPr>
      <w:r>
        <w:rPr>
          <w:rFonts w:ascii="Calibri" w:cs="Calibri" w:eastAsia="Calibri" w:hAnsi="Calibri"/>
          <w:b/>
          <w:bCs/>
          <w:color w:val="2E4057"/>
          <w:sz w:val="28"/>
          <w:szCs w:val="28"/>
        </w:rPr>
        <w:t xml:space="preserve">4.2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Concern</w:t>
            </w:r>
          </w:p>
        </w:tc>
        <w:tc>
          <w:tcPr>
            <w:tcW w:type="dxa" w:w="30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Recommendation</w:t>
            </w:r>
          </w:p>
        </w:tc>
        <w:tc>
          <w:tcPr>
            <w:tcW w:type="dxa" w:w="456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Rationale</w:t>
            </w:r>
          </w:p>
        </w:tc>
      </w:tr>
      <w:tr>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Language / runtime</w:t>
            </w:r>
          </w:p>
        </w:tc>
        <w:tc>
          <w:tcPr>
            <w:tcW w:type="dxa" w:w="3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Go for the Moat service. Go (or Node.js) for the account/linkage service.</w:t>
            </w:r>
          </w:p>
        </w:tc>
        <w:tc>
          <w:tcPr>
            <w:tcW w:type="dxa" w:w="45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Go for the crypto-adjacent hot path: performance, single-binary deploy, strong stdlib. The linkage service is small enough that either language is fine.</w:t>
            </w:r>
          </w:p>
        </w:tc>
      </w:tr>
      <w:tr>
        <w:tc>
          <w:tcPr>
            <w:tcW w:type="dxa" w:w="1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API style</w:t>
            </w:r>
          </w:p>
        </w:tc>
        <w:tc>
          <w:tcPr>
            <w:tcW w:type="dxa" w:w="3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REST + WebSocket (Moat) and REST (linkage/email)</w:t>
            </w:r>
          </w:p>
        </w:tc>
        <w:tc>
          <w:tcPr>
            <w:tcW w:type="dxa" w:w="45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Simple and inspectable. No GraphQL — harder to audit for data leaks.</w:t>
            </w:r>
          </w:p>
        </w:tc>
      </w:tr>
      <w:tr>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Auth</w:t>
            </w:r>
          </w:p>
        </w:tc>
        <w:tc>
          <w:tcPr>
            <w:tcW w:type="dxa" w:w="3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Device-issued JWT with short (15 min) expiry; refresh via device attestation.</w:t>
            </w:r>
          </w:p>
        </w:tc>
        <w:tc>
          <w:tcPr>
            <w:tcW w:type="dxa" w:w="45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No passwords. No email magic links into the Moat.</w:t>
            </w:r>
          </w:p>
        </w:tc>
      </w:tr>
      <w:tr>
        <w:tc>
          <w:tcPr>
            <w:tcW w:type="dxa" w:w="1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Group messaging</w:t>
            </w:r>
          </w:p>
        </w:tc>
        <w:tc>
          <w:tcPr>
            <w:tcW w:type="dxa" w:w="3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vodozemac (Olm/Megolm) behind a narrow FFI (server-side protobuf wire format only)</w:t>
            </w:r>
          </w:p>
        </w:tc>
        <w:tc>
          <w:tcPr>
            <w:tcW w:type="dxa" w:w="45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Decade-hardened protocol. Forward secrecy via double ratchet; post-compromise security via sender-key reset on membership change.</w:t>
            </w:r>
          </w:p>
        </w:tc>
      </w:tr>
      <w:tr>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Database</w:t>
            </w:r>
          </w:p>
        </w:tc>
        <w:tc>
          <w:tcPr>
            <w:tcW w:type="dxa" w:w="3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PostgreSQL 16 with row-level encryption for metadata; ciphertext stored as bytea.</w:t>
            </w:r>
          </w:p>
        </w:tc>
        <w:tc>
          <w:tcPr>
            <w:tcW w:type="dxa" w:w="45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Boring, auditable, mature. No schema features we do not need.</w:t>
            </w:r>
          </w:p>
        </w:tc>
      </w:tr>
      <w:tr>
        <w:tc>
          <w:tcPr>
            <w:tcW w:type="dxa" w:w="1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Queue / scheduler</w:t>
            </w:r>
          </w:p>
        </w:tc>
        <w:tc>
          <w:tcPr>
            <w:tcW w:type="dxa" w:w="3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Temporal (or simple cron + Postgres locks)</w:t>
            </w:r>
          </w:p>
        </w:tc>
        <w:tc>
          <w:tcPr>
            <w:tcW w:type="dxa" w:w="45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deletion pipeline is a workflow, not a cron job. Temporal gives retries and durable history of deletion-job outcomes.</w:t>
            </w:r>
          </w:p>
        </w:tc>
      </w:tr>
      <w:tr>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Object store</w:t>
            </w:r>
          </w:p>
        </w:tc>
        <w:tc>
          <w:tcPr>
            <w:tcW w:type="dxa" w:w="3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S3-compatible (AWS S3 or Cloudflare R2) with 7-day lifecycle rule</w:t>
            </w:r>
          </w:p>
        </w:tc>
        <w:tc>
          <w:tcPr>
            <w:tcW w:type="dxa" w:w="45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Used only for attachments if we add them in Phase 4. Content is encrypted before upload.</w:t>
            </w:r>
          </w:p>
        </w:tc>
      </w:tr>
      <w:tr>
        <w:tc>
          <w:tcPr>
            <w:tcW w:type="dxa" w:w="1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Secrets</w:t>
            </w:r>
          </w:p>
        </w:tc>
        <w:tc>
          <w:tcPr>
            <w:tcW w:type="dxa" w:w="3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AWS KMS + SOPS for repo secrets</w:t>
            </w:r>
          </w:p>
        </w:tc>
        <w:tc>
          <w:tcPr>
            <w:tcW w:type="dxa" w:w="45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Hardware-backed roots. Nothing in plain config files.</w:t>
            </w:r>
          </w:p>
        </w:tc>
      </w:tr>
      <w:tr>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Observability</w:t>
            </w:r>
          </w:p>
        </w:tc>
        <w:tc>
          <w:tcPr>
            <w:tcW w:type="dxa" w:w="3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OpenTelemetry → Grafana Cloud; logs via Loki; alerting via Grafana OnCall</w:t>
            </w:r>
          </w:p>
        </w:tc>
        <w:tc>
          <w:tcPr>
            <w:tcW w:type="dxa" w:w="45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Metrics and traces only. No body payload logging. PII scrubbing is a pre-commit and a runtime check.</w:t>
            </w:r>
          </w:p>
        </w:tc>
      </w:tr>
    </w:tbl>
    <w:p>
      <w:pPr>
        <w:pStyle w:val="Heading2"/>
        <w:spacing w:after="140" w:before="280"/>
      </w:pPr>
      <w:r>
        <w:rPr>
          <w:rFonts w:ascii="Calibri" w:cs="Calibri" w:eastAsia="Calibri" w:hAnsi="Calibri"/>
          <w:b/>
          <w:bCs/>
          <w:color w:val="2E4057"/>
          <w:sz w:val="28"/>
          <w:szCs w:val="28"/>
        </w:rPr>
        <w:t xml:space="preserve">4.3  Hardware / firmware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Concern</w:t>
            </w:r>
          </w:p>
        </w:tc>
        <w:tc>
          <w:tcPr>
            <w:tcW w:type="dxa" w:w="30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Recommendation</w:t>
            </w:r>
          </w:p>
        </w:tc>
        <w:tc>
          <w:tcPr>
            <w:tcW w:type="dxa" w:w="456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Rationale</w:t>
            </w:r>
          </w:p>
        </w:tc>
      </w:tr>
      <w:tr>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SoC (both tiers)</w:t>
            </w:r>
          </w:p>
        </w:tc>
        <w:tc>
          <w:tcPr>
            <w:tcW w:type="dxa" w:w="3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Nordic nRF52840 (BLE 5, secure element optional via nRF5340)</w:t>
            </w:r>
          </w:p>
        </w:tc>
        <w:tc>
          <w:tcPr>
            <w:tcW w:type="dxa" w:w="45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Proven in consumer wearables, excellent BLE stack, good crypto peripherals. Same SoC across tiers keeps the firmware single-codebase.</w:t>
            </w:r>
          </w:p>
        </w:tc>
      </w:tr>
      <w:tr>
        <w:tc>
          <w:tcPr>
            <w:tcW w:type="dxa" w:w="1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OS</w:t>
            </w:r>
          </w:p>
        </w:tc>
        <w:tc>
          <w:tcPr>
            <w:tcW w:type="dxa" w:w="3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Zephyr RTOS</w:t>
            </w:r>
          </w:p>
        </w:tc>
        <w:tc>
          <w:tcPr>
            <w:tcW w:type="dxa" w:w="45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Open source, Nordic first-class support, strong community.</w:t>
            </w:r>
          </w:p>
        </w:tc>
      </w:tr>
      <w:tr>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Key storage</w:t>
            </w:r>
          </w:p>
        </w:tc>
        <w:tc>
          <w:tcPr>
            <w:tcW w:type="dxa" w:w="3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nRF5340 CryptoCell + PSA Crypto API</w:t>
            </w:r>
          </w:p>
        </w:tc>
        <w:tc>
          <w:tcPr>
            <w:tcW w:type="dxa" w:w="45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Hardware-isolated key storage; required for the attestation story. Present in both tiers.</w:t>
            </w:r>
          </w:p>
        </w:tc>
      </w:tr>
      <w:tr>
        <w:tc>
          <w:tcPr>
            <w:tcW w:type="dxa" w:w="1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Premium device input / glow</w:t>
            </w:r>
          </w:p>
        </w:tc>
        <w:tc>
          <w:tcPr>
            <w:tcW w:type="dxa" w:w="3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Capacitive touch ring + addressable LED ring (RGB) behind diffused acrylic.</w:t>
            </w:r>
          </w:p>
        </w:tc>
        <w:tc>
          <w:tcPr>
            <w:tcW w:type="dxa" w:w="45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Full gestural combination and colour-coded glow events. Target retail: £80–120.</w:t>
            </w:r>
          </w:p>
        </w:tc>
      </w:tr>
      <w:tr>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Simple device input / glow</w:t>
            </w:r>
          </w:p>
        </w:tc>
        <w:tc>
          <w:tcPr>
            <w:tcW w:type="dxa" w:w="3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Single hardware button + single-colour LED in a plain plastic enclosure.</w:t>
            </w:r>
          </w:p>
        </w:tc>
        <w:tc>
          <w:tcPr>
            <w:tcW w:type="dxa" w:w="45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Same crypto, simpler UX: combination is a press-pattern. Glow is amber-only. Target retail: £15–25.</w:t>
            </w:r>
          </w:p>
        </w:tc>
      </w:tr>
      <w:tr>
        <w:tc>
          <w:tcPr>
            <w:tcW w:type="dxa" w:w="1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Virtual device (software fallback)</w:t>
            </w:r>
          </w:p>
        </w:tc>
        <w:tc>
          <w:tcPr>
            <w:tcW w:type="dxa" w:w="3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In-app ‘device mode’ on phone</w:t>
            </w:r>
          </w:p>
        </w:tc>
        <w:tc>
          <w:tcPr>
            <w:tcW w:type="dxa" w:w="45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Zero-cost path. Reduced-security; clearly labelled. No user is excluded from Moatly for inability to afford hardware.</w:t>
            </w:r>
          </w:p>
        </w:tc>
      </w:tr>
      <w:tr>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Charging</w:t>
            </w:r>
          </w:p>
        </w:tc>
        <w:tc>
          <w:tcPr>
            <w:tcW w:type="dxa" w:w="3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USB-C; optional Qi wireless in v2</w:t>
            </w:r>
          </w:p>
        </w:tc>
        <w:tc>
          <w:tcPr>
            <w:tcW w:type="dxa" w:w="45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USB-C for v1 simplicity.</w:t>
            </w:r>
          </w:p>
        </w:tc>
      </w:tr>
      <w:tr>
        <w:tc>
          <w:tcPr>
            <w:tcW w:type="dxa" w:w="1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Firmware updates</w:t>
            </w:r>
          </w:p>
        </w:tc>
        <w:tc>
          <w:tcPr>
            <w:tcW w:type="dxa" w:w="3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Signed, over-BLE, via the app</w:t>
            </w:r>
          </w:p>
        </w:tc>
        <w:tc>
          <w:tcPr>
            <w:tcW w:type="dxa" w:w="45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Standard nRF DFU flow. Signing keys held offline. Single firmware image serves both hardware tiers via runtime capability detection.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2"/>
              <w:left w:val="single" w:color="2E4057" w:sz="12"/>
              <w:bottom w:val="single" w:color="2E4057" w:sz="4"/>
              <w:right w:val="single" w:color="2E4057" w:sz="4"/>
            </w:tcBorders>
            <w:shd w:fill="F4E9DC" w:color="auto" w:val="clear"/>
            <w:tcMar>
              <w:top w:type="dxa" w:w="180"/>
              <w:left w:type="dxa" w:w="240"/>
              <w:bottom w:type="dxa" w:w="180"/>
              <w:right w:type="dxa" w:w="240"/>
            </w:tcMar>
          </w:tcPr>
          <w:p>
            <w:pPr>
              <w:spacing w:after="80" w:before="0"/>
            </w:pPr>
            <w:r>
              <w:rPr>
                <w:rFonts w:ascii="Calibri" w:cs="Calibri" w:eastAsia="Calibri" w:hAnsi="Calibri"/>
                <w:b/>
                <w:bCs/>
                <w:color w:val="2E4057"/>
                <w:sz w:val="22"/>
                <w:szCs w:val="22"/>
              </w:rPr>
              <w:t xml:space="preserve">Why three tiers</w:t>
            </w:r>
          </w:p>
          <w:p>
            <w:pPr>
              <w:spacing w:after="60" w:before="0" w:line="280"/>
            </w:pPr>
            <w:r>
              <w:rPr>
                <w:rFonts w:ascii="Calibri" w:cs="Calibri" w:eastAsia="Calibri" w:hAnsi="Calibri"/>
                <w:color w:val="1A1A1A"/>
                <w:sz w:val="22"/>
                <w:szCs w:val="22"/>
              </w:rPr>
              <w:t xml:space="preserve">A device-only auth scheme solves for privacy but creates an access problem: users who cannot afford the object are excluded. The three-tier approach preserves the cryptographic story at every level while refusing to make wealth a gate. Any user may qualify for the Simple Device via a self-declared concession path (no verification, no proof-of-income pantomime). The Virtual Device is always available.</w:t>
            </w:r>
          </w:p>
          <w:p>
            <w:pPr>
              <w:spacing w:after="60" w:before="0" w:line="280"/>
            </w:pPr>
            <w:r>
              <w:rPr>
                <w:rFonts w:ascii="Calibri" w:cs="Calibri" w:eastAsia="Calibri" w:hAnsi="Calibri"/>
                <w:color w:val="1A1A1A"/>
                <w:sz w:val="22"/>
                <w:szCs w:val="22"/>
              </w:rPr>
              <w:t xml:space="preserve">This is explicitly modelled on how schools handle access cards: the card is the norm, but no child is sent home for not having 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2"/>
              <w:left w:val="single" w:color="2E4057" w:sz="12"/>
              <w:bottom w:val="single" w:color="2E4057" w:sz="4"/>
              <w:right w:val="single" w:color="2E4057" w:sz="4"/>
            </w:tcBorders>
            <w:shd w:fill="F4E9DC" w:color="auto" w:val="clear"/>
            <w:tcMar>
              <w:top w:type="dxa" w:w="180"/>
              <w:left w:type="dxa" w:w="240"/>
              <w:bottom w:type="dxa" w:w="180"/>
              <w:right w:type="dxa" w:w="240"/>
            </w:tcMar>
          </w:tcPr>
          <w:p>
            <w:pPr>
              <w:spacing w:after="80" w:before="0"/>
            </w:pPr>
            <w:r>
              <w:rPr>
                <w:rFonts w:ascii="Calibri" w:cs="Calibri" w:eastAsia="Calibri" w:hAnsi="Calibri"/>
                <w:b/>
                <w:bCs/>
                <w:color w:val="2E4057"/>
                <w:sz w:val="22"/>
                <w:szCs w:val="22"/>
              </w:rPr>
              <w:t xml:space="preserve">Hardware caveat</w:t>
            </w:r>
          </w:p>
          <w:p>
            <w:pPr>
              <w:spacing w:after="60" w:before="0" w:line="280"/>
            </w:pPr>
            <w:r>
              <w:rPr>
                <w:rFonts w:ascii="Calibri" w:cs="Calibri" w:eastAsia="Calibri" w:hAnsi="Calibri"/>
                <w:color w:val="1A1A1A"/>
                <w:sz w:val="22"/>
                <w:szCs w:val="22"/>
              </w:rPr>
              <w:t xml:space="preserve">Building two hardware tiers is more work than one, but the marginal cost is modest because they share an SoC, firmware image, and pairing flow. What cannot be compressed is hardware lead time: firmware and industrial design must begin in month 2 regardless of tier count. If runway does not support shipping hardware at launch, Phase 3 launches with the Virtual Device only; physical tiers ship post-launch without invalidating the architecture.</w:t>
            </w:r>
          </w:p>
        </w:tc>
      </w:tr>
    </w:tbl>
    <w:p>
      <w:pPr>
        <w:pStyle w:val="Heading2"/>
        <w:spacing w:after="140" w:before="280"/>
      </w:pPr>
      <w:r>
        <w:rPr>
          <w:rFonts w:ascii="Calibri" w:cs="Calibri" w:eastAsia="Calibri" w:hAnsi="Calibri"/>
          <w:b/>
          <w:bCs/>
          <w:color w:val="2E4057"/>
          <w:sz w:val="28"/>
          <w:szCs w:val="28"/>
        </w:rPr>
        <w:t xml:space="preserve">4.4  Third-party services — the minimal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660"/>
      </w:tblGrid>
      <w:tr>
        <w:trPr>
          <w:tblHeader/>
        </w:trPr>
        <w:tc>
          <w:tcPr>
            <w:tcW w:type="dxa" w:w="18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Service</w:t>
            </w:r>
          </w:p>
        </w:tc>
        <w:tc>
          <w:tcPr>
            <w:tcW w:type="dxa" w:w="39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Purpose</w:t>
            </w:r>
          </w:p>
        </w:tc>
        <w:tc>
          <w:tcPr>
            <w:tcW w:type="dxa" w:w="366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Data exposure</w:t>
            </w:r>
          </w:p>
        </w:tc>
      </w:tr>
      <w:tr>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Postmark (or SES)</w:t>
            </w:r>
          </w:p>
        </w:tc>
        <w:tc>
          <w:tcPr>
            <w:tcW w:type="dxa" w:w="39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Transactional email for ritual prescriptions.</w:t>
            </w:r>
          </w:p>
        </w:tc>
        <w:tc>
          <w:tcPr>
            <w:tcW w:type="dxa" w:w="36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Prescription text + email address. Never Moat content.</w:t>
            </w:r>
          </w:p>
        </w:tc>
      </w:tr>
      <w:tr>
        <w:tc>
          <w:tcPr>
            <w:tcW w:type="dxa" w:w="1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AWS (EU regions)</w:t>
            </w:r>
          </w:p>
        </w:tc>
        <w:tc>
          <w:tcPr>
            <w:tcW w:type="dxa" w:w="39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Compute, database, object storage, KMS.</w:t>
            </w:r>
          </w:p>
        </w:tc>
        <w:tc>
          <w:tcPr>
            <w:tcW w:type="dxa" w:w="36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Ciphertext and metadata only.</w:t>
            </w:r>
          </w:p>
        </w:tc>
      </w:tr>
      <w:tr>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APNs &amp; FCM</w:t>
            </w:r>
          </w:p>
        </w:tc>
        <w:tc>
          <w:tcPr>
            <w:tcW w:type="dxa" w:w="39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Wake-up pings to the device and app. Payload is always empty.</w:t>
            </w:r>
          </w:p>
        </w:tc>
        <w:tc>
          <w:tcPr>
            <w:tcW w:type="dxa" w:w="36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Only a device token and a silent ping.</w:t>
            </w:r>
          </w:p>
        </w:tc>
      </w:tr>
      <w:tr>
        <w:tc>
          <w:tcPr>
            <w:tcW w:type="dxa" w:w="1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Stripe (Phase 4+)</w:t>
            </w:r>
          </w:p>
        </w:tc>
        <w:tc>
          <w:tcPr>
            <w:tcW w:type="dxa" w:w="39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Optional future subscription handling.</w:t>
            </w:r>
          </w:p>
        </w:tc>
        <w:tc>
          <w:tcPr>
            <w:tcW w:type="dxa" w:w="36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Billing data only; scoped to a separate billing service.</w:t>
            </w:r>
          </w:p>
        </w:tc>
      </w:tr>
      <w:tr>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GitHub</w:t>
            </w:r>
          </w:p>
        </w:tc>
        <w:tc>
          <w:tcPr>
            <w:tcW w:type="dxa" w:w="39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Source hosting.</w:t>
            </w:r>
          </w:p>
        </w:tc>
        <w:tc>
          <w:tcPr>
            <w:tcW w:type="dxa" w:w="36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Code only. No secrets in repo.</w:t>
            </w:r>
          </w:p>
        </w:tc>
      </w:tr>
    </w:tbl>
    <w:p>
      <w:pPr>
        <w:spacing w:after="120" w:before="60" w:line="300"/>
      </w:pPr>
      <w:r>
        <w:rPr>
          <w:rFonts w:ascii="Calibri" w:cs="Calibri" w:eastAsia="Calibri" w:hAnsi="Calibri"/>
          <w:b w:val="false"/>
          <w:bCs w:val="false"/>
          <w:i w:val="false"/>
          <w:iCs w:val="false"/>
          <w:color w:val="1A1A1A"/>
          <w:sz w:val="22"/>
          <w:szCs w:val="22"/>
        </w:rPr>
        <w:t xml:space="preserve">That is the complete list. No Google Analytics. No Mixpanel. No Sentry body payloads. No HubSpot. No Segment. No growth-marketing pixel. Adding a service to this list requires a documented ADR and review against the non-negotiable principles.</w:t>
      </w:r>
    </w:p>
    <w:p>
      <w:r>
        <w:br w:type="page"/>
      </w:r>
    </w:p>
    <w:p>
      <w:pPr>
        <w:pStyle w:val="Heading1"/>
        <w:spacing w:after="180" w:before="360"/>
      </w:pPr>
      <w:r>
        <w:rPr>
          <w:rFonts w:ascii="Calibri" w:cs="Calibri" w:eastAsia="Calibri" w:hAnsi="Calibri"/>
          <w:b/>
          <w:bCs/>
          <w:color w:val="2E4057"/>
          <w:sz w:val="36"/>
          <w:szCs w:val="36"/>
        </w:rPr>
        <w:t xml:space="preserve">5.  Component specifications</w:t>
      </w:r>
    </w:p>
    <w:p>
      <w:pPr>
        <w:spacing w:after="120" w:before="60" w:line="300"/>
      </w:pPr>
      <w:r>
        <w:rPr>
          <w:rFonts w:ascii="Calibri" w:cs="Calibri" w:eastAsia="Calibri" w:hAnsi="Calibri"/>
          <w:b w:val="false"/>
          <w:bCs w:val="false"/>
          <w:i w:val="false"/>
          <w:iCs w:val="false"/>
          <w:color w:val="1A1A1A"/>
          <w:sz w:val="22"/>
          <w:szCs w:val="22"/>
        </w:rPr>
        <w:t xml:space="preserve">Each component below is scoped tightly. The intent is that a single engineer or pairing can own a component end-to-end, from schema to UI to deployment.</w:t>
      </w:r>
    </w:p>
    <w:p>
      <w:pPr>
        <w:pStyle w:val="Heading2"/>
        <w:spacing w:after="140" w:before="280"/>
      </w:pPr>
      <w:r>
        <w:rPr>
          <w:rFonts w:ascii="Calibri" w:cs="Calibri" w:eastAsia="Calibri" w:hAnsi="Calibri"/>
          <w:b/>
          <w:bCs/>
          <w:color w:val="2E4057"/>
          <w:sz w:val="28"/>
          <w:szCs w:val="28"/>
        </w:rPr>
        <w:t xml:space="preserve">5.1  Onboarding and the Covenant</w:t>
      </w:r>
    </w:p>
    <w:p>
      <w:pPr>
        <w:spacing w:after="120" w:before="60" w:line="300"/>
      </w:pPr>
      <w:r>
        <w:rPr>
          <w:rFonts w:ascii="Calibri" w:cs="Calibri" w:eastAsia="Calibri" w:hAnsi="Calibri"/>
          <w:b w:val="false"/>
          <w:bCs w:val="false"/>
          <w:i w:val="false"/>
          <w:iCs w:val="false"/>
          <w:color w:val="1A1A1A"/>
          <w:sz w:val="22"/>
          <w:szCs w:val="22"/>
        </w:rPr>
        <w:t xml:space="preserve">Onboarding is not a sign-up flow. It is a rite. The quality of what happens inside a Moat later depends on how deliberately a user entered it.</w:t>
      </w:r>
    </w:p>
    <w:p>
      <w:pPr>
        <w:pStyle w:val="Heading3"/>
        <w:spacing w:after="100" w:before="220"/>
      </w:pPr>
      <w:r>
        <w:rPr>
          <w:rFonts w:ascii="Calibri" w:cs="Calibri" w:eastAsia="Calibri" w:hAnsi="Calibri"/>
          <w:b/>
          <w:bCs/>
          <w:color w:val="1A1A1A"/>
          <w:sz w:val="24"/>
          <w:szCs w:val="24"/>
        </w:rPr>
        <w:t xml:space="preserve">5.1.1  Screen sequence</w:t>
      </w:r>
    </w:p>
    <w:p>
      <w:pPr>
        <w:pStyle w:val="ListParagraph"/>
        <w:numPr>
          <w:ilvl w:val="0"/>
          <w:numId w:val="3"/>
        </w:numPr>
        <w:spacing w:after="60" w:before="30" w:line="280"/>
      </w:pPr>
      <w:r>
        <w:rPr>
          <w:rFonts w:ascii="Calibri" w:cs="Calibri" w:eastAsia="Calibri" w:hAnsi="Calibri"/>
          <w:color w:val="1A1A1A"/>
          <w:sz w:val="22"/>
          <w:szCs w:val="22"/>
        </w:rPr>
        <w:t xml:space="preserve">Threshold — a quiet screen with the single word ‘Moatly’. Tap to continue. No branding carousel.</w:t>
      </w:r>
    </w:p>
    <w:p>
      <w:pPr>
        <w:pStyle w:val="ListParagraph"/>
        <w:numPr>
          <w:ilvl w:val="0"/>
          <w:numId w:val="3"/>
        </w:numPr>
        <w:spacing w:after="60" w:before="30" w:line="280"/>
      </w:pPr>
      <w:r>
        <w:rPr>
          <w:rFonts w:ascii="Calibri" w:cs="Calibri" w:eastAsia="Calibri" w:hAnsi="Calibri"/>
          <w:color w:val="1A1A1A"/>
          <w:sz w:val="22"/>
          <w:szCs w:val="22"/>
        </w:rPr>
        <w:t xml:space="preserve">Declaration — a scrollable, fully readable version of the Declaration of Inner Rights (the seven rights). Scroll-to-continue is required; no skip. Logged locally as ‘declaration_read_at’.</w:t>
      </w:r>
    </w:p>
    <w:p>
      <w:pPr>
        <w:pStyle w:val="ListParagraph"/>
        <w:numPr>
          <w:ilvl w:val="0"/>
          <w:numId w:val="3"/>
        </w:numPr>
        <w:spacing w:after="60" w:before="30" w:line="280"/>
      </w:pPr>
      <w:r>
        <w:rPr>
          <w:rFonts w:ascii="Calibri" w:cs="Calibri" w:eastAsia="Calibri" w:hAnsi="Calibri"/>
          <w:color w:val="1A1A1A"/>
          <w:sz w:val="22"/>
          <w:szCs w:val="22"/>
        </w:rPr>
        <w:t xml:space="preserve">Covenant — three clauses, each accepted individually with a deliberate tap-and-hold (1.5s). The clauses are:</w:t>
      </w:r>
    </w:p>
    <w:p>
      <w:pPr>
        <w:pStyle w:val="ListParagraph"/>
        <w:numPr>
          <w:ilvl w:val="1"/>
          <w:numId w:val="2"/>
        </w:numPr>
        <w:spacing w:after="60" w:before="30" w:line="280"/>
      </w:pPr>
      <w:r>
        <w:rPr>
          <w:rFonts w:ascii="Calibri" w:cs="Calibri" w:eastAsia="Calibri" w:hAnsi="Calibri"/>
          <w:color w:val="1A1A1A"/>
          <w:sz w:val="22"/>
          <w:szCs w:val="22"/>
        </w:rPr>
        <w:t xml:space="preserve">Speak from the I.</w:t>
      </w:r>
    </w:p>
    <w:p>
      <w:pPr>
        <w:pStyle w:val="ListParagraph"/>
        <w:numPr>
          <w:ilvl w:val="1"/>
          <w:numId w:val="2"/>
        </w:numPr>
        <w:spacing w:after="60" w:before="30" w:line="280"/>
      </w:pPr>
      <w:r>
        <w:rPr>
          <w:rFonts w:ascii="Calibri" w:cs="Calibri" w:eastAsia="Calibri" w:hAnsi="Calibri"/>
          <w:color w:val="1A1A1A"/>
          <w:sz w:val="22"/>
          <w:szCs w:val="22"/>
        </w:rPr>
        <w:t xml:space="preserve">Witness without agenda.</w:t>
      </w:r>
    </w:p>
    <w:p>
      <w:pPr>
        <w:pStyle w:val="ListParagraph"/>
        <w:numPr>
          <w:ilvl w:val="1"/>
          <w:numId w:val="2"/>
        </w:numPr>
        <w:spacing w:after="60" w:before="30" w:line="280"/>
      </w:pPr>
      <w:r>
        <w:rPr>
          <w:rFonts w:ascii="Calibri" w:cs="Calibri" w:eastAsia="Calibri" w:hAnsi="Calibri"/>
          <w:color w:val="1A1A1A"/>
          <w:sz w:val="22"/>
          <w:szCs w:val="22"/>
        </w:rPr>
        <w:t xml:space="preserve">Keep what is said here inside.</w:t>
      </w:r>
    </w:p>
    <w:p>
      <w:pPr>
        <w:pStyle w:val="ListParagraph"/>
        <w:numPr>
          <w:ilvl w:val="0"/>
          <w:numId w:val="3"/>
        </w:numPr>
        <w:spacing w:after="60" w:before="30" w:line="280"/>
      </w:pPr>
      <w:r>
        <w:rPr>
          <w:rFonts w:ascii="Calibri" w:cs="Calibri" w:eastAsia="Calibri" w:hAnsi="Calibri"/>
          <w:color w:val="1A1A1A"/>
          <w:sz w:val="22"/>
          <w:szCs w:val="22"/>
        </w:rPr>
        <w:t xml:space="preserve">Device pairing — if a device is in the box, pair it now (section 5.5). If no device, generate a software device (virtual).</w:t>
      </w:r>
    </w:p>
    <w:p>
      <w:pPr>
        <w:pStyle w:val="ListParagraph"/>
        <w:numPr>
          <w:ilvl w:val="0"/>
          <w:numId w:val="3"/>
        </w:numPr>
        <w:spacing w:after="60" w:before="30" w:line="280"/>
      </w:pPr>
      <w:r>
        <w:rPr>
          <w:rFonts w:ascii="Calibri" w:cs="Calibri" w:eastAsia="Calibri" w:hAnsi="Calibri"/>
          <w:color w:val="1A1A1A"/>
          <w:sz w:val="22"/>
          <w:szCs w:val="22"/>
        </w:rPr>
        <w:t xml:space="preserve">Seed phrase — 24 words generated on-device (BIP-39). User writes them by hand in the paper journal. App confirms with 3 randomised word prompts. Seed phrase never leaves the device in plaintext.</w:t>
      </w:r>
    </w:p>
    <w:p>
      <w:pPr>
        <w:pStyle w:val="ListParagraph"/>
        <w:numPr>
          <w:ilvl w:val="0"/>
          <w:numId w:val="3"/>
        </w:numPr>
        <w:spacing w:after="60" w:before="30" w:line="280"/>
      </w:pPr>
      <w:r>
        <w:rPr>
          <w:rFonts w:ascii="Calibri" w:cs="Calibri" w:eastAsia="Calibri" w:hAnsi="Calibri"/>
          <w:color w:val="1A1A1A"/>
          <w:sz w:val="22"/>
          <w:szCs w:val="22"/>
        </w:rPr>
        <w:t xml:space="preserve">The Two Questions — section 5.2.</w:t>
      </w:r>
    </w:p>
    <w:p>
      <w:pPr>
        <w:pStyle w:val="ListParagraph"/>
        <w:numPr>
          <w:ilvl w:val="0"/>
          <w:numId w:val="3"/>
        </w:numPr>
        <w:spacing w:after="60" w:before="30" w:line="280"/>
      </w:pPr>
      <w:r>
        <w:rPr>
          <w:rFonts w:ascii="Calibri" w:cs="Calibri" w:eastAsia="Calibri" w:hAnsi="Calibri"/>
          <w:color w:val="1A1A1A"/>
          <w:sz w:val="22"/>
          <w:szCs w:val="22"/>
        </w:rPr>
        <w:t xml:space="preserve">Moat placement — the user is placed into a forming Moat (next cohort) OR an existing Moat with an open seat. Section 5.4.</w:t>
      </w:r>
    </w:p>
    <w:p>
      <w:pPr>
        <w:pStyle w:val="Heading3"/>
        <w:spacing w:after="100" w:before="220"/>
      </w:pPr>
      <w:r>
        <w:rPr>
          <w:rFonts w:ascii="Calibri" w:cs="Calibri" w:eastAsia="Calibri" w:hAnsi="Calibri"/>
          <w:b/>
          <w:bCs/>
          <w:color w:val="1A1A1A"/>
          <w:sz w:val="24"/>
          <w:szCs w:val="24"/>
        </w:rPr>
        <w:t xml:space="preserve">5.1.2  Acceptance criteria</w:t>
      </w:r>
    </w:p>
    <w:p>
      <w:pPr>
        <w:pStyle w:val="ListParagraph"/>
        <w:numPr>
          <w:ilvl w:val="0"/>
          <w:numId w:val="2"/>
        </w:numPr>
        <w:spacing w:after="60" w:before="30" w:line="280"/>
      </w:pPr>
      <w:r>
        <w:rPr>
          <w:rFonts w:ascii="Calibri" w:cs="Calibri" w:eastAsia="Calibri" w:hAnsi="Calibri"/>
          <w:color w:val="1A1A1A"/>
          <w:sz w:val="22"/>
          <w:szCs w:val="22"/>
        </w:rPr>
        <w:t xml:space="preserve">User cannot enter a Moat without completing steps 1–7 in order.</w:t>
      </w:r>
    </w:p>
    <w:p>
      <w:pPr>
        <w:pStyle w:val="ListParagraph"/>
        <w:numPr>
          <w:ilvl w:val="0"/>
          <w:numId w:val="2"/>
        </w:numPr>
        <w:spacing w:after="60" w:before="30" w:line="280"/>
      </w:pPr>
      <w:r>
        <w:rPr>
          <w:rFonts w:ascii="Calibri" w:cs="Calibri" w:eastAsia="Calibri" w:hAnsi="Calibri"/>
          <w:color w:val="1A1A1A"/>
          <w:sz w:val="22"/>
          <w:szCs w:val="22"/>
        </w:rPr>
        <w:t xml:space="preserve">Covenant acceptance is recorded with a hash of the exact covenant text at the time of acceptance. If the covenant text ever changes, users are re-prompted.</w:t>
      </w:r>
    </w:p>
    <w:p>
      <w:pPr>
        <w:pStyle w:val="ListParagraph"/>
        <w:numPr>
          <w:ilvl w:val="0"/>
          <w:numId w:val="2"/>
        </w:numPr>
        <w:spacing w:after="60" w:before="30" w:line="280"/>
      </w:pPr>
      <w:r>
        <w:rPr>
          <w:rFonts w:ascii="Calibri" w:cs="Calibri" w:eastAsia="Calibri" w:hAnsi="Calibri"/>
          <w:color w:val="1A1A1A"/>
          <w:sz w:val="22"/>
          <w:szCs w:val="22"/>
        </w:rPr>
        <w:t xml:space="preserve">Seed phrase is never transmitted to the server. The server stores only a salted hash of a derived verification value.</w:t>
      </w:r>
    </w:p>
    <w:p>
      <w:pPr>
        <w:pStyle w:val="Heading2"/>
        <w:spacing w:after="140" w:before="280"/>
      </w:pPr>
      <w:r>
        <w:rPr>
          <w:rFonts w:ascii="Calibri" w:cs="Calibri" w:eastAsia="Calibri" w:hAnsi="Calibri"/>
          <w:b/>
          <w:bCs/>
          <w:color w:val="2E4057"/>
          <w:sz w:val="28"/>
          <w:szCs w:val="28"/>
        </w:rPr>
        <w:t xml:space="preserve">5.2  The Two Questions</w:t>
      </w:r>
    </w:p>
    <w:p>
      <w:pPr>
        <w:spacing w:after="120" w:before="60" w:line="300"/>
      </w:pPr>
      <w:r>
        <w:rPr>
          <w:rFonts w:ascii="Calibri" w:cs="Calibri" w:eastAsia="Calibri" w:hAnsi="Calibri"/>
          <w:b w:val="false"/>
          <w:bCs w:val="false"/>
          <w:i w:val="false"/>
          <w:iCs w:val="false"/>
          <w:color w:val="1A1A1A"/>
          <w:sz w:val="22"/>
          <w:szCs w:val="22"/>
        </w:rPr>
        <w:t xml:space="preserve">The Two Questions are the user’s private compass. They are asked once at onboarding and re-asked at the start of each cycle (with the option to ‘keep same answer’). They appear next to the user’s pseudonym inside the Moat as two lines — no more.</w:t>
      </w:r>
    </w:p>
    <w:p>
      <w:pPr>
        <w:pStyle w:val="Heading3"/>
        <w:spacing w:after="100" w:before="220"/>
      </w:pPr>
      <w:r>
        <w:rPr>
          <w:rFonts w:ascii="Calibri" w:cs="Calibri" w:eastAsia="Calibri" w:hAnsi="Calibri"/>
          <w:b/>
          <w:bCs/>
          <w:color w:val="1A1A1A"/>
          <w:sz w:val="24"/>
          <w:szCs w:val="24"/>
        </w:rPr>
        <w:t xml:space="preserve">5.2.1  Data model</w:t>
      </w:r>
    </w:p>
    <w:p>
      <w:pPr>
        <w:shd w:fill="F2F2F2" w:color="auto" w:val="clear"/>
        <w:spacing w:after="120" w:before="120" w:line="260"/>
        <w:ind w:left="180" w:right="180"/>
      </w:pPr>
      <w:r>
        <w:rPr>
          <w:rFonts w:ascii="Consolas" w:cs="Consolas" w:eastAsia="Consolas" w:hAnsi="Consolas"/>
          <w:color w:val="1A1A1A"/>
          <w:sz w:val="20"/>
          <w:szCs w:val="20"/>
        </w:rPr>
        <w:t xml:space="preserve">-- Stored only on-device in SQLCipher.</w:t>
      </w:r>
      <w:r>
        <w:br/>
      </w:r>
      <w:r>
        <w:rPr>
          <w:rFonts w:ascii="Consolas" w:cs="Consolas" w:eastAsia="Consolas" w:hAnsi="Consolas"/>
          <w:color w:val="1A1A1A"/>
          <w:sz w:val="20"/>
          <w:szCs w:val="20"/>
        </w:rPr>
        <w:t xml:space="preserve">-- A derived, encrypted projection goes to the Moat as part of the</w:t>
      </w:r>
      <w:r>
        <w:br/>
      </w:r>
      <w:r>
        <w:rPr>
          <w:rFonts w:ascii="Consolas" w:cs="Consolas" w:eastAsia="Consolas" w:hAnsi="Consolas"/>
          <w:color w:val="1A1A1A"/>
          <w:sz w:val="20"/>
          <w:szCs w:val="20"/>
        </w:rPr>
        <w:t xml:space="preserve">-- Olm pre-key handoff; the server sees ciphertext only.</w:t>
      </w:r>
      <w:r>
        <w:br/>
      </w:r>
      <w:r>
        <w:rPr>
          <w:rFonts w:ascii="Consolas" w:cs="Consolas" w:eastAsia="Consolas" w:hAnsi="Consolas"/>
          <w:color w:val="1A1A1A"/>
          <w:sz w:val="20"/>
          <w:szCs w:val="20"/>
        </w:rPr>
        <w:t xml:space="preserve"/>
      </w:r>
      <w:r>
        <w:br/>
      </w:r>
      <w:r>
        <w:rPr>
          <w:rFonts w:ascii="Consolas" w:cs="Consolas" w:eastAsia="Consolas" w:hAnsi="Consolas"/>
          <w:color w:val="1A1A1A"/>
          <w:sz w:val="20"/>
          <w:szCs w:val="20"/>
        </w:rPr>
        <w:t xml:space="preserve">CREATE TABLE user_compass (</w:t>
      </w:r>
      <w:r>
        <w:br/>
      </w:r>
      <w:r>
        <w:rPr>
          <w:rFonts w:ascii="Consolas" w:cs="Consolas" w:eastAsia="Consolas" w:hAnsi="Consolas"/>
          <w:color w:val="1A1A1A"/>
          <w:sz w:val="20"/>
          <w:szCs w:val="20"/>
        </w:rPr>
        <w:t xml:space="preserve">  id             INTEGER PRIMARY KEY,</w:t>
      </w:r>
      <w:r>
        <w:br/>
      </w:r>
      <w:r>
        <w:rPr>
          <w:rFonts w:ascii="Consolas" w:cs="Consolas" w:eastAsia="Consolas" w:hAnsi="Consolas"/>
          <w:color w:val="1A1A1A"/>
          <w:sz w:val="20"/>
          <w:szCs w:val="20"/>
        </w:rPr>
        <w:t xml:space="preserve">  cycle_number   INTEGER NOT NULL,      -- which 7-day cycle this answer belongs to</w:t>
      </w:r>
      <w:r>
        <w:br/>
      </w:r>
      <w:r>
        <w:rPr>
          <w:rFonts w:ascii="Consolas" w:cs="Consolas" w:eastAsia="Consolas" w:hAnsi="Consolas"/>
          <w:color w:val="1A1A1A"/>
          <w:sz w:val="20"/>
          <w:szCs w:val="20"/>
        </w:rPr>
        <w:t xml:space="preserve">  what_to_fix    TEXT    NOT NULL,      -- Question 1</w:t>
      </w:r>
      <w:r>
        <w:br/>
      </w:r>
      <w:r>
        <w:rPr>
          <w:rFonts w:ascii="Consolas" w:cs="Consolas" w:eastAsia="Consolas" w:hAnsi="Consolas"/>
          <w:color w:val="1A1A1A"/>
          <w:sz w:val="20"/>
          <w:szCs w:val="20"/>
        </w:rPr>
        <w:t xml:space="preserve">  why_for_whom   TEXT    NOT NULL,      -- Question 2</w:t>
      </w:r>
      <w:r>
        <w:br/>
      </w:r>
      <w:r>
        <w:rPr>
          <w:rFonts w:ascii="Consolas" w:cs="Consolas" w:eastAsia="Consolas" w:hAnsi="Consolas"/>
          <w:color w:val="1A1A1A"/>
          <w:sz w:val="20"/>
          <w:szCs w:val="20"/>
        </w:rPr>
        <w:t xml:space="preserve">  created_at     INTEGER NOT NULL,</w:t>
      </w:r>
      <w:r>
        <w:br/>
      </w:r>
      <w:r>
        <w:rPr>
          <w:rFonts w:ascii="Consolas" w:cs="Consolas" w:eastAsia="Consolas" w:hAnsi="Consolas"/>
          <w:color w:val="1A1A1A"/>
          <w:sz w:val="20"/>
          <w:szCs w:val="20"/>
        </w:rPr>
        <w:t xml:space="preserve">  locked_until   INTEGER NOT NULL       -- 24-hour reflection lock</w:t>
      </w:r>
      <w:r>
        <w:br/>
      </w:r>
      <w:r>
        <w:rPr>
          <w:rFonts w:ascii="Consolas" w:cs="Consolas" w:eastAsia="Consolas" w:hAnsi="Consolas"/>
          <w:color w:val="1A1A1A"/>
          <w:sz w:val="20"/>
          <w:szCs w:val="20"/>
        </w:rPr>
        <w:t xml:space="preserve">);</w:t>
      </w:r>
    </w:p>
    <w:p>
      <w:pPr>
        <w:pStyle w:val="Heading3"/>
        <w:spacing w:after="100" w:before="220"/>
      </w:pPr>
      <w:r>
        <w:rPr>
          <w:rFonts w:ascii="Calibri" w:cs="Calibri" w:eastAsia="Calibri" w:hAnsi="Calibri"/>
          <w:b/>
          <w:bCs/>
          <w:color w:val="1A1A1A"/>
          <w:sz w:val="24"/>
          <w:szCs w:val="24"/>
        </w:rPr>
        <w:t xml:space="preserve">5.2.2  Behaviours</w:t>
      </w:r>
    </w:p>
    <w:p>
      <w:pPr>
        <w:pStyle w:val="ListParagraph"/>
        <w:numPr>
          <w:ilvl w:val="0"/>
          <w:numId w:val="2"/>
        </w:numPr>
        <w:spacing w:after="60" w:before="30" w:line="280"/>
      </w:pPr>
      <w:r>
        <w:rPr>
          <w:rFonts w:ascii="Calibri" w:cs="Calibri" w:eastAsia="Calibri" w:hAnsi="Calibri"/>
          <w:color w:val="1A1A1A"/>
          <w:sz w:val="22"/>
          <w:szCs w:val="22"/>
        </w:rPr>
        <w:t xml:space="preserve">On submission, a 24-hour lock is applied before any edit takes effect. This is a deliberate friction.</w:t>
      </w:r>
    </w:p>
    <w:p>
      <w:pPr>
        <w:pStyle w:val="ListParagraph"/>
        <w:numPr>
          <w:ilvl w:val="0"/>
          <w:numId w:val="2"/>
        </w:numPr>
        <w:spacing w:after="60" w:before="30" w:line="280"/>
      </w:pPr>
      <w:r>
        <w:rPr>
          <w:rFonts w:ascii="Calibri" w:cs="Calibri" w:eastAsia="Calibri" w:hAnsi="Calibri"/>
          <w:color w:val="1A1A1A"/>
          <w:sz w:val="22"/>
          <w:szCs w:val="22"/>
        </w:rPr>
        <w:t xml:space="preserve">The two answers display in the Moat next to the user’s pseudonym for the duration of the cycle.</w:t>
      </w:r>
    </w:p>
    <w:p>
      <w:pPr>
        <w:pStyle w:val="ListParagraph"/>
        <w:numPr>
          <w:ilvl w:val="0"/>
          <w:numId w:val="2"/>
        </w:numPr>
        <w:spacing w:after="60" w:before="30" w:line="280"/>
      </w:pPr>
      <w:r>
        <w:rPr>
          <w:rFonts w:ascii="Calibri" w:cs="Calibri" w:eastAsia="Calibri" w:hAnsi="Calibri"/>
          <w:color w:val="1A1A1A"/>
          <w:sz w:val="22"/>
          <w:szCs w:val="22"/>
        </w:rPr>
        <w:t xml:space="preserve">Character limit: 240 per question (roughly two lines). This is enforced client-side for layout reasons, not for content policing.</w:t>
      </w:r>
    </w:p>
    <w:p>
      <w:pPr>
        <w:pStyle w:val="Heading2"/>
        <w:spacing w:after="140" w:before="280"/>
      </w:pPr>
      <w:r>
        <w:rPr>
          <w:rFonts w:ascii="Calibri" w:cs="Calibri" w:eastAsia="Calibri" w:hAnsi="Calibri"/>
          <w:b/>
          <w:bCs/>
          <w:color w:val="2E4057"/>
          <w:sz w:val="28"/>
          <w:szCs w:val="28"/>
        </w:rPr>
        <w:t xml:space="preserve">5.3  Linkage with the Unity ritual app</w:t>
      </w:r>
    </w:p>
    <w:p>
      <w:pPr>
        <w:spacing w:after="120" w:before="60" w:line="300"/>
      </w:pPr>
      <w:r>
        <w:rPr>
          <w:rFonts w:ascii="Calibri" w:cs="Calibri" w:eastAsia="Calibri" w:hAnsi="Calibri"/>
          <w:b w:val="false"/>
          <w:bCs w:val="false"/>
          <w:i w:val="false"/>
          <w:iCs w:val="false"/>
          <w:color w:val="1A1A1A"/>
          <w:sz w:val="22"/>
          <w:szCs w:val="22"/>
        </w:rPr>
        <w:t xml:space="preserve">The ritual experience — the animated ceremony, the archetypal cards, the couples, the cups, the hosts — lives in a separate Unity application that has already been built by a separate team. It is complete and shipping. This codebase does not contain it and does not need to be coordinated with its build. What this codebase must provide is the narrow, well-defined surface that consumes the Unity app's existing linkage contract.</w:t>
      </w:r>
    </w:p>
    <w:p>
      <w:pPr>
        <w:spacing w:after="120" w:before="60" w:line="300"/>
      </w:pPr>
      <w:r>
        <w:rPr>
          <w:rFonts w:ascii="Calibri" w:cs="Calibri" w:eastAsia="Calibri" w:hAnsi="Calibri"/>
          <w:b w:val="false"/>
          <w:bCs w:val="false"/>
          <w:i w:val="false"/>
          <w:iCs w:val="false"/>
          <w:color w:val="1A1A1A"/>
          <w:sz w:val="22"/>
          <w:szCs w:val="22"/>
        </w:rPr>
        <w:t xml:space="preserve">The two apps are siblings, linked in theme and in the work they do together. They are not linked in data. We do not see ritual choices; the Unity app does not see Moat content. This separation is deliberate and load-bearing.</w:t>
      </w:r>
    </w:p>
    <w:p>
      <w:pPr>
        <w:pStyle w:val="Heading3"/>
        <w:spacing w:after="100" w:before="220"/>
      </w:pPr>
      <w:r>
        <w:rPr>
          <w:rFonts w:ascii="Calibri" w:cs="Calibri" w:eastAsia="Calibri" w:hAnsi="Calibri"/>
          <w:b/>
          <w:bCs/>
          <w:color w:val="1A1A1A"/>
          <w:sz w:val="24"/>
          <w:szCs w:val="24"/>
        </w:rPr>
        <w:t xml:space="preserve">5.3.1  The linkage contract</w:t>
      </w:r>
    </w:p>
    <w:p>
      <w:pPr>
        <w:pStyle w:val="ListParagraph"/>
        <w:numPr>
          <w:ilvl w:val="0"/>
          <w:numId w:val="2"/>
        </w:numPr>
        <w:spacing w:after="60" w:before="30" w:line="280"/>
      </w:pPr>
      <w:r>
        <w:rPr>
          <w:rFonts w:ascii="Calibri" w:cs="Calibri" w:eastAsia="Calibri" w:hAnsi="Calibri"/>
          <w:b/>
          <w:bCs/>
          <w:i w:val="false"/>
          <w:iCs w:val="false"/>
          <w:color w:val="1A1A1A"/>
          <w:sz w:val="22"/>
          <w:szCs w:val="22"/>
        </w:rPr>
        <w:t xml:space="preserve">Shared account identity — </w:t>
      </w:r>
      <w:r>
        <w:rPr>
          <w:rFonts w:ascii="Calibri" w:cs="Calibri" w:eastAsia="Calibri" w:hAnsi="Calibri"/>
          <w:b w:val="false"/>
          <w:bCs w:val="false"/>
          <w:i w:val="false"/>
          <w:iCs w:val="false"/>
          <w:color w:val="1A1A1A"/>
          <w:sz w:val="22"/>
          <w:szCs w:val="22"/>
        </w:rPr>
        <w:t xml:space="preserve">a single opaque Moat account ID is passed to the Unity app as a token at first launch. The Unity app treats it as anonymous. Our backend never learns who the Unity user is.</w:t>
      </w:r>
    </w:p>
    <w:p>
      <w:pPr>
        <w:pStyle w:val="ListParagraph"/>
        <w:numPr>
          <w:ilvl w:val="0"/>
          <w:numId w:val="2"/>
        </w:numPr>
        <w:spacing w:after="60" w:before="30" w:line="280"/>
      </w:pPr>
      <w:r>
        <w:rPr>
          <w:rFonts w:ascii="Calibri" w:cs="Calibri" w:eastAsia="Calibri" w:hAnsi="Calibri"/>
          <w:b/>
          <w:bCs/>
          <w:i w:val="false"/>
          <w:iCs w:val="false"/>
          <w:color w:val="1A1A1A"/>
          <w:sz w:val="22"/>
          <w:szCs w:val="22"/>
        </w:rPr>
        <w:t xml:space="preserve">Email relay — </w:t>
      </w:r>
      <w:r>
        <w:rPr>
          <w:rFonts w:ascii="Calibri" w:cs="Calibri" w:eastAsia="Calibri" w:hAnsi="Calibri"/>
          <w:b w:val="false"/>
          <w:bCs w:val="false"/>
          <w:i w:val="false"/>
          <w:iCs w:val="false"/>
          <w:color w:val="1A1A1A"/>
          <w:sz w:val="22"/>
          <w:szCs w:val="22"/>
        </w:rPr>
        <w:t xml:space="preserve">at the end of a ritual playthrough, the Unity app composes the prescription text locally (action, reflection, mantra) and hands it to our email relay as a finished envelope. We forward via Postmark and confirm. The envelope is not stored.</w:t>
      </w:r>
    </w:p>
    <w:p>
      <w:pPr>
        <w:pStyle w:val="ListParagraph"/>
        <w:numPr>
          <w:ilvl w:val="0"/>
          <w:numId w:val="2"/>
        </w:numPr>
        <w:spacing w:after="60" w:before="30" w:line="280"/>
      </w:pPr>
      <w:r>
        <w:rPr>
          <w:rFonts w:ascii="Calibri" w:cs="Calibri" w:eastAsia="Calibri" w:hAnsi="Calibri"/>
          <w:b/>
          <w:bCs/>
          <w:i w:val="false"/>
          <w:iCs w:val="false"/>
          <w:color w:val="1A1A1A"/>
          <w:sz w:val="22"/>
          <w:szCs w:val="22"/>
        </w:rPr>
        <w:t xml:space="preserve">Shared theme — </w:t>
      </w:r>
      <w:r>
        <w:rPr>
          <w:rFonts w:ascii="Calibri" w:cs="Calibri" w:eastAsia="Calibri" w:hAnsi="Calibri"/>
          <w:b w:val="false"/>
          <w:bCs w:val="false"/>
          <w:i w:val="false"/>
          <w:iCs w:val="false"/>
          <w:color w:val="1A1A1A"/>
          <w:sz w:val="22"/>
          <w:szCs w:val="22"/>
        </w:rPr>
        <w:t xml:space="preserve">a small design-tokens package (palette, typography, motion curves, the lamp iconography) is published to an internal npm + UPM registry so both apps render consistently.</w:t>
      </w:r>
    </w:p>
    <w:p>
      <w:pPr>
        <w:pStyle w:val="ListParagraph"/>
        <w:numPr>
          <w:ilvl w:val="0"/>
          <w:numId w:val="2"/>
        </w:numPr>
        <w:spacing w:after="60" w:before="30" w:line="280"/>
      </w:pPr>
      <w:r>
        <w:rPr>
          <w:rFonts w:ascii="Calibri" w:cs="Calibri" w:eastAsia="Calibri" w:hAnsi="Calibri"/>
          <w:b/>
          <w:bCs/>
          <w:i w:val="false"/>
          <w:iCs w:val="false"/>
          <w:color w:val="1A1A1A"/>
          <w:sz w:val="22"/>
          <w:szCs w:val="22"/>
        </w:rPr>
        <w:t xml:space="preserve">No content ingress — </w:t>
      </w:r>
      <w:r>
        <w:rPr>
          <w:rFonts w:ascii="Calibri" w:cs="Calibri" w:eastAsia="Calibri" w:hAnsi="Calibri"/>
          <w:b w:val="false"/>
          <w:bCs w:val="false"/>
          <w:i w:val="false"/>
          <w:iCs w:val="false"/>
          <w:color w:val="1A1A1A"/>
          <w:sz w:val="22"/>
          <w:szCs w:val="22"/>
        </w:rPr>
        <w:t xml:space="preserve">our backend does not accept ritual choices, cup selections, host pairings, or card positions. What happens in the ritual stays in the ritual.</w:t>
      </w:r>
    </w:p>
    <w:p>
      <w:pPr>
        <w:pStyle w:val="Heading3"/>
        <w:spacing w:after="100" w:before="220"/>
      </w:pPr>
      <w:r>
        <w:rPr>
          <w:rFonts w:ascii="Calibri" w:cs="Calibri" w:eastAsia="Calibri" w:hAnsi="Calibri"/>
          <w:b/>
          <w:bCs/>
          <w:color w:val="1A1A1A"/>
          <w:sz w:val="24"/>
          <w:szCs w:val="24"/>
        </w:rPr>
        <w:t xml:space="preserve">5.3.2  Combinatorics and content authoring</w:t>
      </w:r>
    </w:p>
    <w:p>
      <w:pPr>
        <w:spacing w:after="120" w:before="60" w:line="300"/>
      </w:pPr>
      <w:r>
        <w:rPr>
          <w:rFonts w:ascii="Calibri" w:cs="Calibri" w:eastAsia="Calibri" w:hAnsi="Calibri"/>
          <w:b w:val="false"/>
          <w:bCs w:val="false"/>
          <w:i w:val="false"/>
          <w:iCs w:val="false"/>
          <w:color w:val="1A1A1A"/>
          <w:sz w:val="22"/>
          <w:szCs w:val="22"/>
        </w:rPr>
        <w:t xml:space="preserve">The combinatorial space of the ritual is large. A playthrough begins with the user choosing one couple (a host pairing), who then present three cups for selection. The resulting reading is drawn from a permutation of a large archetype library. When the user has encountered every couple at least once, the path through the prescriptions yields more than 120 distinct pre-filled files of material to return to — this is the engine of the spiral outward described in the founding documents.</w:t>
      </w:r>
    </w:p>
    <w:p>
      <w:pPr>
        <w:spacing w:after="120" w:before="60" w:line="300"/>
      </w:pPr>
      <w:r>
        <w:rPr>
          <w:rFonts w:ascii="Calibri" w:cs="Calibri" w:eastAsia="Calibri" w:hAnsi="Calibri"/>
          <w:b w:val="false"/>
          <w:bCs w:val="false"/>
          <w:i w:val="false"/>
          <w:iCs w:val="false"/>
          <w:color w:val="1A1A1A"/>
          <w:sz w:val="22"/>
          <w:szCs w:val="22"/>
        </w:rPr>
        <w:t xml:space="preserve">Content authoring for the ritual is already done — this is part of what the Unity team has shipped. Our only obligation is that the email relay envelope conforms to the schema in 5.3.3, which matches the Unity app's existing output format.</w:t>
      </w:r>
    </w:p>
    <w:p>
      <w:pPr>
        <w:pStyle w:val="Heading3"/>
        <w:spacing w:after="100" w:before="220"/>
      </w:pPr>
      <w:r>
        <w:rPr>
          <w:rFonts w:ascii="Calibri" w:cs="Calibri" w:eastAsia="Calibri" w:hAnsi="Calibri"/>
          <w:b/>
          <w:bCs/>
          <w:color w:val="1A1A1A"/>
          <w:sz w:val="24"/>
          <w:szCs w:val="24"/>
        </w:rPr>
        <w:t xml:space="preserve">5.3.3  The email relay envelope</w:t>
      </w:r>
    </w:p>
    <w:p>
      <w:pPr>
        <w:shd w:fill="F2F2F2" w:color="auto" w:val="clear"/>
        <w:spacing w:after="120" w:before="120" w:line="260"/>
        <w:ind w:left="180" w:right="180"/>
      </w:pPr>
      <w:r>
        <w:rPr>
          <w:rFonts w:ascii="Consolas" w:cs="Consolas" w:eastAsia="Consolas" w:hAnsi="Consolas"/>
          <w:color w:val="1A1A1A"/>
          <w:sz w:val="20"/>
          <w:szCs w:val="20"/>
        </w:rPr>
        <w:t xml:space="preserve">POST /v1/linkage/relay_prescription</w:t>
      </w:r>
      <w:r>
        <w:br/>
      </w:r>
      <w:r>
        <w:rPr>
          <w:rFonts w:ascii="Consolas" w:cs="Consolas" w:eastAsia="Consolas" w:hAnsi="Consolas"/>
          <w:color w:val="1A1A1A"/>
          <w:sz w:val="20"/>
          <w:szCs w:val="20"/>
        </w:rPr>
        <w:t xml:space="preserve">Authorization: Bearer &lt;unity-linkage-token&gt;</w:t>
      </w:r>
      <w:r>
        <w:br/>
      </w:r>
      <w:r>
        <w:rPr>
          <w:rFonts w:ascii="Consolas" w:cs="Consolas" w:eastAsia="Consolas" w:hAnsi="Consolas"/>
          <w:color w:val="1A1A1A"/>
          <w:sz w:val="20"/>
          <w:szCs w:val="20"/>
        </w:rPr>
        <w:t xml:space="preserve">Content-Type: application/json</w:t>
      </w:r>
      <w:r>
        <w:br/>
      </w:r>
      <w:r>
        <w:rPr>
          <w:rFonts w:ascii="Consolas" w:cs="Consolas" w:eastAsia="Consolas" w:hAnsi="Consolas"/>
          <w:color w:val="1A1A1A"/>
          <w:sz w:val="20"/>
          <w:szCs w:val="20"/>
        </w:rPr>
        <w:t xml:space="preserve"/>
      </w:r>
      <w:r>
        <w:br/>
      </w:r>
      <w:r>
        <w:rPr>
          <w:rFonts w:ascii="Consolas" w:cs="Consolas" w:eastAsia="Consolas" w:hAnsi="Consolas"/>
          <w:color w:val="1A1A1A"/>
          <w:sz w:val="20"/>
          <w:szCs w:val="20"/>
        </w:rPr>
        <w:t xml:space="preserve">{</w:t>
      </w:r>
      <w:r>
        <w:br/>
      </w:r>
      <w:r>
        <w:rPr>
          <w:rFonts w:ascii="Consolas" w:cs="Consolas" w:eastAsia="Consolas" w:hAnsi="Consolas"/>
          <w:color w:val="1A1A1A"/>
          <w:sz w:val="20"/>
          <w:szCs w:val="20"/>
        </w:rPr>
        <w:t xml:space="preserve">  "account_id":       "b6f0…",           // opaque Moat account ID</w:t>
      </w:r>
      <w:r>
        <w:br/>
      </w:r>
      <w:r>
        <w:rPr>
          <w:rFonts w:ascii="Consolas" w:cs="Consolas" w:eastAsia="Consolas" w:hAnsi="Consolas"/>
          <w:color w:val="1A1A1A"/>
          <w:sz w:val="20"/>
          <w:szCs w:val="20"/>
        </w:rPr>
        <w:t xml:space="preserve">  "playthrough_ref":  "unity-9ab2…",     // Unity-side reference (we do not interpret)</w:t>
      </w:r>
      <w:r>
        <w:br/>
      </w:r>
      <w:r>
        <w:rPr>
          <w:rFonts w:ascii="Consolas" w:cs="Consolas" w:eastAsia="Consolas" w:hAnsi="Consolas"/>
          <w:color w:val="1A1A1A"/>
          <w:sz w:val="20"/>
          <w:szCs w:val="20"/>
        </w:rPr>
        <w:t xml:space="preserve">  "subject":          "A question to carry with you",</w:t>
      </w:r>
      <w:r>
        <w:br/>
      </w:r>
      <w:r>
        <w:rPr>
          <w:rFonts w:ascii="Consolas" w:cs="Consolas" w:eastAsia="Consolas" w:hAnsi="Consolas"/>
          <w:color w:val="1A1A1A"/>
          <w:sz w:val="20"/>
          <w:szCs w:val="20"/>
        </w:rPr>
        <w:t xml:space="preserve">  "body_plain":       "Action: …\n\nReflection: …\n\nMantra: …",</w:t>
      </w:r>
      <w:r>
        <w:br/>
      </w:r>
      <w:r>
        <w:rPr>
          <w:rFonts w:ascii="Consolas" w:cs="Consolas" w:eastAsia="Consolas" w:hAnsi="Consolas"/>
          <w:color w:val="1A1A1A"/>
          <w:sz w:val="20"/>
          <w:szCs w:val="20"/>
        </w:rPr>
        <w:t xml:space="preserve">  "body_html":        null                // optional; minimal styling only</w:t>
      </w:r>
      <w:r>
        <w:br/>
      </w:r>
      <w:r>
        <w:rPr>
          <w:rFonts w:ascii="Consolas" w:cs="Consolas" w:eastAsia="Consolas" w:hAnsi="Consolas"/>
          <w:color w:val="1A1A1A"/>
          <w:sz w:val="20"/>
          <w:szCs w:val="20"/>
        </w:rPr>
        <w:t xml:space="preserve">}</w:t>
      </w:r>
      <w:r>
        <w:br/>
      </w:r>
      <w:r>
        <w:rPr>
          <w:rFonts w:ascii="Consolas" w:cs="Consolas" w:eastAsia="Consolas" w:hAnsi="Consolas"/>
          <w:color w:val="1A1A1A"/>
          <w:sz w:val="20"/>
          <w:szCs w:val="20"/>
        </w:rPr>
        <w:t xml:space="preserve"/>
      </w:r>
      <w:r>
        <w:br/>
      </w:r>
      <w:r>
        <w:rPr>
          <w:rFonts w:ascii="Consolas" w:cs="Consolas" w:eastAsia="Consolas" w:hAnsi="Consolas"/>
          <w:color w:val="1A1A1A"/>
          <w:sz w:val="20"/>
          <w:szCs w:val="20"/>
        </w:rPr>
        <w:t xml:space="preserve">-- Response --</w:t>
      </w:r>
      <w:r>
        <w:br/>
      </w:r>
      <w:r>
        <w:rPr>
          <w:rFonts w:ascii="Consolas" w:cs="Consolas" w:eastAsia="Consolas" w:hAnsi="Consolas"/>
          <w:color w:val="1A1A1A"/>
          <w:sz w:val="20"/>
          <w:szCs w:val="20"/>
        </w:rPr>
        <w:t xml:space="preserve">202 Accepted</w:t>
      </w:r>
      <w:r>
        <w:br/>
      </w:r>
      <w:r>
        <w:rPr>
          <w:rFonts w:ascii="Consolas" w:cs="Consolas" w:eastAsia="Consolas" w:hAnsi="Consolas"/>
          <w:color w:val="1A1A1A"/>
          <w:sz w:val="20"/>
          <w:szCs w:val="20"/>
        </w:rPr>
        <w:t xml:space="preserve">{ "relay_id": "rel_0f9c…", "accepted_at": "2026-04-20T14:02:11Z" }</w:t>
      </w:r>
    </w:p>
    <w:p>
      <w:pPr>
        <w:spacing w:after="120" w:before="60" w:line="300"/>
      </w:pPr>
      <w:r>
        <w:rPr>
          <w:rFonts w:ascii="Calibri" w:cs="Calibri" w:eastAsia="Calibri" w:hAnsi="Calibri"/>
          <w:b w:val="false"/>
          <w:bCs w:val="false"/>
          <w:i w:val="false"/>
          <w:iCs w:val="false"/>
          <w:color w:val="1A1A1A"/>
          <w:sz w:val="22"/>
          <w:szCs w:val="22"/>
        </w:rPr>
        <w:t xml:space="preserve">The relay endpoint is rate-limited (1 prescription per account per 24 hours, matching the Unity app’s internal cadence). We store the relay receipt (relay_id, account_id, timestamp) but never the body; the body is streamed to Postmark and discarded in the same transaction.</w:t>
      </w:r>
    </w:p>
    <w:p>
      <w:pPr>
        <w:pStyle w:val="Heading2"/>
        <w:spacing w:after="140" w:before="280"/>
      </w:pPr>
      <w:r>
        <w:rPr>
          <w:rFonts w:ascii="Calibri" w:cs="Calibri" w:eastAsia="Calibri" w:hAnsi="Calibri"/>
          <w:b/>
          <w:bCs/>
          <w:color w:val="2E4057"/>
          <w:sz w:val="28"/>
          <w:szCs w:val="28"/>
        </w:rPr>
        <w:t xml:space="preserve">5.4  The Moat service</w:t>
      </w:r>
    </w:p>
    <w:p>
      <w:pPr>
        <w:spacing w:after="120" w:before="60" w:line="300"/>
      </w:pPr>
      <w:r>
        <w:rPr>
          <w:rFonts w:ascii="Calibri" w:cs="Calibri" w:eastAsia="Calibri" w:hAnsi="Calibri"/>
          <w:b w:val="false"/>
          <w:bCs w:val="false"/>
          <w:i w:val="false"/>
          <w:iCs w:val="false"/>
          <w:color w:val="1A1A1A"/>
          <w:sz w:val="22"/>
          <w:szCs w:val="22"/>
        </w:rPr>
        <w:t xml:space="preserve">The Moat service is the engineering heart of the product. It is a group messaging service using the Megolm group protocol, with three unusual constraints: (a) it is cryptographically blind, (b) it enforces a seven-day retention ceiling, (c) it implements the Major Statement framework as first-class structured content.</w:t>
      </w:r>
    </w:p>
    <w:p>
      <w:pPr>
        <w:pStyle w:val="Heading3"/>
        <w:spacing w:after="100" w:before="220"/>
      </w:pPr>
      <w:r>
        <w:rPr>
          <w:rFonts w:ascii="Calibri" w:cs="Calibri" w:eastAsia="Calibri" w:hAnsi="Calibri"/>
          <w:b/>
          <w:bCs/>
          <w:color w:val="1A1A1A"/>
          <w:sz w:val="24"/>
          <w:szCs w:val="24"/>
        </w:rPr>
        <w:t xml:space="preserve">5.4.1  Group size and formation</w:t>
      </w:r>
    </w:p>
    <w:p>
      <w:pPr>
        <w:pStyle w:val="ListParagraph"/>
        <w:numPr>
          <w:ilvl w:val="0"/>
          <w:numId w:val="2"/>
        </w:numPr>
        <w:spacing w:after="60" w:before="30" w:line="280"/>
      </w:pPr>
      <w:r>
        <w:rPr>
          <w:rFonts w:ascii="Calibri" w:cs="Calibri" w:eastAsia="Calibri" w:hAnsi="Calibri"/>
          <w:color w:val="1A1A1A"/>
          <w:sz w:val="22"/>
          <w:szCs w:val="22"/>
        </w:rPr>
        <w:t xml:space="preserve">Target size: 10 members. Soft floor 8, hard ceiling 12.</w:t>
      </w:r>
    </w:p>
    <w:p>
      <w:pPr>
        <w:pStyle w:val="ListParagraph"/>
        <w:numPr>
          <w:ilvl w:val="0"/>
          <w:numId w:val="2"/>
        </w:numPr>
        <w:spacing w:after="60" w:before="30" w:line="280"/>
      </w:pPr>
      <w:r>
        <w:rPr>
          <w:rFonts w:ascii="Calibri" w:cs="Calibri" w:eastAsia="Calibri" w:hAnsi="Calibri"/>
          <w:color w:val="1A1A1A"/>
          <w:sz w:val="22"/>
          <w:szCs w:val="22"/>
        </w:rPr>
        <w:t xml:space="preserve">Formation: FIFO of users who completed onboarding. No affinity matching. No demographic clustering. No ‘similar interests’.</w:t>
      </w:r>
    </w:p>
    <w:p>
      <w:pPr>
        <w:pStyle w:val="ListParagraph"/>
        <w:numPr>
          <w:ilvl w:val="0"/>
          <w:numId w:val="2"/>
        </w:numPr>
        <w:spacing w:after="60" w:before="30" w:line="280"/>
      </w:pPr>
      <w:r>
        <w:rPr>
          <w:rFonts w:ascii="Calibri" w:cs="Calibri" w:eastAsia="Calibri" w:hAnsi="Calibri"/>
          <w:color w:val="1A1A1A"/>
          <w:sz w:val="22"/>
          <w:szCs w:val="22"/>
        </w:rPr>
        <w:t xml:space="preserve">Re-seeding: if a Moat falls below 6 active members for 2 consecutive cycles, the remaining members are offered transfer to a newly forming Moat. No forced transfer.</w:t>
      </w:r>
    </w:p>
    <w:p>
      <w:pPr>
        <w:pStyle w:val="Heading3"/>
        <w:spacing w:after="100" w:before="220"/>
      </w:pPr>
      <w:r>
        <w:rPr>
          <w:rFonts w:ascii="Calibri" w:cs="Calibri" w:eastAsia="Calibri" w:hAnsi="Calibri"/>
          <w:b/>
          <w:bCs/>
          <w:color w:val="1A1A1A"/>
          <w:sz w:val="24"/>
          <w:szCs w:val="24"/>
        </w:rPr>
        <w:t xml:space="preserve">5.4.2  Message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0"/>
        <w:gridCol w:w="2600"/>
        <w:gridCol w:w="3000"/>
        <w:gridCol w:w="2280"/>
      </w:tblGrid>
      <w:tr>
        <w:trPr>
          <w:tblHeader/>
        </w:trPr>
        <w:tc>
          <w:tcPr>
            <w:tcW w:type="dxa" w:w="148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Type</w:t>
            </w:r>
          </w:p>
        </w:tc>
        <w:tc>
          <w:tcPr>
            <w:tcW w:type="dxa" w:w="26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Purpose</w:t>
            </w:r>
          </w:p>
        </w:tc>
        <w:tc>
          <w:tcPr>
            <w:tcW w:type="dxa" w:w="30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Structure</w:t>
            </w:r>
          </w:p>
        </w:tc>
        <w:tc>
          <w:tcPr>
            <w:tcW w:type="dxa" w:w="228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Visible to</w:t>
            </w:r>
          </w:p>
        </w:tc>
      </w:tr>
      <w:tr>
        <w:tc>
          <w:tcPr>
            <w:tcW w:type="dxa" w:w="148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whisper</w:t>
            </w:r>
          </w:p>
        </w:tc>
        <w:tc>
          <w:tcPr>
            <w:tcW w:type="dxa" w:w="2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Short honest statement. The default.</w:t>
            </w:r>
          </w:p>
        </w:tc>
        <w:tc>
          <w:tcPr>
            <w:tcW w:type="dxa" w:w="3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Plain text, ≤1000 chars.</w:t>
            </w:r>
          </w:p>
        </w:tc>
        <w:tc>
          <w:tcPr>
            <w:tcW w:type="dxa" w:w="228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All Moat members.</w:t>
            </w:r>
          </w:p>
        </w:tc>
      </w:tr>
      <w:tr>
        <w:tc>
          <w:tcPr>
            <w:tcW w:type="dxa" w:w="148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major_statement</w:t>
            </w:r>
          </w:p>
        </w:tc>
        <w:tc>
          <w:tcPr>
            <w:tcW w:type="dxa" w:w="26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Structured self-examination; produces glow event.</w:t>
            </w:r>
          </w:p>
        </w:tc>
        <w:tc>
          <w:tcPr>
            <w:tcW w:type="dxa" w:w="3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6 fields: role, field, conflict, judge, which_question, spiral_position.</w:t>
            </w:r>
          </w:p>
        </w:tc>
        <w:tc>
          <w:tcPr>
            <w:tcW w:type="dxa" w:w="228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All Moat members.</w:t>
            </w:r>
          </w:p>
        </w:tc>
      </w:tr>
      <w:tr>
        <w:tc>
          <w:tcPr>
            <w:tcW w:type="dxa" w:w="148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witness</w:t>
            </w:r>
          </w:p>
        </w:tc>
        <w:tc>
          <w:tcPr>
            <w:tcW w:type="dxa" w:w="2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Reply to a whisper or major_statement. ‘From the I’.</w:t>
            </w:r>
          </w:p>
        </w:tc>
        <w:tc>
          <w:tcPr>
            <w:tcW w:type="dxa" w:w="3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Plain text, ≤600 chars.</w:t>
            </w:r>
          </w:p>
        </w:tc>
        <w:tc>
          <w:tcPr>
            <w:tcW w:type="dxa" w:w="228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All Moat members; threaded under parent.</w:t>
            </w:r>
          </w:p>
        </w:tc>
      </w:tr>
      <w:tr>
        <w:tc>
          <w:tcPr>
            <w:tcW w:type="dxa" w:w="148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presence</w:t>
            </w:r>
          </w:p>
        </w:tc>
        <w:tc>
          <w:tcPr>
            <w:tcW w:type="dxa" w:w="26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Wordless ‘I am here’ ping.</w:t>
            </w:r>
          </w:p>
        </w:tc>
        <w:tc>
          <w:tcPr>
            <w:tcW w:type="dxa" w:w="3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Empty.</w:t>
            </w:r>
          </w:p>
        </w:tc>
        <w:tc>
          <w:tcPr>
            <w:tcW w:type="dxa" w:w="228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All Moat members (counts only).</w:t>
            </w:r>
          </w:p>
        </w:tc>
      </w:tr>
    </w:tbl>
    <w:p>
      <w:pPr>
        <w:pStyle w:val="Heading3"/>
        <w:spacing w:after="100" w:before="220"/>
      </w:pPr>
      <w:r>
        <w:rPr>
          <w:rFonts w:ascii="Calibri" w:cs="Calibri" w:eastAsia="Calibri" w:hAnsi="Calibri"/>
          <w:b/>
          <w:bCs/>
          <w:color w:val="1A1A1A"/>
          <w:sz w:val="24"/>
          <w:szCs w:val="24"/>
        </w:rPr>
        <w:t xml:space="preserve">5.4.3  The Major Statement schema</w:t>
      </w:r>
    </w:p>
    <w:p>
      <w:pPr>
        <w:shd w:fill="F2F2F2" w:color="auto" w:val="clear"/>
        <w:spacing w:after="120" w:before="120" w:line="260"/>
        <w:ind w:left="180" w:right="180"/>
      </w:pPr>
      <w:r>
        <w:rPr>
          <w:rFonts w:ascii="Consolas" w:cs="Consolas" w:eastAsia="Consolas" w:hAnsi="Consolas"/>
          <w:color w:val="1A1A1A"/>
          <w:sz w:val="20"/>
          <w:szCs w:val="20"/>
        </w:rPr>
        <w:t xml:space="preserve">// Encrypted client-side as a Megolm group message.</w:t>
      </w:r>
      <w:r>
        <w:br/>
      </w:r>
      <w:r>
        <w:rPr>
          <w:rFonts w:ascii="Consolas" w:cs="Consolas" w:eastAsia="Consolas" w:hAnsi="Consolas"/>
          <w:color w:val="1A1A1A"/>
          <w:sz w:val="20"/>
          <w:szCs w:val="20"/>
        </w:rPr>
        <w:t xml:space="preserve">// Server sees only ciphertext.</w:t>
      </w:r>
      <w:r>
        <w:br/>
      </w:r>
      <w:r>
        <w:rPr>
          <w:rFonts w:ascii="Consolas" w:cs="Consolas" w:eastAsia="Consolas" w:hAnsi="Consolas"/>
          <w:color w:val="1A1A1A"/>
          <w:sz w:val="20"/>
          <w:szCs w:val="20"/>
        </w:rPr>
        <w:t xml:space="preserve"/>
      </w:r>
      <w:r>
        <w:br/>
      </w:r>
      <w:r>
        <w:rPr>
          <w:rFonts w:ascii="Consolas" w:cs="Consolas" w:eastAsia="Consolas" w:hAnsi="Consolas"/>
          <w:color w:val="1A1A1A"/>
          <w:sz w:val="20"/>
          <w:szCs w:val="20"/>
        </w:rPr>
        <w:t xml:space="preserve">{</w:t>
      </w:r>
      <w:r>
        <w:br/>
      </w:r>
      <w:r>
        <w:rPr>
          <w:rFonts w:ascii="Consolas" w:cs="Consolas" w:eastAsia="Consolas" w:hAnsi="Consolas"/>
          <w:color w:val="1A1A1A"/>
          <w:sz w:val="20"/>
          <w:szCs w:val="20"/>
        </w:rPr>
        <w:t xml:space="preserve">  "type": "major_statement",</w:t>
      </w:r>
      <w:r>
        <w:br/>
      </w:r>
      <w:r>
        <w:rPr>
          <w:rFonts w:ascii="Consolas" w:cs="Consolas" w:eastAsia="Consolas" w:hAnsi="Consolas"/>
          <w:color w:val="1A1A1A"/>
          <w:sz w:val="20"/>
          <w:szCs w:val="20"/>
        </w:rPr>
        <w:t xml:space="preserve">  "v": 1,</w:t>
      </w:r>
      <w:r>
        <w:br/>
      </w:r>
      <w:r>
        <w:rPr>
          <w:rFonts w:ascii="Consolas" w:cs="Consolas" w:eastAsia="Consolas" w:hAnsi="Consolas"/>
          <w:color w:val="1A1A1A"/>
          <w:sz w:val="20"/>
          <w:szCs w:val="20"/>
        </w:rPr>
        <w:t xml:space="preserve">  "fields": {</w:t>
      </w:r>
      <w:r>
        <w:br/>
      </w:r>
      <w:r>
        <w:rPr>
          <w:rFonts w:ascii="Consolas" w:cs="Consolas" w:eastAsia="Consolas" w:hAnsi="Consolas"/>
          <w:color w:val="1A1A1A"/>
          <w:sz w:val="20"/>
          <w:szCs w:val="20"/>
        </w:rPr>
        <w:t xml:space="preserve">    "role":           "the one who always keeps the peace",</w:t>
      </w:r>
      <w:r>
        <w:br/>
      </w:r>
      <w:r>
        <w:rPr>
          <w:rFonts w:ascii="Consolas" w:cs="Consolas" w:eastAsia="Consolas" w:hAnsi="Consolas"/>
          <w:color w:val="1A1A1A"/>
          <w:sz w:val="20"/>
          <w:szCs w:val="20"/>
        </w:rPr>
        <w:t xml:space="preserve">    "field":          "Sunday dinner at my mother's",</w:t>
      </w:r>
      <w:r>
        <w:br/>
      </w:r>
      <w:r>
        <w:rPr>
          <w:rFonts w:ascii="Consolas" w:cs="Consolas" w:eastAsia="Consolas" w:hAnsi="Consolas"/>
          <w:color w:val="1A1A1A"/>
          <w:sz w:val="20"/>
          <w:szCs w:val="20"/>
        </w:rPr>
        <w:t xml:space="preserve">    "conflict":       "my silence costs me more than the argument would",</w:t>
      </w:r>
      <w:r>
        <w:br/>
      </w:r>
      <w:r>
        <w:rPr>
          <w:rFonts w:ascii="Consolas" w:cs="Consolas" w:eastAsia="Consolas" w:hAnsi="Consolas"/>
          <w:color w:val="1A1A1A"/>
          <w:sz w:val="20"/>
          <w:szCs w:val="20"/>
        </w:rPr>
        <w:t xml:space="preserve">    "judge":          "my father's voice about being 'the calm one'",</w:t>
      </w:r>
      <w:r>
        <w:br/>
      </w:r>
      <w:r>
        <w:rPr>
          <w:rFonts w:ascii="Consolas" w:cs="Consolas" w:eastAsia="Consolas" w:hAnsi="Consolas"/>
          <w:color w:val="1A1A1A"/>
          <w:sz w:val="20"/>
          <w:szCs w:val="20"/>
        </w:rPr>
        <w:t xml:space="preserve">    "which_question": "fix",    // "fix" | "why"</w:t>
      </w:r>
      <w:r>
        <w:br/>
      </w:r>
      <w:r>
        <w:rPr>
          <w:rFonts w:ascii="Consolas" w:cs="Consolas" w:eastAsia="Consolas" w:hAnsi="Consolas"/>
          <w:color w:val="1A1A1A"/>
          <w:sz w:val="20"/>
          <w:szCs w:val="20"/>
        </w:rPr>
        <w:t xml:space="preserve">    "spiral_position":"toward"  // "toward" | "away" | "plateau"</w:t>
      </w:r>
      <w:r>
        <w:br/>
      </w:r>
      <w:r>
        <w:rPr>
          <w:rFonts w:ascii="Consolas" w:cs="Consolas" w:eastAsia="Consolas" w:hAnsi="Consolas"/>
          <w:color w:val="1A1A1A"/>
          <w:sz w:val="20"/>
          <w:szCs w:val="20"/>
        </w:rPr>
        <w:t xml:space="preserve">  },</w:t>
      </w:r>
      <w:r>
        <w:br/>
      </w:r>
      <w:r>
        <w:rPr>
          <w:rFonts w:ascii="Consolas" w:cs="Consolas" w:eastAsia="Consolas" w:hAnsi="Consolas"/>
          <w:color w:val="1A1A1A"/>
          <w:sz w:val="20"/>
          <w:szCs w:val="20"/>
        </w:rPr>
        <w:t xml:space="preserve">  "body": "Optional 2000-char freeform elaboration."</w:t>
      </w:r>
      <w:r>
        <w:br/>
      </w:r>
      <w:r>
        <w:rPr>
          <w:rFonts w:ascii="Consolas" w:cs="Consolas" w:eastAsia="Consolas" w:hAnsi="Consolas"/>
          <w:color w:val="1A1A1A"/>
          <w:sz w:val="20"/>
          <w:szCs w:val="20"/>
        </w:rPr>
        <w:t xml:space="preserve">}</w:t>
      </w:r>
    </w:p>
    <w:p>
      <w:pPr>
        <w:spacing w:after="120" w:before="60" w:line="300"/>
      </w:pPr>
      <w:r>
        <w:rPr>
          <w:rFonts w:ascii="Calibri" w:cs="Calibri" w:eastAsia="Calibri" w:hAnsi="Calibri"/>
          <w:b w:val="false"/>
          <w:bCs w:val="false"/>
          <w:i w:val="false"/>
          <w:iCs w:val="false"/>
          <w:color w:val="1A1A1A"/>
          <w:sz w:val="22"/>
          <w:szCs w:val="22"/>
        </w:rPr>
        <w:t xml:space="preserve">A Major Statement may be posted at most once per user per cycle. Posting one triggers a glow event on the devices of all other Moat members (section 5.5.4).</w:t>
      </w:r>
    </w:p>
    <w:p>
      <w:pPr>
        <w:pStyle w:val="Heading3"/>
        <w:spacing w:after="100" w:before="220"/>
      </w:pPr>
      <w:r>
        <w:rPr>
          <w:rFonts w:ascii="Calibri" w:cs="Calibri" w:eastAsia="Calibri" w:hAnsi="Calibri"/>
          <w:b/>
          <w:bCs/>
          <w:color w:val="1A1A1A"/>
          <w:sz w:val="24"/>
          <w:szCs w:val="24"/>
        </w:rPr>
        <w:t xml:space="preserve">5.4.4  What the Moat service explicitly does not do</w:t>
      </w:r>
    </w:p>
    <w:p>
      <w:pPr>
        <w:pStyle w:val="ListParagraph"/>
        <w:numPr>
          <w:ilvl w:val="0"/>
          <w:numId w:val="2"/>
        </w:numPr>
        <w:spacing w:after="60" w:before="30" w:line="280"/>
      </w:pPr>
      <w:r>
        <w:rPr>
          <w:rFonts w:ascii="Calibri" w:cs="Calibri" w:eastAsia="Calibri" w:hAnsi="Calibri"/>
          <w:color w:val="1A1A1A"/>
          <w:sz w:val="22"/>
          <w:szCs w:val="22"/>
        </w:rPr>
        <w:t xml:space="preserve">No reactions (no hearts, no claps, no emoji on messages).</w:t>
      </w:r>
    </w:p>
    <w:p>
      <w:pPr>
        <w:pStyle w:val="ListParagraph"/>
        <w:numPr>
          <w:ilvl w:val="0"/>
          <w:numId w:val="2"/>
        </w:numPr>
        <w:spacing w:after="60" w:before="30" w:line="280"/>
      </w:pPr>
      <w:r>
        <w:rPr>
          <w:rFonts w:ascii="Calibri" w:cs="Calibri" w:eastAsia="Calibri" w:hAnsi="Calibri"/>
          <w:color w:val="1A1A1A"/>
          <w:sz w:val="22"/>
          <w:szCs w:val="22"/>
        </w:rPr>
        <w:t xml:space="preserve">No quote-reply; witnesses are threaded, not quoted. This prevents context-collapse across the cycle.</w:t>
      </w:r>
    </w:p>
    <w:p>
      <w:pPr>
        <w:pStyle w:val="ListParagraph"/>
        <w:numPr>
          <w:ilvl w:val="0"/>
          <w:numId w:val="2"/>
        </w:numPr>
        <w:spacing w:after="60" w:before="30" w:line="280"/>
      </w:pPr>
      <w:r>
        <w:rPr>
          <w:rFonts w:ascii="Calibri" w:cs="Calibri" w:eastAsia="Calibri" w:hAnsi="Calibri"/>
          <w:color w:val="1A1A1A"/>
          <w:sz w:val="22"/>
          <w:szCs w:val="22"/>
        </w:rPr>
        <w:t xml:space="preserve">No read receipts.</w:t>
      </w:r>
    </w:p>
    <w:p>
      <w:pPr>
        <w:pStyle w:val="ListParagraph"/>
        <w:numPr>
          <w:ilvl w:val="0"/>
          <w:numId w:val="2"/>
        </w:numPr>
        <w:spacing w:after="60" w:before="30" w:line="280"/>
      </w:pPr>
      <w:r>
        <w:rPr>
          <w:rFonts w:ascii="Calibri" w:cs="Calibri" w:eastAsia="Calibri" w:hAnsi="Calibri"/>
          <w:color w:val="1A1A1A"/>
          <w:sz w:val="22"/>
          <w:szCs w:val="22"/>
        </w:rPr>
        <w:t xml:space="preserve">No typing indicators.</w:t>
      </w:r>
    </w:p>
    <w:p>
      <w:pPr>
        <w:pStyle w:val="ListParagraph"/>
        <w:numPr>
          <w:ilvl w:val="0"/>
          <w:numId w:val="2"/>
        </w:numPr>
        <w:spacing w:after="60" w:before="30" w:line="280"/>
      </w:pPr>
      <w:r>
        <w:rPr>
          <w:rFonts w:ascii="Calibri" w:cs="Calibri" w:eastAsia="Calibri" w:hAnsi="Calibri"/>
          <w:color w:val="1A1A1A"/>
          <w:sz w:val="22"/>
          <w:szCs w:val="22"/>
        </w:rPr>
        <w:t xml:space="preserve">No search. The Moat is not a searchable archive. It is a living present that disappears.</w:t>
      </w:r>
    </w:p>
    <w:p>
      <w:pPr>
        <w:pStyle w:val="Heading2"/>
        <w:spacing w:after="140" w:before="280"/>
      </w:pPr>
      <w:r>
        <w:rPr>
          <w:rFonts w:ascii="Calibri" w:cs="Calibri" w:eastAsia="Calibri" w:hAnsi="Calibri"/>
          <w:b/>
          <w:bCs/>
          <w:color w:val="2E4057"/>
          <w:sz w:val="28"/>
          <w:szCs w:val="28"/>
        </w:rPr>
        <w:t xml:space="preserve">5.5  The Device</w:t>
      </w:r>
    </w:p>
    <w:p>
      <w:pPr>
        <w:spacing w:after="120" w:before="60" w:line="300"/>
      </w:pPr>
      <w:r>
        <w:rPr>
          <w:rFonts w:ascii="Calibri" w:cs="Calibri" w:eastAsia="Calibri" w:hAnsi="Calibri"/>
          <w:b w:val="false"/>
          <w:bCs w:val="false"/>
          <w:i w:val="false"/>
          <w:iCs w:val="false"/>
          <w:color w:val="1A1A1A"/>
          <w:sz w:val="22"/>
          <w:szCs w:val="22"/>
        </w:rPr>
        <w:t xml:space="preserve">The device is a quiet object. In its resting state it is inert — dark, small, hand-sized, pleasing to hold. It becomes meaningful only when something happens in the Moat that the user has consented to be notified about.</w:t>
      </w:r>
    </w:p>
    <w:p>
      <w:pPr>
        <w:pStyle w:val="Heading3"/>
        <w:spacing w:after="100" w:before="220"/>
      </w:pPr>
      <w:r>
        <w:rPr>
          <w:rFonts w:ascii="Calibri" w:cs="Calibri" w:eastAsia="Calibri" w:hAnsi="Calibri"/>
          <w:b/>
          <w:bCs/>
          <w:color w:val="1A1A1A"/>
          <w:sz w:val="24"/>
          <w:szCs w:val="24"/>
        </w:rPr>
        <w:t xml:space="preserve">5.5.1  Device tiers</w:t>
      </w:r>
    </w:p>
    <w:p>
      <w:pPr>
        <w:spacing w:after="120" w:before="60" w:line="300"/>
      </w:pPr>
      <w:r>
        <w:rPr>
          <w:rFonts w:ascii="Calibri" w:cs="Calibri" w:eastAsia="Calibri" w:hAnsi="Calibri"/>
          <w:b w:val="false"/>
          <w:bCs w:val="false"/>
          <w:i w:val="false"/>
          <w:iCs w:val="false"/>
          <w:color w:val="1A1A1A"/>
          <w:sz w:val="22"/>
          <w:szCs w:val="22"/>
        </w:rPr>
        <w:t xml:space="preserve">Three tiers exist so that ownership of a device is never a barrier to participation. All tiers provide identical cryptographic access. What differs is the physical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1200"/>
        <w:gridCol w:w="1560"/>
      </w:tblGrid>
      <w:tr>
        <w:trPr>
          <w:tblHeader/>
        </w:trPr>
        <w:tc>
          <w:tcPr>
            <w:tcW w:type="dxa" w:w="18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Tier</w:t>
            </w:r>
          </w:p>
        </w:tc>
        <w:tc>
          <w:tcPr>
            <w:tcW w:type="dxa" w:w="48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Input / output</w:t>
            </w:r>
          </w:p>
        </w:tc>
        <w:tc>
          <w:tcPr>
            <w:tcW w:type="dxa" w:w="12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Target retail</w:t>
            </w:r>
          </w:p>
        </w:tc>
        <w:tc>
          <w:tcPr>
            <w:tcW w:type="dxa" w:w="156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Provision</w:t>
            </w:r>
          </w:p>
        </w:tc>
      </w:tr>
      <w:tr>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Premium Device</w:t>
            </w:r>
          </w:p>
        </w:tc>
        <w:tc>
          <w:tcPr>
            <w:tcW w:type="dxa" w:w="4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Capacitive touch ring + RGB LED halo + premium enclosure.</w:t>
            </w:r>
          </w:p>
        </w:tc>
        <w:tc>
          <w:tcPr>
            <w:tcW w:type="dxa" w:w="1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£80–120</w:t>
            </w:r>
          </w:p>
        </w:tc>
        <w:tc>
          <w:tcPr>
            <w:tcW w:type="dxa" w:w="15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Standard purchase. Default at onboarding.</w:t>
            </w:r>
          </w:p>
        </w:tc>
      </w:tr>
      <w:tr>
        <w:tc>
          <w:tcPr>
            <w:tcW w:type="dxa" w:w="1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Simple Device</w:t>
            </w:r>
          </w:p>
        </w:tc>
        <w:tc>
          <w:tcPr>
            <w:tcW w:type="dxa" w:w="4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Single hardware button (press-pattern combination) + single-colour LED in plain enclosure. Identical secure element inside.</w:t>
            </w:r>
          </w:p>
        </w:tc>
        <w:tc>
          <w:tcPr>
            <w:tcW w:type="dxa" w:w="12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£15–25</w:t>
            </w:r>
          </w:p>
        </w:tc>
        <w:tc>
          <w:tcPr>
            <w:tcW w:type="dxa" w:w="15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Self-declared concession path at onboarding. No verification. No proof-of-need.</w:t>
            </w:r>
          </w:p>
        </w:tc>
      </w:tr>
      <w:tr>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Virtual Device</w:t>
            </w:r>
          </w:p>
        </w:tc>
        <w:tc>
          <w:tcPr>
            <w:tcW w:type="dxa" w:w="4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Software ‘device mode’ inside the Moat app. Simulates combination entry and glow via the phone itself.</w:t>
            </w:r>
          </w:p>
        </w:tc>
        <w:tc>
          <w:tcPr>
            <w:tcW w:type="dxa" w:w="1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Free</w:t>
            </w:r>
          </w:p>
        </w:tc>
        <w:tc>
          <w:tcPr>
            <w:tcW w:type="dxa" w:w="15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Always available. Labelled as reduced-security.</w:t>
            </w:r>
          </w:p>
        </w:tc>
      </w:tr>
    </w:tbl>
    <w:p>
      <w:pPr>
        <w:spacing w:after="120" w:before="60" w:line="300"/>
      </w:pPr>
      <w:r>
        <w:rPr>
          <w:rFonts w:ascii="Calibri" w:cs="Calibri" w:eastAsia="Calibri" w:hAnsi="Calibri"/>
          <w:b w:val="false"/>
          <w:bCs w:val="false"/>
          <w:i w:val="false"/>
          <w:iCs w:val="false"/>
          <w:color w:val="1A1A1A"/>
          <w:sz w:val="22"/>
          <w:szCs w:val="22"/>
        </w:rPr>
        <w:t xml:space="preserve">Loss of the premium device does not lock the user out permanently: the 24-word seed phrase written in the journal at onboarding can re-provision any tier onto a new device. The seed phrase is the true root of identity. The device is the working key.</w:t>
      </w:r>
    </w:p>
    <w:p>
      <w:pPr>
        <w:pStyle w:val="Heading3"/>
        <w:spacing w:after="100" w:before="220"/>
      </w:pPr>
      <w:r>
        <w:rPr>
          <w:rFonts w:ascii="Calibri" w:cs="Calibri" w:eastAsia="Calibri" w:hAnsi="Calibri"/>
          <w:b/>
          <w:bCs/>
          <w:color w:val="1A1A1A"/>
          <w:sz w:val="24"/>
          <w:szCs w:val="24"/>
        </w:rPr>
        <w:t xml:space="preserve">5.5.2  Authentication flow</w:t>
      </w:r>
    </w:p>
    <w:p>
      <w:pPr>
        <w:pStyle w:val="ListParagraph"/>
        <w:numPr>
          <w:ilvl w:val="0"/>
          <w:numId w:val="3"/>
        </w:numPr>
        <w:spacing w:after="60" w:before="30" w:line="280"/>
      </w:pPr>
      <w:r>
        <w:rPr>
          <w:rFonts w:ascii="Calibri" w:cs="Calibri" w:eastAsia="Calibri" w:hAnsi="Calibri"/>
          <w:color w:val="1A1A1A"/>
          <w:sz w:val="22"/>
          <w:szCs w:val="22"/>
        </w:rPr>
        <w:t xml:space="preserve">User picks up the device. Proximity to the paired phone (Bluetooth RSSI threshold) wakes it.</w:t>
      </w:r>
    </w:p>
    <w:p>
      <w:pPr>
        <w:pStyle w:val="ListParagraph"/>
        <w:numPr>
          <w:ilvl w:val="0"/>
          <w:numId w:val="3"/>
        </w:numPr>
        <w:spacing w:after="60" w:before="30" w:line="280"/>
      </w:pPr>
      <w:r>
        <w:rPr>
          <w:rFonts w:ascii="Calibri" w:cs="Calibri" w:eastAsia="Calibri" w:hAnsi="Calibri"/>
          <w:color w:val="1A1A1A"/>
          <w:sz w:val="22"/>
          <w:szCs w:val="22"/>
        </w:rPr>
        <w:t xml:space="preserve">User performs the combination sequence on the capacitive ring — a 5–7 gesture pattern chosen at onboarding.</w:t>
      </w:r>
    </w:p>
    <w:p>
      <w:pPr>
        <w:pStyle w:val="ListParagraph"/>
        <w:numPr>
          <w:ilvl w:val="0"/>
          <w:numId w:val="3"/>
        </w:numPr>
        <w:spacing w:after="60" w:before="30" w:line="280"/>
      </w:pPr>
      <w:r>
        <w:rPr>
          <w:rFonts w:ascii="Calibri" w:cs="Calibri" w:eastAsia="Calibri" w:hAnsi="Calibri"/>
          <w:color w:val="1A1A1A"/>
          <w:sz w:val="22"/>
          <w:szCs w:val="22"/>
        </w:rPr>
        <w:t xml:space="preserve">Device signs a session challenge using its hardware-backed key, and transmits (via BLE) to the phone.</w:t>
      </w:r>
    </w:p>
    <w:p>
      <w:pPr>
        <w:pStyle w:val="ListParagraph"/>
        <w:numPr>
          <w:ilvl w:val="0"/>
          <w:numId w:val="3"/>
        </w:numPr>
        <w:spacing w:after="60" w:before="30" w:line="280"/>
      </w:pPr>
      <w:r>
        <w:rPr>
          <w:rFonts w:ascii="Calibri" w:cs="Calibri" w:eastAsia="Calibri" w:hAnsi="Calibri"/>
          <w:color w:val="1A1A1A"/>
          <w:sz w:val="22"/>
          <w:szCs w:val="22"/>
        </w:rPr>
        <w:t xml:space="preserve">Phone verifies the signature, then computes the composite identity code — a hash of (device_hw_attestation ∥ recent_behavioural_fingerprint ∥ server_nonce) — and posts to the Moat service.</w:t>
      </w:r>
    </w:p>
    <w:p>
      <w:pPr>
        <w:pStyle w:val="ListParagraph"/>
        <w:numPr>
          <w:ilvl w:val="0"/>
          <w:numId w:val="3"/>
        </w:numPr>
        <w:spacing w:after="60" w:before="30" w:line="280"/>
      </w:pPr>
      <w:r>
        <w:rPr>
          <w:rFonts w:ascii="Calibri" w:cs="Calibri" w:eastAsia="Calibri" w:hAnsi="Calibri"/>
          <w:color w:val="1A1A1A"/>
          <w:sz w:val="22"/>
          <w:szCs w:val="22"/>
        </w:rPr>
        <w:t xml:space="preserve">Server validates and issues a 15-minute JWT. Moat opens.</w:t>
      </w:r>
    </w:p>
    <w:p>
      <w:pPr>
        <w:spacing w:after="120" w:before="60" w:line="300"/>
      </w:pPr>
      <w:r>
        <w:rPr>
          <w:rFonts w:ascii="Calibri" w:cs="Calibri" w:eastAsia="Calibri" w:hAnsi="Calibri"/>
          <w:b w:val="false"/>
          <w:bCs w:val="false"/>
          <w:i w:val="false"/>
          <w:iCs w:val="false"/>
          <w:color w:val="1A1A1A"/>
          <w:sz w:val="22"/>
          <w:szCs w:val="22"/>
        </w:rPr>
        <w:t xml:space="preserve">No step in this flow transmits a password or a recoverable secret. There is no ‘forgot my combination’ flow that resolves into access. Loss of the device plus loss of the combination plus loss of the seed phrase equals permanent loss of access. This is clearly communicated at onboarding and treated as a feature, not a bug.</w:t>
      </w:r>
    </w:p>
    <w:p>
      <w:pPr>
        <w:pStyle w:val="Heading3"/>
        <w:spacing w:after="100" w:before="220"/>
      </w:pPr>
      <w:r>
        <w:rPr>
          <w:rFonts w:ascii="Calibri" w:cs="Calibri" w:eastAsia="Calibri" w:hAnsi="Calibri"/>
          <w:b/>
          <w:bCs/>
          <w:color w:val="1A1A1A"/>
          <w:sz w:val="24"/>
          <w:szCs w:val="24"/>
        </w:rPr>
        <w:t xml:space="preserve">5.5.3  Composite identity code</w:t>
      </w:r>
    </w:p>
    <w:p>
      <w:pPr>
        <w:spacing w:after="120" w:before="60" w:line="300"/>
      </w:pPr>
      <w:r>
        <w:rPr>
          <w:rFonts w:ascii="Calibri" w:cs="Calibri" w:eastAsia="Calibri" w:hAnsi="Calibri"/>
          <w:b w:val="false"/>
          <w:bCs w:val="false"/>
          <w:i w:val="false"/>
          <w:iCs w:val="false"/>
          <w:color w:val="1A1A1A"/>
          <w:sz w:val="22"/>
          <w:szCs w:val="22"/>
        </w:rPr>
        <w:t xml:space="preserve">The composite identity code is the quiet fraud-prevention layer. It does not identify the user in any persistent or linkable way — it only answers the question ‘is this the same person as last time?’</w:t>
      </w:r>
    </w:p>
    <w:p>
      <w:pPr>
        <w:pStyle w:val="ListParagraph"/>
        <w:numPr>
          <w:ilvl w:val="0"/>
          <w:numId w:val="2"/>
        </w:numPr>
        <w:spacing w:after="60" w:before="30" w:line="280"/>
      </w:pPr>
      <w:r>
        <w:rPr>
          <w:rFonts w:ascii="Calibri" w:cs="Calibri" w:eastAsia="Calibri" w:hAnsi="Calibri"/>
          <w:color w:val="1A1A1A"/>
          <w:sz w:val="22"/>
          <w:szCs w:val="22"/>
        </w:rPr>
        <w:t xml:space="preserve">Hardware component: a TEE-bound keypair generated at first pairing; its public half is enrolled with the server.</w:t>
      </w:r>
    </w:p>
    <w:p>
      <w:pPr>
        <w:pStyle w:val="ListParagraph"/>
        <w:numPr>
          <w:ilvl w:val="0"/>
          <w:numId w:val="2"/>
        </w:numPr>
        <w:spacing w:after="60" w:before="30" w:line="280"/>
      </w:pPr>
      <w:r>
        <w:rPr>
          <w:rFonts w:ascii="Calibri" w:cs="Calibri" w:eastAsia="Calibri" w:hAnsi="Calibri"/>
          <w:color w:val="1A1A1A"/>
          <w:sz w:val="22"/>
          <w:szCs w:val="22"/>
        </w:rPr>
        <w:t xml:space="preserve">Behavioural component: a rolling hash of recent combination entry timing and pressure curves. Matches within a tolerance band.</w:t>
      </w:r>
    </w:p>
    <w:p>
      <w:pPr>
        <w:pStyle w:val="ListParagraph"/>
        <w:numPr>
          <w:ilvl w:val="0"/>
          <w:numId w:val="2"/>
        </w:numPr>
        <w:spacing w:after="60" w:before="30" w:line="280"/>
      </w:pPr>
      <w:r>
        <w:rPr>
          <w:rFonts w:ascii="Calibri" w:cs="Calibri" w:eastAsia="Calibri" w:hAnsi="Calibri"/>
          <w:color w:val="1A1A1A"/>
          <w:sz w:val="22"/>
          <w:szCs w:val="22"/>
        </w:rPr>
        <w:t xml:space="preserve">Freshness: a server-supplied nonce binds each code to a single session. Replay is impossible.</w:t>
      </w:r>
    </w:p>
    <w:p>
      <w:pPr>
        <w:pStyle w:val="ListParagraph"/>
        <w:numPr>
          <w:ilvl w:val="0"/>
          <w:numId w:val="2"/>
        </w:numPr>
        <w:spacing w:after="60" w:before="30" w:line="280"/>
      </w:pPr>
      <w:r>
        <w:rPr>
          <w:rFonts w:ascii="Calibri" w:cs="Calibri" w:eastAsia="Calibri" w:hAnsi="Calibri"/>
          <w:color w:val="1A1A1A"/>
          <w:sz w:val="22"/>
          <w:szCs w:val="22"/>
        </w:rPr>
        <w:t xml:space="preserve">The behavioural component never leaves the device in unhashed form. The server sees only the final composite code.</w:t>
      </w:r>
    </w:p>
    <w:p>
      <w:pPr>
        <w:pStyle w:val="Heading3"/>
        <w:spacing w:after="100" w:before="220"/>
      </w:pPr>
      <w:r>
        <w:rPr>
          <w:rFonts w:ascii="Calibri" w:cs="Calibri" w:eastAsia="Calibri" w:hAnsi="Calibri"/>
          <w:b/>
          <w:bCs/>
          <w:color w:val="1A1A1A"/>
          <w:sz w:val="24"/>
          <w:szCs w:val="24"/>
        </w:rPr>
        <w:t xml:space="preserve">5.5.4  Glow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560"/>
      </w:tblGrid>
      <w:tr>
        <w:trPr>
          <w:tblHeader/>
        </w:trPr>
        <w:tc>
          <w:tcPr>
            <w:tcW w:type="dxa" w:w="36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Event</w:t>
            </w:r>
          </w:p>
        </w:tc>
        <w:tc>
          <w:tcPr>
            <w:tcW w:type="dxa" w:w="32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Glow pattern</w:t>
            </w:r>
          </w:p>
        </w:tc>
        <w:tc>
          <w:tcPr>
            <w:tcW w:type="dxa" w:w="256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Duration</w:t>
            </w:r>
          </w:p>
        </w:tc>
      </w:tr>
      <w:tr>
        <w:tc>
          <w:tcPr>
            <w:tcW w:type="dxa" w:w="3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Someone in your Moat posts a major_statement</w:t>
            </w:r>
          </w:p>
        </w:tc>
        <w:tc>
          <w:tcPr>
            <w:tcW w:type="dxa" w:w="3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Slow amber pulse, 0.5 Hz</w:t>
            </w:r>
          </w:p>
        </w:tc>
        <w:tc>
          <w:tcPr>
            <w:tcW w:type="dxa" w:w="25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Until app is opened OR 30 min elapsed</w:t>
            </w:r>
          </w:p>
        </w:tc>
      </w:tr>
      <w:tr>
        <w:tc>
          <w:tcPr>
            <w:tcW w:type="dxa" w:w="36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 new cycle begins (Sunday 00:00 local)</w:t>
            </w:r>
          </w:p>
        </w:tc>
        <w:tc>
          <w:tcPr>
            <w:tcW w:type="dxa" w:w="32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Single soft fade-in, fade-out</w:t>
            </w:r>
          </w:p>
        </w:tc>
        <w:tc>
          <w:tcPr>
            <w:tcW w:type="dxa" w:w="25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8 seconds</w:t>
            </w:r>
          </w:p>
        </w:tc>
      </w:tr>
      <w:tr>
        <w:tc>
          <w:tcPr>
            <w:tcW w:type="dxa" w:w="3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Ring completed at end of cycle</w:t>
            </w:r>
          </w:p>
        </w:tc>
        <w:tc>
          <w:tcPr>
            <w:tcW w:type="dxa" w:w="3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Brief gold shimmer</w:t>
            </w:r>
          </w:p>
        </w:tc>
        <w:tc>
          <w:tcPr>
            <w:tcW w:type="dxa" w:w="25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4 seconds</w:t>
            </w:r>
          </w:p>
        </w:tc>
      </w:tr>
      <w:tr>
        <w:tc>
          <w:tcPr>
            <w:tcW w:type="dxa" w:w="36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Device low battery (&lt;15%)</w:t>
            </w:r>
          </w:p>
        </w:tc>
        <w:tc>
          <w:tcPr>
            <w:tcW w:type="dxa" w:w="32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Two quick red blinks, once per hour</w:t>
            </w:r>
          </w:p>
        </w:tc>
        <w:tc>
          <w:tcPr>
            <w:tcW w:type="dxa" w:w="25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Until charged</w:t>
            </w:r>
          </w:p>
        </w:tc>
      </w:tr>
      <w:tr>
        <w:tc>
          <w:tcPr>
            <w:tcW w:type="dxa" w:w="3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All other system events</w:t>
            </w:r>
          </w:p>
        </w:tc>
        <w:tc>
          <w:tcPr>
            <w:tcW w:type="dxa" w:w="3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No glow</w:t>
            </w:r>
          </w:p>
        </w:tc>
        <w:tc>
          <w:tcPr>
            <w:tcW w:type="dxa" w:w="25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2"/>
              <w:left w:val="single" w:color="2E4057" w:sz="12"/>
              <w:bottom w:val="single" w:color="2E4057" w:sz="4"/>
              <w:right w:val="single" w:color="2E4057" w:sz="4"/>
            </w:tcBorders>
            <w:shd w:fill="F4E9DC" w:color="auto" w:val="clear"/>
            <w:tcMar>
              <w:top w:type="dxa" w:w="180"/>
              <w:left w:type="dxa" w:w="240"/>
              <w:bottom w:type="dxa" w:w="180"/>
              <w:right w:type="dxa" w:w="240"/>
            </w:tcMar>
          </w:tcPr>
          <w:p>
            <w:pPr>
              <w:spacing w:after="80" w:before="0"/>
            </w:pPr>
            <w:r>
              <w:rPr>
                <w:rFonts w:ascii="Calibri" w:cs="Calibri" w:eastAsia="Calibri" w:hAnsi="Calibri"/>
                <w:b/>
                <w:bCs/>
                <w:color w:val="2E4057"/>
                <w:sz w:val="22"/>
                <w:szCs w:val="22"/>
              </w:rPr>
              <w:t xml:space="preserve">Glow is not a notification</w:t>
            </w:r>
          </w:p>
          <w:p>
            <w:pPr>
              <w:spacing w:after="60" w:before="0" w:line="280"/>
            </w:pPr>
            <w:r>
              <w:rPr>
                <w:rFonts w:ascii="Calibri" w:cs="Calibri" w:eastAsia="Calibri" w:hAnsi="Calibri"/>
                <w:color w:val="1A1A1A"/>
                <w:sz w:val="22"/>
                <w:szCs w:val="22"/>
              </w:rPr>
              <w:t xml:space="preserve">The glow does not compete for attention like a phone notification. It emits a single, unambiguous meaning: something real has happened in your Moat. There is no per-message glow. There is no ‘five new messages’ glow. Only the Major Statement triggers it. This is deliberate restraint.</w:t>
            </w:r>
          </w:p>
        </w:tc>
      </w:tr>
    </w:tbl>
    <w:p>
      <w:pPr>
        <w:pStyle w:val="Heading2"/>
        <w:spacing w:after="140" w:before="280"/>
      </w:pPr>
      <w:r>
        <w:rPr>
          <w:rFonts w:ascii="Calibri" w:cs="Calibri" w:eastAsia="Calibri" w:hAnsi="Calibri"/>
          <w:b/>
          <w:bCs/>
          <w:color w:val="2E4057"/>
          <w:sz w:val="28"/>
          <w:szCs w:val="28"/>
        </w:rPr>
        <w:t xml:space="preserve">5.6  The Rings</w:t>
      </w:r>
    </w:p>
    <w:p>
      <w:pPr>
        <w:spacing w:after="120" w:before="60" w:line="300"/>
      </w:pPr>
      <w:r>
        <w:rPr>
          <w:rFonts w:ascii="Calibri" w:cs="Calibri" w:eastAsia="Calibri" w:hAnsi="Calibri"/>
          <w:b w:val="false"/>
          <w:bCs w:val="false"/>
          <w:i w:val="false"/>
          <w:iCs w:val="false"/>
          <w:color w:val="1A1A1A"/>
          <w:sz w:val="22"/>
          <w:szCs w:val="22"/>
        </w:rPr>
        <w:t xml:space="preserve">The rings are the visible record of a user’s practice. They are computed from observable behaviour in the Moat and are displayed to the user alone. No other user ever sees another user’s rings.</w:t>
      </w:r>
    </w:p>
    <w:p>
      <w:pPr>
        <w:pStyle w:val="Heading3"/>
        <w:spacing w:after="100" w:before="220"/>
      </w:pPr>
      <w:r>
        <w:rPr>
          <w:rFonts w:ascii="Calibri" w:cs="Calibri" w:eastAsia="Calibri" w:hAnsi="Calibri"/>
          <w:b/>
          <w:bCs/>
          <w:color w:val="1A1A1A"/>
          <w:sz w:val="24"/>
          <w:szCs w:val="24"/>
        </w:rPr>
        <w:t xml:space="preserve">5.6.1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00"/>
        <w:gridCol w:w="1860"/>
      </w:tblGrid>
      <w:tr>
        <w:trPr>
          <w:tblHeader/>
        </w:trPr>
        <w:tc>
          <w:tcPr>
            <w:tcW w:type="dxa" w:w="20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Arc colour</w:t>
            </w:r>
          </w:p>
        </w:tc>
        <w:tc>
          <w:tcPr>
            <w:tcW w:type="dxa" w:w="55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Earned by</w:t>
            </w:r>
          </w:p>
        </w:tc>
        <w:tc>
          <w:tcPr>
            <w:tcW w:type="dxa" w:w="186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Cap per cycle</w:t>
            </w:r>
          </w:p>
        </w:tc>
      </w:tr>
      <w:tr>
        <w:tc>
          <w:tcPr>
            <w:tcW w:type="dxa" w:w="2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Gold</w:t>
            </w:r>
          </w:p>
        </w:tc>
        <w:tc>
          <w:tcPr>
            <w:tcW w:type="dxa" w:w="55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Posting a major_statement that the user later re-engages with in a subsequent cycle (self-indicated ‘breakthrough’).</w:t>
            </w:r>
          </w:p>
        </w:tc>
        <w:tc>
          <w:tcPr>
            <w:tcW w:type="dxa" w:w="18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 per cycle</w:t>
            </w:r>
          </w:p>
        </w:tc>
      </w:tr>
      <w:tr>
        <w:tc>
          <w:tcPr>
            <w:tcW w:type="dxa" w:w="2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Green</w:t>
            </w:r>
          </w:p>
        </w:tc>
        <w:tc>
          <w:tcPr>
            <w:tcW w:type="dxa" w:w="55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Witnessing (posting ≥3 witness messages in a cycle without posting your own major_statement that week).</w:t>
            </w:r>
          </w:p>
        </w:tc>
        <w:tc>
          <w:tcPr>
            <w:tcW w:type="dxa" w:w="18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 per cycle</w:t>
            </w:r>
          </w:p>
        </w:tc>
      </w:tr>
      <w:tr>
        <w:tc>
          <w:tcPr>
            <w:tcW w:type="dxa" w:w="2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Blue</w:t>
            </w:r>
          </w:p>
        </w:tc>
        <w:tc>
          <w:tcPr>
            <w:tcW w:type="dxa" w:w="55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Completing a ritual playthrough on ≥4 distinct days within the cycle.</w:t>
            </w:r>
          </w:p>
        </w:tc>
        <w:tc>
          <w:tcPr>
            <w:tcW w:type="dxa" w:w="18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 per cycle</w:t>
            </w:r>
          </w:p>
        </w:tc>
      </w:tr>
      <w:tr>
        <w:tc>
          <w:tcPr>
            <w:tcW w:type="dxa" w:w="2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Grey (thin fragment)</w:t>
            </w:r>
          </w:p>
        </w:tc>
        <w:tc>
          <w:tcPr>
            <w:tcW w:type="dxa" w:w="55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 cycle with minimal presence (&lt;2 interactions).</w:t>
            </w:r>
          </w:p>
        </w:tc>
        <w:tc>
          <w:tcPr>
            <w:tcW w:type="dxa" w:w="18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Automatic; not avoidable</w:t>
            </w:r>
          </w:p>
        </w:tc>
      </w:tr>
      <w:tr>
        <w:tc>
          <w:tcPr>
            <w:tcW w:type="dxa" w:w="2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Fire scar</w:t>
            </w:r>
          </w:p>
        </w:tc>
        <w:tc>
          <w:tcPr>
            <w:tcW w:type="dxa" w:w="55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 cycle in which the user self-marks ‘hard season — staying’ at the start and is still present at the end.</w:t>
            </w:r>
          </w:p>
        </w:tc>
        <w:tc>
          <w:tcPr>
            <w:tcW w:type="dxa" w:w="18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Up to 1 per cycle</w:t>
            </w:r>
          </w:p>
        </w:tc>
      </w:tr>
    </w:tbl>
    <w:p>
      <w:pPr>
        <w:pStyle w:val="Heading3"/>
        <w:spacing w:after="100" w:before="220"/>
      </w:pPr>
      <w:r>
        <w:rPr>
          <w:rFonts w:ascii="Calibri" w:cs="Calibri" w:eastAsia="Calibri" w:hAnsi="Calibri"/>
          <w:b/>
          <w:bCs/>
          <w:color w:val="1A1A1A"/>
          <w:sz w:val="24"/>
          <w:szCs w:val="24"/>
        </w:rPr>
        <w:t xml:space="preserve">5.6.2  Computation</w:t>
      </w:r>
    </w:p>
    <w:p>
      <w:pPr>
        <w:pStyle w:val="ListParagraph"/>
        <w:numPr>
          <w:ilvl w:val="0"/>
          <w:numId w:val="2"/>
        </w:numPr>
        <w:spacing w:after="60" w:before="30" w:line="280"/>
      </w:pPr>
      <w:r>
        <w:rPr>
          <w:rFonts w:ascii="Calibri" w:cs="Calibri" w:eastAsia="Calibri" w:hAnsi="Calibri"/>
          <w:color w:val="1A1A1A"/>
          <w:sz w:val="22"/>
          <w:szCs w:val="22"/>
        </w:rPr>
        <w:t xml:space="preserve">Rings are computed client-side from a local ledger of the user’s own activity. The server does not know a user’s ring state.</w:t>
      </w:r>
    </w:p>
    <w:p>
      <w:pPr>
        <w:pStyle w:val="ListParagraph"/>
        <w:numPr>
          <w:ilvl w:val="0"/>
          <w:numId w:val="2"/>
        </w:numPr>
        <w:spacing w:after="60" w:before="30" w:line="280"/>
      </w:pPr>
      <w:r>
        <w:rPr>
          <w:rFonts w:ascii="Calibri" w:cs="Calibri" w:eastAsia="Calibri" w:hAnsi="Calibri"/>
          <w:color w:val="1A1A1A"/>
          <w:sz w:val="22"/>
          <w:szCs w:val="22"/>
        </w:rPr>
        <w:t xml:space="preserve">Breakthrough re-engagement is a voluntary user action — they tap a previous major_statement hash they remember and confirm ‘this one changed something’. No algorithm judges breakthroughs.</w:t>
      </w:r>
    </w:p>
    <w:p>
      <w:pPr>
        <w:pStyle w:val="ListParagraph"/>
        <w:numPr>
          <w:ilvl w:val="0"/>
          <w:numId w:val="2"/>
        </w:numPr>
        <w:spacing w:after="60" w:before="30" w:line="280"/>
      </w:pPr>
      <w:r>
        <w:rPr>
          <w:rFonts w:ascii="Calibri" w:cs="Calibri" w:eastAsia="Calibri" w:hAnsi="Calibri"/>
          <w:color w:val="1A1A1A"/>
          <w:sz w:val="22"/>
          <w:szCs w:val="22"/>
        </w:rPr>
        <w:t xml:space="preserve">Rings from past cycles persist on-device. They can be exported by the user as an image or JSON. They cannot be imported into another account.</w:t>
      </w:r>
    </w:p>
    <w:p>
      <w:pPr>
        <w:pStyle w:val="Heading2"/>
        <w:spacing w:after="140" w:before="280"/>
      </w:pPr>
      <w:r>
        <w:rPr>
          <w:rFonts w:ascii="Calibri" w:cs="Calibri" w:eastAsia="Calibri" w:hAnsi="Calibri"/>
          <w:b/>
          <w:bCs/>
          <w:color w:val="2E4057"/>
          <w:sz w:val="28"/>
          <w:szCs w:val="28"/>
        </w:rPr>
        <w:t xml:space="preserve">5.7  The Email dispatcher</w:t>
      </w:r>
    </w:p>
    <w:p>
      <w:pPr>
        <w:spacing w:after="120" w:before="60" w:line="300"/>
      </w:pPr>
      <w:r>
        <w:rPr>
          <w:rFonts w:ascii="Calibri" w:cs="Calibri" w:eastAsia="Calibri" w:hAnsi="Calibri"/>
          <w:b w:val="false"/>
          <w:bCs w:val="false"/>
          <w:i w:val="false"/>
          <w:iCs w:val="false"/>
          <w:color w:val="1A1A1A"/>
          <w:sz w:val="22"/>
          <w:szCs w:val="22"/>
        </w:rPr>
        <w:t xml:space="preserve">The ritual prescription is delivered via email for a specific reason: it lands outside the app, in a channel the user controls, and it survives past the seven-day deletion window. The user’s handwritten journal is the long-term record; the email is the bridge between the ritual and that record.</w:t>
      </w:r>
    </w:p>
    <w:p>
      <w:pPr>
        <w:pStyle w:val="Heading3"/>
        <w:spacing w:after="100" w:before="220"/>
      </w:pPr>
      <w:r>
        <w:rPr>
          <w:rFonts w:ascii="Calibri" w:cs="Calibri" w:eastAsia="Calibri" w:hAnsi="Calibri"/>
          <w:b/>
          <w:bCs/>
          <w:color w:val="1A1A1A"/>
          <w:sz w:val="24"/>
          <w:szCs w:val="24"/>
        </w:rPr>
        <w:t xml:space="preserve">5.7.1  Constraints</w:t>
      </w:r>
    </w:p>
    <w:p>
      <w:pPr>
        <w:pStyle w:val="ListParagraph"/>
        <w:numPr>
          <w:ilvl w:val="0"/>
          <w:numId w:val="2"/>
        </w:numPr>
        <w:spacing w:after="60" w:before="30" w:line="280"/>
      </w:pPr>
      <w:r>
        <w:rPr>
          <w:rFonts w:ascii="Calibri" w:cs="Calibri" w:eastAsia="Calibri" w:hAnsi="Calibri"/>
          <w:color w:val="1A1A1A"/>
          <w:sz w:val="22"/>
          <w:szCs w:val="22"/>
        </w:rPr>
        <w:t xml:space="preserve">Email body is plain-text by default; an HTML alternative is offered with minimal styling.</w:t>
      </w:r>
    </w:p>
    <w:p>
      <w:pPr>
        <w:pStyle w:val="ListParagraph"/>
        <w:numPr>
          <w:ilvl w:val="0"/>
          <w:numId w:val="2"/>
        </w:numPr>
        <w:spacing w:after="60" w:before="30" w:line="280"/>
      </w:pPr>
      <w:r>
        <w:rPr>
          <w:rFonts w:ascii="Calibri" w:cs="Calibri" w:eastAsia="Calibri" w:hAnsi="Calibri"/>
          <w:color w:val="1A1A1A"/>
          <w:sz w:val="22"/>
          <w:szCs w:val="22"/>
        </w:rPr>
        <w:t xml:space="preserve">No tracking pixels. No open-tracking. No click-tracking. No ‘view in browser’ link.</w:t>
      </w:r>
    </w:p>
    <w:p>
      <w:pPr>
        <w:pStyle w:val="ListParagraph"/>
        <w:numPr>
          <w:ilvl w:val="0"/>
          <w:numId w:val="2"/>
        </w:numPr>
        <w:spacing w:after="60" w:before="30" w:line="280"/>
      </w:pPr>
      <w:r>
        <w:rPr>
          <w:rFonts w:ascii="Calibri" w:cs="Calibri" w:eastAsia="Calibri" w:hAnsi="Calibri"/>
          <w:color w:val="1A1A1A"/>
          <w:sz w:val="22"/>
          <w:szCs w:val="22"/>
        </w:rPr>
        <w:t xml:space="preserve">Emails are sent via Postmark’s transactional stream with dedicated IP. No marketing stream ever.</w:t>
      </w:r>
    </w:p>
    <w:p>
      <w:pPr>
        <w:pStyle w:val="ListParagraph"/>
        <w:numPr>
          <w:ilvl w:val="0"/>
          <w:numId w:val="2"/>
        </w:numPr>
        <w:spacing w:after="60" w:before="30" w:line="280"/>
      </w:pPr>
      <w:r>
        <w:rPr>
          <w:rFonts w:ascii="Calibri" w:cs="Calibri" w:eastAsia="Calibri" w:hAnsi="Calibri"/>
          <w:color w:val="1A1A1A"/>
          <w:sz w:val="22"/>
          <w:szCs w:val="22"/>
        </w:rPr>
        <w:t xml:space="preserve">The unsubscribe link turns off ritual emails; it does not and cannot disable the Moat or the device.</w:t>
      </w:r>
    </w:p>
    <w:p>
      <w:pPr>
        <w:pStyle w:val="ListParagraph"/>
        <w:numPr>
          <w:ilvl w:val="0"/>
          <w:numId w:val="2"/>
        </w:numPr>
        <w:spacing w:after="60" w:before="30" w:line="280"/>
      </w:pPr>
      <w:r>
        <w:rPr>
          <w:rFonts w:ascii="Calibri" w:cs="Calibri" w:eastAsia="Calibri" w:hAnsi="Calibri"/>
          <w:color w:val="1A1A1A"/>
          <w:sz w:val="22"/>
          <w:szCs w:val="22"/>
        </w:rPr>
        <w:t xml:space="preserve">Email address is stored separately from the account record, in a disposable projection that can be deleted independently.</w:t>
      </w:r>
    </w:p>
    <w:p>
      <w:pPr>
        <w:pStyle w:val="Heading2"/>
        <w:spacing w:after="140" w:before="280"/>
      </w:pPr>
      <w:r>
        <w:rPr>
          <w:rFonts w:ascii="Calibri" w:cs="Calibri" w:eastAsia="Calibri" w:hAnsi="Calibri"/>
          <w:b/>
          <w:bCs/>
          <w:color w:val="2E4057"/>
          <w:sz w:val="28"/>
          <w:szCs w:val="28"/>
        </w:rPr>
        <w:t xml:space="preserve">5.8  Journal integration</w:t>
      </w:r>
    </w:p>
    <w:p>
      <w:pPr>
        <w:spacing w:after="120" w:before="60" w:line="300"/>
      </w:pPr>
      <w:r>
        <w:rPr>
          <w:rFonts w:ascii="Calibri" w:cs="Calibri" w:eastAsia="Calibri" w:hAnsi="Calibri"/>
          <w:b w:val="false"/>
          <w:bCs w:val="false"/>
          <w:i w:val="false"/>
          <w:iCs w:val="false"/>
          <w:color w:val="1A1A1A"/>
          <w:sz w:val="22"/>
          <w:szCs w:val="22"/>
        </w:rPr>
        <w:t xml:space="preserve">The physical journal is a paper notebook produced and sold by a third-party stationery partner. We do not build it. We specify only what the first page contains: a seed-phrase grid (24 blank spaces), the three covenant rules printed at the top, and the URL / QR for the app.</w:t>
      </w:r>
    </w:p>
    <w:p>
      <w:pPr>
        <w:pStyle w:val="ListParagraph"/>
        <w:numPr>
          <w:ilvl w:val="0"/>
          <w:numId w:val="2"/>
        </w:numPr>
        <w:spacing w:after="60" w:before="30" w:line="280"/>
      </w:pPr>
      <w:r>
        <w:rPr>
          <w:rFonts w:ascii="Calibri" w:cs="Calibri" w:eastAsia="Calibri" w:hAnsi="Calibri"/>
          <w:color w:val="1A1A1A"/>
          <w:sz w:val="22"/>
          <w:szCs w:val="22"/>
        </w:rPr>
        <w:t xml:space="preserve">There is no QR code scanning step that sends data to us.</w:t>
      </w:r>
    </w:p>
    <w:p>
      <w:pPr>
        <w:pStyle w:val="ListParagraph"/>
        <w:numPr>
          <w:ilvl w:val="0"/>
          <w:numId w:val="2"/>
        </w:numPr>
        <w:spacing w:after="60" w:before="30" w:line="280"/>
      </w:pPr>
      <w:r>
        <w:rPr>
          <w:rFonts w:ascii="Calibri" w:cs="Calibri" w:eastAsia="Calibri" w:hAnsi="Calibri"/>
          <w:color w:val="1A1A1A"/>
          <w:sz w:val="22"/>
          <w:szCs w:val="22"/>
        </w:rPr>
        <w:t xml:space="preserve">The journal is a product relationship, not a software feature. Its role in the architecture is ceremonial — it anchors the seed phrase in the physical world.</w:t>
      </w:r>
    </w:p>
    <w:p>
      <w:pPr>
        <w:pStyle w:val="Heading2"/>
        <w:spacing w:after="140" w:before="280"/>
      </w:pPr>
      <w:r>
        <w:rPr>
          <w:rFonts w:ascii="Calibri" w:cs="Calibri" w:eastAsia="Calibri" w:hAnsi="Calibri"/>
          <w:b/>
          <w:bCs/>
          <w:color w:val="2E4057"/>
          <w:sz w:val="28"/>
          <w:szCs w:val="28"/>
        </w:rPr>
        <w:t xml:space="preserve">5.9  The Lamp — a persistent safety surface</w:t>
      </w:r>
    </w:p>
    <w:p>
      <w:pPr>
        <w:spacing w:after="120" w:before="60" w:line="300"/>
      </w:pPr>
      <w:r>
        <w:rPr>
          <w:rFonts w:ascii="Calibri" w:cs="Calibri" w:eastAsia="Calibri" w:hAnsi="Calibri"/>
          <w:b w:val="false"/>
          <w:bCs w:val="false"/>
          <w:i w:val="false"/>
          <w:iCs w:val="false"/>
          <w:color w:val="1A1A1A"/>
          <w:sz w:val="22"/>
          <w:szCs w:val="22"/>
        </w:rPr>
        <w:t xml:space="preserve">Some users will arrive at Moatly in genuine distress. A platform built for honest self-examination will inevitably surface suicidal ideation, active abuse, and crises beyond what anonymous peer witnessing can hold. The platform does not observe Moat content and therefore cannot detect these moments automatically. What it can do — and must do — is ensure that trained help is always one tap away.</w:t>
      </w:r>
    </w:p>
    <w:p>
      <w:pPr>
        <w:pStyle w:val="Heading3"/>
        <w:spacing w:after="100" w:before="220"/>
      </w:pPr>
      <w:r>
        <w:rPr>
          <w:rFonts w:ascii="Calibri" w:cs="Calibri" w:eastAsia="Calibri" w:hAnsi="Calibri"/>
          <w:b/>
          <w:bCs/>
          <w:color w:val="1A1A1A"/>
          <w:sz w:val="24"/>
          <w:szCs w:val="24"/>
        </w:rPr>
        <w:t xml:space="preserve">5.9.1  What the Lamp is</w:t>
      </w:r>
    </w:p>
    <w:p>
      <w:pPr>
        <w:pStyle w:val="ListParagraph"/>
        <w:numPr>
          <w:ilvl w:val="0"/>
          <w:numId w:val="2"/>
        </w:numPr>
        <w:spacing w:after="60" w:before="30" w:line="280"/>
      </w:pPr>
      <w:r>
        <w:rPr>
          <w:rFonts w:ascii="Calibri" w:cs="Calibri" w:eastAsia="Calibri" w:hAnsi="Calibri"/>
          <w:color w:val="1A1A1A"/>
          <w:sz w:val="22"/>
          <w:szCs w:val="22"/>
        </w:rPr>
        <w:t xml:space="preserve">A single, unobtrusive lamp icon is always visible in the corner of the Moat UI. It does not pulse, does not badge, does not ask for attention. It is simply there, every session.</w:t>
      </w:r>
    </w:p>
    <w:p>
      <w:pPr>
        <w:pStyle w:val="ListParagraph"/>
        <w:numPr>
          <w:ilvl w:val="0"/>
          <w:numId w:val="2"/>
        </w:numPr>
        <w:spacing w:after="60" w:before="30" w:line="280"/>
      </w:pPr>
      <w:r>
        <w:rPr>
          <w:rFonts w:ascii="Calibri" w:cs="Calibri" w:eastAsia="Calibri" w:hAnsi="Calibri"/>
          <w:color w:val="1A1A1A"/>
          <w:sz w:val="22"/>
          <w:szCs w:val="22"/>
        </w:rPr>
        <w:t xml:space="preserve">Tapping the lamp opens a full-screen, curated list of verified crisis resources for the user’s country (detected from phone locale, not IP).</w:t>
      </w:r>
    </w:p>
    <w:p>
      <w:pPr>
        <w:pStyle w:val="ListParagraph"/>
        <w:numPr>
          <w:ilvl w:val="0"/>
          <w:numId w:val="2"/>
        </w:numPr>
        <w:spacing w:after="60" w:before="30" w:line="280"/>
      </w:pPr>
      <w:r>
        <w:rPr>
          <w:rFonts w:ascii="Calibri" w:cs="Calibri" w:eastAsia="Calibri" w:hAnsi="Calibri"/>
          <w:color w:val="1A1A1A"/>
          <w:sz w:val="22"/>
          <w:szCs w:val="22"/>
        </w:rPr>
        <w:t xml:space="preserve">The list includes: suicide and crisis lifelines, domestic-abuse helplines, child-safety lines, and the local equivalent of emergency services.</w:t>
      </w:r>
    </w:p>
    <w:p>
      <w:pPr>
        <w:pStyle w:val="ListParagraph"/>
        <w:numPr>
          <w:ilvl w:val="0"/>
          <w:numId w:val="2"/>
        </w:numPr>
        <w:spacing w:after="60" w:before="30" w:line="280"/>
      </w:pPr>
      <w:r>
        <w:rPr>
          <w:rFonts w:ascii="Calibri" w:cs="Calibri" w:eastAsia="Calibri" w:hAnsi="Calibri"/>
          <w:color w:val="1A1A1A"/>
          <w:sz w:val="22"/>
          <w:szCs w:val="22"/>
        </w:rPr>
        <w:t xml:space="preserve">The list is versioned inside the app bundle and works offline. No runtime fetch. No dependency on the server being reachable.</w:t>
      </w:r>
    </w:p>
    <w:p>
      <w:pPr>
        <w:pStyle w:val="ListParagraph"/>
        <w:numPr>
          <w:ilvl w:val="0"/>
          <w:numId w:val="2"/>
        </w:numPr>
        <w:spacing w:after="60" w:before="30" w:line="280"/>
      </w:pPr>
      <w:r>
        <w:rPr>
          <w:rFonts w:ascii="Calibri" w:cs="Calibri" w:eastAsia="Calibri" w:hAnsi="Calibri"/>
          <w:color w:val="1A1A1A"/>
          <w:sz w:val="22"/>
          <w:szCs w:val="22"/>
        </w:rPr>
        <w:t xml:space="preserve">No interaction with the Lamp is logged, counted, or transmitted. We do not know who tapped it. Ever.</w:t>
      </w:r>
    </w:p>
    <w:p>
      <w:pPr>
        <w:pStyle w:val="Heading3"/>
        <w:spacing w:after="100" w:before="220"/>
      </w:pPr>
      <w:r>
        <w:rPr>
          <w:rFonts w:ascii="Calibri" w:cs="Calibri" w:eastAsia="Calibri" w:hAnsi="Calibri"/>
          <w:b/>
          <w:bCs/>
          <w:color w:val="1A1A1A"/>
          <w:sz w:val="24"/>
          <w:szCs w:val="24"/>
        </w:rPr>
        <w:t xml:space="preserve">5.9.2  Editorial responsibility</w:t>
      </w:r>
    </w:p>
    <w:p>
      <w:pPr>
        <w:spacing w:after="120" w:before="60" w:line="300"/>
      </w:pPr>
      <w:r>
        <w:rPr>
          <w:rFonts w:ascii="Calibri" w:cs="Calibri" w:eastAsia="Calibri" w:hAnsi="Calibri"/>
          <w:b w:val="false"/>
          <w:bCs w:val="false"/>
          <w:i w:val="false"/>
          <w:iCs w:val="false"/>
          <w:color w:val="1A1A1A"/>
          <w:sz w:val="22"/>
          <w:szCs w:val="22"/>
        </w:rPr>
        <w:t xml:space="preserve">The resource list is curated by the product team against a defined review checklist: the source accepts contacts from its stated territory, is clearly staffed, is transparent about methodology, and is not a lead-generation funnel for paid services. Resources are reviewed quarterly and on notification of any change to a listed service.</w:t>
      </w:r>
    </w:p>
    <w:p>
      <w:pPr>
        <w:pStyle w:val="Heading3"/>
        <w:spacing w:after="100" w:before="220"/>
      </w:pPr>
      <w:r>
        <w:rPr>
          <w:rFonts w:ascii="Calibri" w:cs="Calibri" w:eastAsia="Calibri" w:hAnsi="Calibri"/>
          <w:b/>
          <w:bCs/>
          <w:color w:val="1A1A1A"/>
          <w:sz w:val="24"/>
          <w:szCs w:val="24"/>
        </w:rPr>
        <w:t xml:space="preserve">5.9.3  Onboarding integration</w:t>
      </w:r>
    </w:p>
    <w:p>
      <w:pPr>
        <w:spacing w:after="120" w:before="60" w:line="300"/>
      </w:pPr>
      <w:r>
        <w:rPr>
          <w:rFonts w:ascii="Calibri" w:cs="Calibri" w:eastAsia="Calibri" w:hAnsi="Calibri"/>
          <w:b w:val="false"/>
          <w:bCs w:val="false"/>
          <w:i w:val="false"/>
          <w:iCs w:val="false"/>
          <w:color w:val="1A1A1A"/>
          <w:sz w:val="22"/>
          <w:szCs w:val="22"/>
        </w:rPr>
        <w:t xml:space="preserve">The Lamp is explicitly introduced during onboarding, after the covenant acceptance and before Moat placement. The onboarding copy acknowledges plainly that other Moat members are not trained responders, that the work of witnessing is not the work of crisis care, and that the Lamp is always available to any user who needs real help.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2"/>
              <w:left w:val="single" w:color="2E4057" w:sz="12"/>
              <w:bottom w:val="single" w:color="2E4057" w:sz="4"/>
              <w:right w:val="single" w:color="2E4057" w:sz="4"/>
            </w:tcBorders>
            <w:shd w:fill="F4E9DC" w:color="auto" w:val="clear"/>
            <w:tcMar>
              <w:top w:type="dxa" w:w="180"/>
              <w:left w:type="dxa" w:w="240"/>
              <w:bottom w:type="dxa" w:w="180"/>
              <w:right w:type="dxa" w:w="240"/>
            </w:tcMar>
          </w:tcPr>
          <w:p>
            <w:pPr>
              <w:spacing w:after="80" w:before="0"/>
            </w:pPr>
            <w:r>
              <w:rPr>
                <w:rFonts w:ascii="Calibri" w:cs="Calibri" w:eastAsia="Calibri" w:hAnsi="Calibri"/>
                <w:b/>
                <w:bCs/>
                <w:color w:val="2E4057"/>
                <w:sz w:val="22"/>
                <w:szCs w:val="22"/>
              </w:rPr>
              <w:t xml:space="preserve">The Lamp is not optional</w:t>
            </w:r>
          </w:p>
          <w:p>
            <w:pPr>
              <w:spacing w:after="60" w:before="0" w:line="280"/>
            </w:pPr>
            <w:r>
              <w:rPr>
                <w:rFonts w:ascii="Calibri" w:cs="Calibri" w:eastAsia="Calibri" w:hAnsi="Calibri"/>
                <w:color w:val="1A1A1A"/>
                <w:sz w:val="22"/>
                <w:szCs w:val="22"/>
              </w:rPr>
              <w:t xml:space="preserve">An E2E-encrypted anonymous platform cannot detect a user in crisis. The Lamp is how we meet our duty of care in a form that does not violate any principle in section 2. Removing it or hiding it is not acceptable under any circumstances.</w:t>
            </w:r>
          </w:p>
        </w:tc>
      </w:tr>
    </w:tbl>
    <w:p>
      <w:pPr>
        <w:pStyle w:val="Heading2"/>
        <w:spacing w:after="140" w:before="280"/>
      </w:pPr>
      <w:r>
        <w:rPr>
          <w:rFonts w:ascii="Calibri" w:cs="Calibri" w:eastAsia="Calibri" w:hAnsi="Calibri"/>
          <w:b/>
          <w:bCs/>
          <w:color w:val="2E4057"/>
          <w:sz w:val="28"/>
          <w:szCs w:val="28"/>
        </w:rPr>
        <w:t xml:space="preserve">5.10  Complaint and reassignment flow</w:t>
      </w:r>
    </w:p>
    <w:p>
      <w:pPr>
        <w:spacing w:after="120" w:before="60" w:line="300"/>
      </w:pPr>
      <w:r>
        <w:rPr>
          <w:rFonts w:ascii="Calibri" w:cs="Calibri" w:eastAsia="Calibri" w:hAnsi="Calibri"/>
          <w:b w:val="false"/>
          <w:bCs w:val="false"/>
          <w:i w:val="false"/>
          <w:iCs w:val="false"/>
          <w:color w:val="1A1A1A"/>
          <w:sz w:val="22"/>
          <w:szCs w:val="22"/>
        </w:rPr>
        <w:t xml:space="preserve">Moatly is unmoderated in content. It is not unmoderated in conduct. Witnessing is a specific practice; someone who violates it — by giving advice repeatedly, targeting a member, bringing commercial or coercive content, or behaving abusively — must be removable even though no human at Moatly can read the content.</w:t>
      </w:r>
    </w:p>
    <w:p>
      <w:pPr>
        <w:pStyle w:val="Heading3"/>
        <w:spacing w:after="100" w:before="220"/>
      </w:pPr>
      <w:r>
        <w:rPr>
          <w:rFonts w:ascii="Calibri" w:cs="Calibri" w:eastAsia="Calibri" w:hAnsi="Calibri"/>
          <w:b/>
          <w:bCs/>
          <w:color w:val="1A1A1A"/>
          <w:sz w:val="24"/>
          <w:szCs w:val="24"/>
        </w:rPr>
        <w:t xml:space="preserve">5.10.1  How a complaint works</w:t>
      </w:r>
    </w:p>
    <w:p>
      <w:pPr>
        <w:pStyle w:val="ListParagraph"/>
        <w:numPr>
          <w:ilvl w:val="0"/>
          <w:numId w:val="2"/>
        </w:numPr>
        <w:spacing w:after="60" w:before="30" w:line="280"/>
      </w:pPr>
      <w:r>
        <w:rPr>
          <w:rFonts w:ascii="Calibri" w:cs="Calibri" w:eastAsia="Calibri" w:hAnsi="Calibri"/>
          <w:color w:val="1A1A1A"/>
          <w:sz w:val="22"/>
          <w:szCs w:val="22"/>
        </w:rPr>
        <w:t xml:space="preserve">Any member may file a complaint against another member of their Moat. The complaint is an encrypted envelope visible only to the server and the complainant, never to the rest of the Moat.</w:t>
      </w:r>
    </w:p>
    <w:p>
      <w:pPr>
        <w:pStyle w:val="ListParagraph"/>
        <w:numPr>
          <w:ilvl w:val="0"/>
          <w:numId w:val="2"/>
        </w:numPr>
        <w:spacing w:after="60" w:before="30" w:line="280"/>
      </w:pPr>
      <w:r>
        <w:rPr>
          <w:rFonts w:ascii="Calibri" w:cs="Calibri" w:eastAsia="Calibri" w:hAnsi="Calibri"/>
          <w:color w:val="1A1A1A"/>
          <w:sz w:val="22"/>
          <w:szCs w:val="22"/>
        </w:rPr>
        <w:t xml:space="preserve">A complaint contains: (a) the target member’s in-Moat pseudonym, (b) a single reason selected from a short closed list (advice-giving, targeting, commercial, off-covenant, abuse), (c) an optional message_id reference. The server does not decrypt the referenced message.</w:t>
      </w:r>
    </w:p>
    <w:p>
      <w:pPr>
        <w:pStyle w:val="ListParagraph"/>
        <w:numPr>
          <w:ilvl w:val="0"/>
          <w:numId w:val="2"/>
        </w:numPr>
        <w:spacing w:after="60" w:before="30" w:line="280"/>
      </w:pPr>
      <w:r>
        <w:rPr>
          <w:rFonts w:ascii="Calibri" w:cs="Calibri" w:eastAsia="Calibri" w:hAnsi="Calibri"/>
          <w:color w:val="1A1A1A"/>
          <w:sz w:val="22"/>
          <w:szCs w:val="22"/>
        </w:rPr>
        <w:t xml:space="preserve">The target is not notified of a single complaint. Single complaints do not trigger any action.</w:t>
      </w:r>
    </w:p>
    <w:p>
      <w:pPr>
        <w:pStyle w:val="Heading3"/>
        <w:spacing w:after="100" w:before="220"/>
      </w:pPr>
      <w:r>
        <w:rPr>
          <w:rFonts w:ascii="Calibri" w:cs="Calibri" w:eastAsia="Calibri" w:hAnsi="Calibri"/>
          <w:b/>
          <w:bCs/>
          <w:color w:val="1A1A1A"/>
          <w:sz w:val="24"/>
          <w:szCs w:val="24"/>
        </w:rPr>
        <w:t xml:space="preserve">5.10.2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Trigger</w:t>
            </w:r>
          </w:p>
        </w:tc>
        <w:tc>
          <w:tcPr>
            <w:tcW w:type="dxa" w:w="486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Automatic response</w:t>
            </w:r>
          </w:p>
        </w:tc>
      </w:tr>
      <w:tr>
        <w:tc>
          <w:tcPr>
            <w:tcW w:type="dxa" w:w="45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3+ distinct members of a single Moat complain about the same target, with the same reason, within one cycle.</w:t>
            </w:r>
          </w:p>
        </w:tc>
        <w:tc>
          <w:tcPr>
            <w:tcW w:type="dxa" w:w="48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At cycle boundary the target is silently removed from that Moat and reassigned to a forming Moat in the next cohort. They are told they have been ‘re-seeded’ and offered a fresh start. No reason is given.</w:t>
            </w:r>
          </w:p>
        </w:tc>
      </w:tr>
      <w:tr>
        <w:tc>
          <w:tcPr>
            <w:tcW w:type="dxa" w:w="45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 member has been reassigned from 2 distinct Moats for the same reason.</w:t>
            </w:r>
          </w:p>
        </w:tc>
        <w:tc>
          <w:tcPr>
            <w:tcW w:type="dxa" w:w="48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Human review (one reviewer, time-bounded, working from complaint metadata only — never message content). Outcome: retain with warning, ban with refund, or permanent ban plus refund.</w:t>
            </w:r>
          </w:p>
        </w:tc>
      </w:tr>
      <w:tr>
        <w:tc>
          <w:tcPr>
            <w:tcW w:type="dxa" w:w="45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Abuse-category complaints (CSAM, threats, coordinated harm).</w:t>
            </w:r>
          </w:p>
        </w:tc>
        <w:tc>
          <w:tcPr>
            <w:tcW w:type="dxa" w:w="48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Escalated immediately on first threshold. Account suspended pending review. Law enforcement referral where legally required.</w:t>
            </w:r>
          </w:p>
        </w:tc>
      </w:tr>
    </w:tbl>
    <w:p>
      <w:pPr>
        <w:pStyle w:val="Heading3"/>
        <w:spacing w:after="100" w:before="220"/>
      </w:pPr>
      <w:r>
        <w:rPr>
          <w:rFonts w:ascii="Calibri" w:cs="Calibri" w:eastAsia="Calibri" w:hAnsi="Calibri"/>
          <w:b/>
          <w:bCs/>
          <w:color w:val="1A1A1A"/>
          <w:sz w:val="24"/>
          <w:szCs w:val="24"/>
        </w:rPr>
        <w:t xml:space="preserve">5.10.3  Safeguards against weaponisation</w:t>
      </w:r>
    </w:p>
    <w:p>
      <w:pPr>
        <w:pStyle w:val="ListParagraph"/>
        <w:numPr>
          <w:ilvl w:val="0"/>
          <w:numId w:val="2"/>
        </w:numPr>
        <w:spacing w:after="60" w:before="30" w:line="280"/>
      </w:pPr>
      <w:r>
        <w:rPr>
          <w:rFonts w:ascii="Calibri" w:cs="Calibri" w:eastAsia="Calibri" w:hAnsi="Calibri"/>
          <w:color w:val="1A1A1A"/>
          <w:sz w:val="22"/>
          <w:szCs w:val="22"/>
        </w:rPr>
        <w:t xml:space="preserve">A member who files 5+ complaints that do not reach threshold in a rolling 90 days is themselves reviewed. False or retaliatory complaints are a covenant violation.</w:t>
      </w:r>
    </w:p>
    <w:p>
      <w:pPr>
        <w:pStyle w:val="ListParagraph"/>
        <w:numPr>
          <w:ilvl w:val="0"/>
          <w:numId w:val="2"/>
        </w:numPr>
        <w:spacing w:after="60" w:before="30" w:line="280"/>
      </w:pPr>
      <w:r>
        <w:rPr>
          <w:rFonts w:ascii="Calibri" w:cs="Calibri" w:eastAsia="Calibri" w:hAnsi="Calibri"/>
          <w:color w:val="1A1A1A"/>
          <w:sz w:val="22"/>
          <w:szCs w:val="22"/>
        </w:rPr>
        <w:t xml:space="preserve">Thresholds require distinct complainants. A single complainant cannot stack complaints under different reasons to manufacture removal.</w:t>
      </w:r>
    </w:p>
    <w:p>
      <w:pPr>
        <w:pStyle w:val="ListParagraph"/>
        <w:numPr>
          <w:ilvl w:val="0"/>
          <w:numId w:val="2"/>
        </w:numPr>
        <w:spacing w:after="60" w:before="30" w:line="280"/>
      </w:pPr>
      <w:r>
        <w:rPr>
          <w:rFonts w:ascii="Calibri" w:cs="Calibri" w:eastAsia="Calibri" w:hAnsi="Calibri"/>
          <w:color w:val="1A1A1A"/>
          <w:sz w:val="22"/>
          <w:szCs w:val="22"/>
        </w:rPr>
        <w:t xml:space="preserve">Reassignment is silent. A user gaming the system cannot enumerate their targets’ new Moats.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2"/>
              <w:left w:val="single" w:color="2E4057" w:sz="12"/>
              <w:bottom w:val="single" w:color="2E4057" w:sz="4"/>
              <w:right w:val="single" w:color="2E4057" w:sz="4"/>
            </w:tcBorders>
            <w:shd w:fill="F4E9DC" w:color="auto" w:val="clear"/>
            <w:tcMar>
              <w:top w:type="dxa" w:w="180"/>
              <w:left w:type="dxa" w:w="240"/>
              <w:bottom w:type="dxa" w:w="180"/>
              <w:right w:type="dxa" w:w="240"/>
            </w:tcMar>
          </w:tcPr>
          <w:p>
            <w:pPr>
              <w:spacing w:after="80" w:before="0"/>
            </w:pPr>
            <w:r>
              <w:rPr>
                <w:rFonts w:ascii="Calibri" w:cs="Calibri" w:eastAsia="Calibri" w:hAnsi="Calibri"/>
                <w:b/>
                <w:bCs/>
                <w:color w:val="2E4057"/>
                <w:sz w:val="22"/>
                <w:szCs w:val="22"/>
              </w:rPr>
              <w:t xml:space="preserve">No content is ever read</w:t>
            </w:r>
          </w:p>
          <w:p>
            <w:pPr>
              <w:spacing w:after="60" w:before="0" w:line="280"/>
            </w:pPr>
            <w:r>
              <w:rPr>
                <w:rFonts w:ascii="Calibri" w:cs="Calibri" w:eastAsia="Calibri" w:hAnsi="Calibri"/>
                <w:color w:val="1A1A1A"/>
                <w:sz w:val="22"/>
                <w:szCs w:val="22"/>
              </w:rPr>
              <w:t xml:space="preserve">Every decision in this pipeline is made from metadata alone — who complained, about whom, with what reason, how many times. The server cannot decrypt the offending message even if a complaint references one. This is how conduct moderation and content privacy coexist.</w:t>
            </w:r>
          </w:p>
        </w:tc>
      </w:tr>
    </w:tbl>
    <w:p>
      <w:r>
        <w:br w:type="page"/>
      </w:r>
    </w:p>
    <w:p>
      <w:pPr>
        <w:pStyle w:val="Heading1"/>
        <w:spacing w:after="180" w:before="360"/>
      </w:pPr>
      <w:r>
        <w:rPr>
          <w:rFonts w:ascii="Calibri" w:cs="Calibri" w:eastAsia="Calibri" w:hAnsi="Calibri"/>
          <w:b/>
          <w:bCs/>
          <w:color w:val="2E4057"/>
          <w:sz w:val="36"/>
          <w:szCs w:val="36"/>
        </w:rPr>
        <w:t xml:space="preserve">6.  Security and cryptography</w:t>
      </w:r>
    </w:p>
    <w:p>
      <w:pPr>
        <w:spacing w:after="120" w:before="60" w:line="300"/>
      </w:pPr>
      <w:r>
        <w:rPr>
          <w:rFonts w:ascii="Calibri" w:cs="Calibri" w:eastAsia="Calibri" w:hAnsi="Calibri"/>
          <w:b w:val="false"/>
          <w:bCs w:val="false"/>
          <w:i w:val="false"/>
          <w:iCs w:val="false"/>
          <w:color w:val="1A1A1A"/>
          <w:sz w:val="22"/>
          <w:szCs w:val="22"/>
        </w:rPr>
        <w:t xml:space="preserve">This section is written to be reviewed by an external cryptographer before any production code is written. The goal is not to be clever. The goal is to be boring in a way that is provably correct.</w:t>
      </w:r>
    </w:p>
    <w:p>
      <w:pPr>
        <w:pStyle w:val="Heading2"/>
        <w:spacing w:after="140" w:before="280"/>
      </w:pPr>
      <w:r>
        <w:rPr>
          <w:rFonts w:ascii="Calibri" w:cs="Calibri" w:eastAsia="Calibri" w:hAnsi="Calibri"/>
          <w:b/>
          <w:bCs/>
          <w:color w:val="2E4057"/>
          <w:sz w:val="28"/>
          <w:szCs w:val="28"/>
        </w:rPr>
        <w:t xml:space="preserve">6.1  Threat model</w:t>
      </w:r>
    </w:p>
    <w:p>
      <w:pPr>
        <w:spacing w:after="120" w:before="60" w:line="300"/>
      </w:pPr>
      <w:r>
        <w:rPr>
          <w:rFonts w:ascii="Calibri" w:cs="Calibri" w:eastAsia="Calibri" w:hAnsi="Calibri"/>
          <w:b w:val="false"/>
          <w:bCs w:val="false"/>
          <w:i w:val="false"/>
          <w:iCs w:val="false"/>
          <w:color w:val="1A1A1A"/>
          <w:sz w:val="22"/>
          <w:szCs w:val="22"/>
        </w:rPr>
        <w:t xml:space="preserve">We design against these adversaries, in descending order of expected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Adversary</w:t>
            </w:r>
          </w:p>
        </w:tc>
        <w:tc>
          <w:tcPr>
            <w:tcW w:type="dxa" w:w="32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Capability assumed</w:t>
            </w:r>
          </w:p>
        </w:tc>
        <w:tc>
          <w:tcPr>
            <w:tcW w:type="dxa" w:w="336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Must not succeed in</w:t>
            </w:r>
          </w:p>
        </w:tc>
      </w:tr>
      <w:tr>
        <w:tc>
          <w:tcPr>
            <w:tcW w:type="dxa" w:w="2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State-level actor with lawful-order access to our infra</w:t>
            </w:r>
          </w:p>
        </w:tc>
        <w:tc>
          <w:tcPr>
            <w:tcW w:type="dxa" w:w="3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Full read of server state, compelled cooperation from us.</w:t>
            </w:r>
          </w:p>
        </w:tc>
        <w:tc>
          <w:tcPr>
            <w:tcW w:type="dxa" w:w="33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Reading any past, present, or future Moat content. At worst: obtaining ciphertext that cannot be decrypted.</w:t>
            </w:r>
          </w:p>
        </w:tc>
      </w:tr>
      <w:tr>
        <w:tc>
          <w:tcPr>
            <w:tcW w:type="dxa" w:w="2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Malicious insider at Moatly</w:t>
            </w:r>
          </w:p>
        </w:tc>
        <w:tc>
          <w:tcPr>
            <w:tcW w:type="dxa" w:w="32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Shell access to production databases and object stores.</w:t>
            </w:r>
          </w:p>
        </w:tc>
        <w:tc>
          <w:tcPr>
            <w:tcW w:type="dxa" w:w="33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Reading Moat content. Exporting decryptable data. Disabling deletion without detection.</w:t>
            </w:r>
          </w:p>
        </w:tc>
      </w:tr>
      <w:tr>
        <w:tc>
          <w:tcPr>
            <w:tcW w:type="dxa" w:w="2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Opportunistic attacker with stolen backups</w:t>
            </w:r>
          </w:p>
        </w:tc>
        <w:tc>
          <w:tcPr>
            <w:tcW w:type="dxa" w:w="3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Cold copy of an encrypted backup.</w:t>
            </w:r>
          </w:p>
        </w:tc>
        <w:tc>
          <w:tcPr>
            <w:tcW w:type="dxa" w:w="33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Decrypting content older than 8 days (forward secrecy via key rotation).</w:t>
            </w:r>
          </w:p>
        </w:tc>
      </w:tr>
      <w:tr>
        <w:tc>
          <w:tcPr>
            <w:tcW w:type="dxa" w:w="2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Attacker with a stolen device</w:t>
            </w:r>
          </w:p>
        </w:tc>
        <w:tc>
          <w:tcPr>
            <w:tcW w:type="dxa" w:w="32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Physical possession of the device only.</w:t>
            </w:r>
          </w:p>
        </w:tc>
        <w:tc>
          <w:tcPr>
            <w:tcW w:type="dxa" w:w="33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Gaining Moat access without also knowing the combination AND having the paired phone.</w:t>
            </w:r>
          </w:p>
        </w:tc>
      </w:tr>
      <w:tr>
        <w:tc>
          <w:tcPr>
            <w:tcW w:type="dxa" w:w="2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Attacker with malware on the phone</w:t>
            </w:r>
          </w:p>
        </w:tc>
        <w:tc>
          <w:tcPr>
            <w:tcW w:type="dxa" w:w="3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Keylogging, screen capture, memory read.</w:t>
            </w:r>
          </w:p>
        </w:tc>
        <w:tc>
          <w:tcPr>
            <w:tcW w:type="dxa" w:w="33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(Acknowledged risk.) On-device compromise defeats any user-facing system. We reduce blast radius via short-lived tokens.</w:t>
            </w:r>
          </w:p>
        </w:tc>
      </w:tr>
      <w:tr>
        <w:tc>
          <w:tcPr>
            <w:tcW w:type="dxa" w:w="2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Network observer</w:t>
            </w:r>
          </w:p>
        </w:tc>
        <w:tc>
          <w:tcPr>
            <w:tcW w:type="dxa" w:w="32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TLS-level traffic observation.</w:t>
            </w:r>
          </w:p>
        </w:tc>
        <w:tc>
          <w:tcPr>
            <w:tcW w:type="dxa" w:w="33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Deriving topic, identity, or group membership beyond what TLS metadata reveals. Traffic is padded to fixed-size envelopes.</w:t>
            </w:r>
          </w:p>
        </w:tc>
      </w:tr>
    </w:tbl>
    <w:p>
      <w:pPr>
        <w:pStyle w:val="Heading2"/>
        <w:spacing w:after="140" w:before="280"/>
      </w:pPr>
      <w:r>
        <w:rPr>
          <w:rFonts w:ascii="Calibri" w:cs="Calibri" w:eastAsia="Calibri" w:hAnsi="Calibri"/>
          <w:b/>
          <w:bCs/>
          <w:color w:val="2E4057"/>
          <w:sz w:val="28"/>
          <w:szCs w:val="28"/>
        </w:rPr>
        <w:t xml:space="preserve">6.2  Group messaging — vodozemac</w:t>
      </w:r>
    </w:p>
    <w:p>
      <w:pPr>
        <w:spacing w:after="120" w:before="60" w:line="300"/>
      </w:pPr>
      <w:r>
        <w:rPr>
          <w:rFonts w:ascii="Calibri" w:cs="Calibri" w:eastAsia="Calibri" w:hAnsi="Calibri"/>
          <w:b w:val="false"/>
          <w:bCs w:val="false"/>
          <w:i w:val="false"/>
          <w:iCs w:val="false"/>
          <w:color w:val="1A1A1A"/>
          <w:sz w:val="22"/>
          <w:szCs w:val="22"/>
        </w:rPr>
        <w:t xml:space="preserve">Moat group messaging uses the Olm/Megolm protocol family via vodozemac, a modern Rust implementation. This protocol family is cryptographically comparable to Signal's group messaging — it shares the Double Ratchet as a foundation — but was developed by the Matrix project and has been deployed at scale in Element and the wider Matrix ecosystem since 2016. Two factors made it the right choice over either libsignal (Signal's own implementation) or MLS (RFC 9420, newer).</w:t>
      </w:r>
    </w:p>
    <w:p>
      <w:pPr>
        <w:pStyle w:val="ListParagraph"/>
        <w:numPr>
          <w:ilvl w:val="0"/>
          <w:numId w:val="2"/>
        </w:numPr>
        <w:spacing w:after="60" w:before="30" w:line="280"/>
      </w:pPr>
      <w:r>
        <w:rPr>
          <w:rFonts w:ascii="Calibri" w:cs="Calibri" w:eastAsia="Calibri" w:hAnsi="Calibri"/>
          <w:color w:val="1A1A1A"/>
          <w:sz w:val="22"/>
          <w:szCs w:val="22"/>
        </w:rPr>
        <w:t xml:space="preserve">Licensing — vodozemac, libolm, and the Olm/Megolm specifications are Apache 2.0. This matches ADR-007 for the rest of our codebase. libsignal is AGPL-3.0, which would force our entire codebase to AGPL if linked. That is a decision with significant downstream consequences for partners and potential acquirers; we preferred to avoid it.</w:t>
      </w:r>
    </w:p>
    <w:p>
      <w:pPr>
        <w:pStyle w:val="ListParagraph"/>
        <w:numPr>
          <w:ilvl w:val="0"/>
          <w:numId w:val="2"/>
        </w:numPr>
        <w:spacing w:after="60" w:before="30" w:line="280"/>
      </w:pPr>
      <w:r>
        <w:rPr>
          <w:rFonts w:ascii="Calibri" w:cs="Calibri" w:eastAsia="Calibri" w:hAnsi="Calibri"/>
          <w:color w:val="1A1A1A"/>
          <w:sz w:val="22"/>
          <w:szCs w:val="22"/>
        </w:rPr>
        <w:t xml:space="preserve">Maturity — nine years of production deployment in Matrix; independent security audit by Least Authority completed in 2022. MLS is newer and its library ecosystem is still maturing.</w:t>
      </w:r>
    </w:p>
    <w:p>
      <w:pPr>
        <w:pStyle w:val="ListParagraph"/>
        <w:numPr>
          <w:ilvl w:val="0"/>
          <w:numId w:val="2"/>
        </w:numPr>
        <w:spacing w:after="60" w:before="30" w:line="280"/>
      </w:pPr>
      <w:r>
        <w:rPr>
          <w:rFonts w:ascii="Calibri" w:cs="Calibri" w:eastAsia="Calibri" w:hAnsi="Calibri"/>
          <w:color w:val="1A1A1A"/>
          <w:sz w:val="22"/>
          <w:szCs w:val="22"/>
        </w:rPr>
        <w:t xml:space="preserve">Forward secrecy — the Double Ratchet at the foundation provides the same guarantee as Signal's Double Ratchet: past messages remain confidential even if current keys leak.</w:t>
      </w:r>
    </w:p>
    <w:p>
      <w:pPr>
        <w:pStyle w:val="ListParagraph"/>
        <w:numPr>
          <w:ilvl w:val="0"/>
          <w:numId w:val="2"/>
        </w:numPr>
        <w:spacing w:after="60" w:before="30" w:line="280"/>
      </w:pPr>
      <w:r>
        <w:rPr>
          <w:rFonts w:ascii="Calibri" w:cs="Calibri" w:eastAsia="Calibri" w:hAnsi="Calibri"/>
          <w:color w:val="1A1A1A"/>
          <w:sz w:val="22"/>
          <w:szCs w:val="22"/>
        </w:rPr>
        <w:t xml:space="preserve">Post-compromise security — a full Megolm session rotation at cycle boundaries and on membership change denies any past member the ability to read future messages.</w:t>
      </w:r>
    </w:p>
    <w:p>
      <w:pPr>
        <w:pStyle w:val="ListParagraph"/>
        <w:numPr>
          <w:ilvl w:val="0"/>
          <w:numId w:val="2"/>
        </w:numPr>
        <w:spacing w:after="60" w:before="30" w:line="280"/>
      </w:pPr>
      <w:r>
        <w:rPr>
          <w:rFonts w:ascii="Calibri" w:cs="Calibri" w:eastAsia="Calibri" w:hAnsi="Calibri"/>
          <w:color w:val="1A1A1A"/>
          <w:sz w:val="22"/>
          <w:szCs w:val="22"/>
        </w:rPr>
        <w:t xml:space="preserve">Group efficiency — Megolm sessions are designed for the small-to-medium group sizes we are building. They would not scale to very large groups, which we are not building.</w:t>
      </w:r>
    </w:p>
    <w:p>
      <w:pPr>
        <w:pStyle w:val="ListParagraph"/>
        <w:numPr>
          <w:ilvl w:val="0"/>
          <w:numId w:val="2"/>
        </w:numPr>
        <w:spacing w:after="60" w:before="30" w:line="280"/>
      </w:pPr>
      <w:r>
        <w:rPr>
          <w:rFonts w:ascii="Calibri" w:cs="Calibri" w:eastAsia="Calibri" w:hAnsi="Calibri"/>
          <w:color w:val="1A1A1A"/>
          <w:sz w:val="22"/>
          <w:szCs w:val="22"/>
        </w:rPr>
        <w:t xml:space="preserve">Asynchronous delivery — members come and go across cycles. Megolm handles missed messages and stale sessions cleanly.</w:t>
      </w:r>
    </w:p>
    <w:p>
      <w:pPr>
        <w:spacing w:after="120" w:before="60" w:line="300"/>
      </w:pPr>
      <w:r>
        <w:rPr>
          <w:rFonts w:ascii="Calibri" w:cs="Calibri" w:eastAsia="Calibri" w:hAnsi="Calibri"/>
          <w:b w:val="false"/>
          <w:bCs w:val="false"/>
          <w:i w:val="false"/>
          <w:iCs w:val="false"/>
          <w:color w:val="1A1A1A"/>
          <w:sz w:val="22"/>
          <w:szCs w:val="22"/>
        </w:rPr>
        <w:t xml:space="preserve">Implementation: vodozemac (Rust) behind a narrow FFI into the mobile runtime. Megolm session rotation is mandatory at every cycle boundary (seven-day cadence) and on any membership change. We pin to a specific vodozemac version, audit upgrades, and run all crypto code through the external reviewer specified in section 10.1.</w:t>
      </w:r>
    </w:p>
    <w:p>
      <w:pPr>
        <w:pStyle w:val="Heading2"/>
        <w:spacing w:after="140" w:before="280"/>
      </w:pPr>
      <w:r>
        <w:rPr>
          <w:rFonts w:ascii="Calibri" w:cs="Calibri" w:eastAsia="Calibri" w:hAnsi="Calibri"/>
          <w:b/>
          <w:bCs/>
          <w:color w:val="2E4057"/>
          <w:sz w:val="28"/>
          <w:szCs w:val="28"/>
        </w:rPr>
        <w:t xml:space="preserve">6.3  Key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Key</w:t>
            </w:r>
          </w:p>
        </w:tc>
        <w:tc>
          <w:tcPr>
            <w:tcW w:type="dxa" w:w="22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Lives where</w:t>
            </w:r>
          </w:p>
        </w:tc>
        <w:tc>
          <w:tcPr>
            <w:tcW w:type="dxa" w:w="22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Rotates when</w:t>
            </w:r>
          </w:p>
        </w:tc>
        <w:tc>
          <w:tcPr>
            <w:tcW w:type="dxa" w:w="296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Purpose</w:t>
            </w:r>
          </w:p>
        </w:tc>
      </w:tr>
      <w:tr>
        <w:tc>
          <w:tcPr>
            <w:tcW w:type="dxa" w:w="2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Device hardware key</w:t>
            </w:r>
          </w:p>
        </w:tc>
        <w:tc>
          <w:tcPr>
            <w:tcW w:type="dxa" w:w="2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nRF5340 secure element</w:t>
            </w:r>
          </w:p>
        </w:tc>
        <w:tc>
          <w:tcPr>
            <w:tcW w:type="dxa" w:w="2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Never (device lifetime)</w:t>
            </w:r>
          </w:p>
        </w:tc>
        <w:tc>
          <w:tcPr>
            <w:tcW w:type="dxa" w:w="29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Attests device identity in auth handshake.</w:t>
            </w:r>
          </w:p>
        </w:tc>
      </w:tr>
      <w:tr>
        <w:tc>
          <w:tcPr>
            <w:tcW w:type="dxa" w:w="2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User master key (from seed phrase)</w:t>
            </w:r>
          </w:p>
        </w:tc>
        <w:tc>
          <w:tcPr>
            <w:tcW w:type="dxa" w:w="22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Keychain / Keystore (iOS / Android)</w:t>
            </w:r>
          </w:p>
        </w:tc>
        <w:tc>
          <w:tcPr>
            <w:tcW w:type="dxa" w:w="22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On explicit user action only</w:t>
            </w:r>
          </w:p>
        </w:tc>
        <w:tc>
          <w:tcPr>
            <w:tcW w:type="dxa" w:w="29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Encrypts local SQLCipher DB. Derives Olm identity key.</w:t>
            </w:r>
          </w:p>
        </w:tc>
      </w:tr>
      <w:tr>
        <w:tc>
          <w:tcPr>
            <w:tcW w:type="dxa" w:w="2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Olm identity key</w:t>
            </w:r>
          </w:p>
        </w:tc>
        <w:tc>
          <w:tcPr>
            <w:tcW w:type="dxa" w:w="2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Mobile keystore</w:t>
            </w:r>
          </w:p>
        </w:tc>
        <w:tc>
          <w:tcPr>
            <w:tcW w:type="dxa" w:w="2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On device re-pairing</w:t>
            </w:r>
          </w:p>
        </w:tc>
        <w:tc>
          <w:tcPr>
            <w:tcW w:type="dxa" w:w="29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Long-term Olm identity within a Moat.</w:t>
            </w:r>
          </w:p>
        </w:tc>
      </w:tr>
      <w:tr>
        <w:tc>
          <w:tcPr>
            <w:tcW w:type="dxa" w:w="2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Megolm session (per-group)</w:t>
            </w:r>
          </w:p>
        </w:tc>
        <w:tc>
          <w:tcPr>
            <w:tcW w:type="dxa" w:w="22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Mobile keystore</w:t>
            </w:r>
          </w:p>
        </w:tc>
        <w:tc>
          <w:tcPr>
            <w:tcW w:type="dxa" w:w="22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Every cycle boundary + on any membership change</w:t>
            </w:r>
          </w:p>
        </w:tc>
        <w:tc>
          <w:tcPr>
            <w:tcW w:type="dxa" w:w="29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Encrypts group messages for the duration of a session.</w:t>
            </w:r>
          </w:p>
        </w:tc>
      </w:tr>
      <w:tr>
        <w:tc>
          <w:tcPr>
            <w:tcW w:type="dxa" w:w="2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Megolm chain / message key</w:t>
            </w:r>
          </w:p>
        </w:tc>
        <w:tc>
          <w:tcPr>
            <w:tcW w:type="dxa" w:w="2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Mobile keystore (ephemeral)</w:t>
            </w:r>
          </w:p>
        </w:tc>
        <w:tc>
          <w:tcPr>
            <w:tcW w:type="dxa" w:w="2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Every message (Double Ratchet)</w:t>
            </w:r>
          </w:p>
        </w:tc>
        <w:tc>
          <w:tcPr>
            <w:tcW w:type="dxa" w:w="29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Per-message AEAD key. Deleted immediately after use.</w:t>
            </w:r>
          </w:p>
        </w:tc>
      </w:tr>
      <w:tr>
        <w:tc>
          <w:tcPr>
            <w:tcW w:type="dxa" w:w="2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Server TLS key</w:t>
            </w:r>
          </w:p>
        </w:tc>
        <w:tc>
          <w:tcPr>
            <w:tcW w:type="dxa" w:w="22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AWS KMS</w:t>
            </w:r>
          </w:p>
        </w:tc>
        <w:tc>
          <w:tcPr>
            <w:tcW w:type="dxa" w:w="22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90 days</w:t>
            </w:r>
          </w:p>
        </w:tc>
        <w:tc>
          <w:tcPr>
            <w:tcW w:type="dxa" w:w="29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Transport only. Does not encrypt any content.</w:t>
            </w:r>
          </w:p>
        </w:tc>
      </w:tr>
      <w:tr>
        <w:tc>
          <w:tcPr>
            <w:tcW w:type="dxa" w:w="2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Backup encryption key</w:t>
            </w:r>
          </w:p>
        </w:tc>
        <w:tc>
          <w:tcPr>
            <w:tcW w:type="dxa" w:w="2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AWS KMS with 8-day expiry</w:t>
            </w:r>
          </w:p>
        </w:tc>
        <w:tc>
          <w:tcPr>
            <w:tcW w:type="dxa" w:w="2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Every 24 hours, key generations retained ≤8 days</w:t>
            </w:r>
          </w:p>
        </w:tc>
        <w:tc>
          <w:tcPr>
            <w:tcW w:type="dxa" w:w="29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Encrypts nightly database snapshots. Old snapshots become cryptographically unrecoverable when their key expires.</w:t>
            </w:r>
          </w:p>
        </w:tc>
      </w:tr>
    </w:tbl>
    <w:p>
      <w:pPr>
        <w:pStyle w:val="Heading2"/>
        <w:spacing w:after="140" w:before="280"/>
      </w:pPr>
      <w:r>
        <w:rPr>
          <w:rFonts w:ascii="Calibri" w:cs="Calibri" w:eastAsia="Calibri" w:hAnsi="Calibri"/>
          <w:b/>
          <w:bCs/>
          <w:color w:val="2E4057"/>
          <w:sz w:val="28"/>
          <w:szCs w:val="28"/>
        </w:rPr>
        <w:t xml:space="preserve">6.4  Attestation and anti-Sybil</w:t>
      </w:r>
    </w:p>
    <w:p>
      <w:pPr>
        <w:spacing w:after="120" w:before="60" w:line="300"/>
      </w:pPr>
      <w:r>
        <w:rPr>
          <w:rFonts w:ascii="Calibri" w:cs="Calibri" w:eastAsia="Calibri" w:hAnsi="Calibri"/>
          <w:b w:val="false"/>
          <w:bCs w:val="false"/>
          <w:i w:val="false"/>
          <w:iCs w:val="false"/>
          <w:color w:val="1A1A1A"/>
          <w:sz w:val="22"/>
          <w:szCs w:val="22"/>
        </w:rPr>
        <w:t xml:space="preserve">A user without a device cannot create a Moat account in production. The device provides hardware attestation at first-pair, and the account is bound to that attested device. This makes Sybil attacks (one person creating many Moat identities) materially harder without requiring personal identification.</w:t>
      </w:r>
    </w:p>
    <w:p>
      <w:pPr>
        <w:pStyle w:val="Heading2"/>
        <w:spacing w:after="140" w:before="280"/>
      </w:pPr>
      <w:r>
        <w:rPr>
          <w:rFonts w:ascii="Calibri" w:cs="Calibri" w:eastAsia="Calibri" w:hAnsi="Calibri"/>
          <w:b/>
          <w:bCs/>
          <w:color w:val="2E4057"/>
          <w:sz w:val="28"/>
          <w:szCs w:val="28"/>
        </w:rPr>
        <w:t xml:space="preserve">6.5  Operational security</w:t>
      </w:r>
    </w:p>
    <w:p>
      <w:pPr>
        <w:pStyle w:val="ListParagraph"/>
        <w:numPr>
          <w:ilvl w:val="0"/>
          <w:numId w:val="2"/>
        </w:numPr>
        <w:spacing w:after="60" w:before="30" w:line="280"/>
      </w:pPr>
      <w:r>
        <w:rPr>
          <w:rFonts w:ascii="Calibri" w:cs="Calibri" w:eastAsia="Calibri" w:hAnsi="Calibri"/>
          <w:color w:val="1A1A1A"/>
          <w:sz w:val="22"/>
          <w:szCs w:val="22"/>
        </w:rPr>
        <w:t xml:space="preserve">All production access via hardware security keys (FIDO2). No password-based SSH.</w:t>
      </w:r>
    </w:p>
    <w:p>
      <w:pPr>
        <w:pStyle w:val="ListParagraph"/>
        <w:numPr>
          <w:ilvl w:val="0"/>
          <w:numId w:val="2"/>
        </w:numPr>
        <w:spacing w:after="60" w:before="30" w:line="280"/>
      </w:pPr>
      <w:r>
        <w:rPr>
          <w:rFonts w:ascii="Calibri" w:cs="Calibri" w:eastAsia="Calibri" w:hAnsi="Calibri"/>
          <w:color w:val="1A1A1A"/>
          <w:sz w:val="22"/>
          <w:szCs w:val="22"/>
        </w:rPr>
        <w:t xml:space="preserve">Four-eyes rule on all production changes. A single engineer cannot deploy to prod.</w:t>
      </w:r>
    </w:p>
    <w:p>
      <w:pPr>
        <w:pStyle w:val="ListParagraph"/>
        <w:numPr>
          <w:ilvl w:val="0"/>
          <w:numId w:val="2"/>
        </w:numPr>
        <w:spacing w:after="60" w:before="30" w:line="280"/>
      </w:pPr>
      <w:r>
        <w:rPr>
          <w:rFonts w:ascii="Calibri" w:cs="Calibri" w:eastAsia="Calibri" w:hAnsi="Calibri"/>
          <w:color w:val="1A1A1A"/>
          <w:sz w:val="22"/>
          <w:szCs w:val="22"/>
        </w:rPr>
        <w:t xml:space="preserve">Logs are metric-only. Any accidental capture of message body triggers an automated wipe plus an incident report.</w:t>
      </w:r>
    </w:p>
    <w:p>
      <w:pPr>
        <w:pStyle w:val="ListParagraph"/>
        <w:numPr>
          <w:ilvl w:val="0"/>
          <w:numId w:val="2"/>
        </w:numPr>
        <w:spacing w:after="60" w:before="30" w:line="280"/>
      </w:pPr>
      <w:r>
        <w:rPr>
          <w:rFonts w:ascii="Calibri" w:cs="Calibri" w:eastAsia="Calibri" w:hAnsi="Calibri"/>
          <w:color w:val="1A1A1A"/>
          <w:sz w:val="22"/>
          <w:szCs w:val="22"/>
        </w:rPr>
        <w:t xml:space="preserve">Quarterly public transparency reports — number of lawful orders received, number resisted, number complied with (we expect the last figure to always be ‘0’ for Moat content, because we cannot comply).</w:t>
      </w:r>
    </w:p>
    <w:p>
      <w:r>
        <w:br w:type="page"/>
      </w:r>
    </w:p>
    <w:p>
      <w:pPr>
        <w:pStyle w:val="Heading1"/>
        <w:spacing w:after="180" w:before="360"/>
      </w:pPr>
      <w:r>
        <w:rPr>
          <w:rFonts w:ascii="Calibri" w:cs="Calibri" w:eastAsia="Calibri" w:hAnsi="Calibri"/>
          <w:b/>
          <w:bCs/>
          <w:color w:val="2E4057"/>
          <w:sz w:val="36"/>
          <w:szCs w:val="36"/>
        </w:rPr>
        <w:t xml:space="preserve">7.  Data model and retention</w:t>
      </w:r>
    </w:p>
    <w:p>
      <w:pPr>
        <w:spacing w:after="120" w:before="60" w:line="300"/>
      </w:pPr>
      <w:r>
        <w:rPr>
          <w:rFonts w:ascii="Calibri" w:cs="Calibri" w:eastAsia="Calibri" w:hAnsi="Calibri"/>
          <w:b w:val="false"/>
          <w:bCs w:val="false"/>
          <w:i w:val="false"/>
          <w:iCs w:val="false"/>
          <w:color w:val="1A1A1A"/>
          <w:sz w:val="22"/>
          <w:szCs w:val="22"/>
        </w:rPr>
        <w:t xml:space="preserve">The schemas below are intentionally minimal. The less we store, the less we can leak.</w:t>
      </w:r>
    </w:p>
    <w:p>
      <w:pPr>
        <w:pStyle w:val="Heading2"/>
        <w:spacing w:after="140" w:before="280"/>
      </w:pPr>
      <w:r>
        <w:rPr>
          <w:rFonts w:ascii="Calibri" w:cs="Calibri" w:eastAsia="Calibri" w:hAnsi="Calibri"/>
          <w:b/>
          <w:bCs/>
          <w:color w:val="2E4057"/>
          <w:sz w:val="28"/>
          <w:szCs w:val="28"/>
        </w:rPr>
        <w:t xml:space="preserve">7.1  Server-side schema (PostgreSQL)</w:t>
      </w:r>
    </w:p>
    <w:p>
      <w:pPr>
        <w:shd w:fill="F2F2F2" w:color="auto" w:val="clear"/>
        <w:spacing w:after="120" w:before="120" w:line="260"/>
        <w:ind w:left="180" w:right="180"/>
      </w:pPr>
      <w:r>
        <w:rPr>
          <w:rFonts w:ascii="Consolas" w:cs="Consolas" w:eastAsia="Consolas" w:hAnsi="Consolas"/>
          <w:color w:val="1A1A1A"/>
          <w:sz w:val="20"/>
          <w:szCs w:val="20"/>
        </w:rPr>
        <w:t xml:space="preserve">-- Accounts are opaque. No email, no name, no phone on the account row.</w:t>
      </w:r>
      <w:r>
        <w:br/>
      </w:r>
      <w:r>
        <w:rPr>
          <w:rFonts w:ascii="Consolas" w:cs="Consolas" w:eastAsia="Consolas" w:hAnsi="Consolas"/>
          <w:color w:val="1A1A1A"/>
          <w:sz w:val="20"/>
          <w:szCs w:val="20"/>
        </w:rPr>
        <w:t xml:space="preserve">CREATE TABLE accounts (</w:t>
      </w:r>
      <w:r>
        <w:br/>
      </w:r>
      <w:r>
        <w:rPr>
          <w:rFonts w:ascii="Consolas" w:cs="Consolas" w:eastAsia="Consolas" w:hAnsi="Consolas"/>
          <w:color w:val="1A1A1A"/>
          <w:sz w:val="20"/>
          <w:szCs w:val="20"/>
        </w:rPr>
        <w:t xml:space="preserve">  account_id        UUID PRIMARY KEY,</w:t>
      </w:r>
      <w:r>
        <w:br/>
      </w:r>
      <w:r>
        <w:rPr>
          <w:rFonts w:ascii="Consolas" w:cs="Consolas" w:eastAsia="Consolas" w:hAnsi="Consolas"/>
          <w:color w:val="1A1A1A"/>
          <w:sz w:val="20"/>
          <w:szCs w:val="20"/>
        </w:rPr>
        <w:t xml:space="preserve">  created_at        TIMESTAMPTZ NOT NULL DEFAULT now(),</w:t>
      </w:r>
      <w:r>
        <w:br/>
      </w:r>
      <w:r>
        <w:rPr>
          <w:rFonts w:ascii="Consolas" w:cs="Consolas" w:eastAsia="Consolas" w:hAnsi="Consolas"/>
          <w:color w:val="1A1A1A"/>
          <w:sz w:val="20"/>
          <w:szCs w:val="20"/>
        </w:rPr>
        <w:t xml:space="preserve">  covenant_hash     BYTEA NOT NULL,            -- hash of accepted covenant text</w:t>
      </w:r>
      <w:r>
        <w:br/>
      </w:r>
      <w:r>
        <w:rPr>
          <w:rFonts w:ascii="Consolas" w:cs="Consolas" w:eastAsia="Consolas" w:hAnsi="Consolas"/>
          <w:color w:val="1A1A1A"/>
          <w:sz w:val="20"/>
          <w:szCs w:val="20"/>
        </w:rPr>
        <w:t xml:space="preserve">  status            TEXT NOT NULL DEFAULT 'active'</w:t>
      </w:r>
      <w:r>
        <w:br/>
      </w:r>
      <w:r>
        <w:rPr>
          <w:rFonts w:ascii="Consolas" w:cs="Consolas" w:eastAsia="Consolas" w:hAnsi="Consolas"/>
          <w:color w:val="1A1A1A"/>
          <w:sz w:val="20"/>
          <w:szCs w:val="20"/>
        </w:rPr>
        <w:t xml:space="preserve">);</w:t>
      </w:r>
      <w:r>
        <w:br/>
      </w:r>
      <w:r>
        <w:rPr>
          <w:rFonts w:ascii="Consolas" w:cs="Consolas" w:eastAsia="Consolas" w:hAnsi="Consolas"/>
          <w:color w:val="1A1A1A"/>
          <w:sz w:val="20"/>
          <w:szCs w:val="20"/>
        </w:rPr>
        <w:t xml:space="preserve"/>
      </w:r>
      <w:r>
        <w:br/>
      </w:r>
      <w:r>
        <w:rPr>
          <w:rFonts w:ascii="Consolas" w:cs="Consolas" w:eastAsia="Consolas" w:hAnsi="Consolas"/>
          <w:color w:val="1A1A1A"/>
          <w:sz w:val="20"/>
          <w:szCs w:val="20"/>
        </w:rPr>
        <w:t xml:space="preserve">-- Devices are paired 1:1 with accounts at first use.</w:t>
      </w:r>
      <w:r>
        <w:br/>
      </w:r>
      <w:r>
        <w:rPr>
          <w:rFonts w:ascii="Consolas" w:cs="Consolas" w:eastAsia="Consolas" w:hAnsi="Consolas"/>
          <w:color w:val="1A1A1A"/>
          <w:sz w:val="20"/>
          <w:szCs w:val="20"/>
        </w:rPr>
        <w:t xml:space="preserve">CREATE TABLE devices (</w:t>
      </w:r>
      <w:r>
        <w:br/>
      </w:r>
      <w:r>
        <w:rPr>
          <w:rFonts w:ascii="Consolas" w:cs="Consolas" w:eastAsia="Consolas" w:hAnsi="Consolas"/>
          <w:color w:val="1A1A1A"/>
          <w:sz w:val="20"/>
          <w:szCs w:val="20"/>
        </w:rPr>
        <w:t xml:space="preserve">  device_id             UUID PRIMARY KEY,</w:t>
      </w:r>
      <w:r>
        <w:br/>
      </w:r>
      <w:r>
        <w:rPr>
          <w:rFonts w:ascii="Consolas" w:cs="Consolas" w:eastAsia="Consolas" w:hAnsi="Consolas"/>
          <w:color w:val="1A1A1A"/>
          <w:sz w:val="20"/>
          <w:szCs w:val="20"/>
        </w:rPr>
        <w:t xml:space="preserve">  account_id            UUID NOT NULL REFERENCES accounts(account_id),</w:t>
      </w:r>
      <w:r>
        <w:br/>
      </w:r>
      <w:r>
        <w:rPr>
          <w:rFonts w:ascii="Consolas" w:cs="Consolas" w:eastAsia="Consolas" w:hAnsi="Consolas"/>
          <w:color w:val="1A1A1A"/>
          <w:sz w:val="20"/>
          <w:szCs w:val="20"/>
        </w:rPr>
        <w:t xml:space="preserve">  hw_attestation_pubkey BYTEA NOT NULL,</w:t>
      </w:r>
      <w:r>
        <w:br/>
      </w:r>
      <w:r>
        <w:rPr>
          <w:rFonts w:ascii="Consolas" w:cs="Consolas" w:eastAsia="Consolas" w:hAnsi="Consolas"/>
          <w:color w:val="1A1A1A"/>
          <w:sz w:val="20"/>
          <w:szCs w:val="20"/>
        </w:rPr>
        <w:t xml:space="preserve">  paired_at             TIMESTAMPTZ NOT NULL,</w:t>
      </w:r>
      <w:r>
        <w:br/>
      </w:r>
      <w:r>
        <w:rPr>
          <w:rFonts w:ascii="Consolas" w:cs="Consolas" w:eastAsia="Consolas" w:hAnsi="Consolas"/>
          <w:color w:val="1A1A1A"/>
          <w:sz w:val="20"/>
          <w:szCs w:val="20"/>
        </w:rPr>
        <w:t xml:space="preserve">  revoked_at            TIMESTAMPTZ</w:t>
      </w:r>
      <w:r>
        <w:br/>
      </w:r>
      <w:r>
        <w:rPr>
          <w:rFonts w:ascii="Consolas" w:cs="Consolas" w:eastAsia="Consolas" w:hAnsi="Consolas"/>
          <w:color w:val="1A1A1A"/>
          <w:sz w:val="20"/>
          <w:szCs w:val="20"/>
        </w:rPr>
        <w:t xml:space="preserve">);</w:t>
      </w:r>
      <w:r>
        <w:br/>
      </w:r>
      <w:r>
        <w:rPr>
          <w:rFonts w:ascii="Consolas" w:cs="Consolas" w:eastAsia="Consolas" w:hAnsi="Consolas"/>
          <w:color w:val="1A1A1A"/>
          <w:sz w:val="20"/>
          <w:szCs w:val="20"/>
        </w:rPr>
        <w:t xml:space="preserve"/>
      </w:r>
      <w:r>
        <w:br/>
      </w:r>
      <w:r>
        <w:rPr>
          <w:rFonts w:ascii="Consolas" w:cs="Consolas" w:eastAsia="Consolas" w:hAnsi="Consolas"/>
          <w:color w:val="1A1A1A"/>
          <w:sz w:val="20"/>
          <w:szCs w:val="20"/>
        </w:rPr>
        <w:t xml:space="preserve">-- Email lives in a separate table so it can be deleted</w:t>
      </w:r>
      <w:r>
        <w:br/>
      </w:r>
      <w:r>
        <w:rPr>
          <w:rFonts w:ascii="Consolas" w:cs="Consolas" w:eastAsia="Consolas" w:hAnsi="Consolas"/>
          <w:color w:val="1A1A1A"/>
          <w:sz w:val="20"/>
          <w:szCs w:val="20"/>
        </w:rPr>
        <w:t xml:space="preserve">-- without touching the account row (GDPR Article 17).</w:t>
      </w:r>
      <w:r>
        <w:br/>
      </w:r>
      <w:r>
        <w:rPr>
          <w:rFonts w:ascii="Consolas" w:cs="Consolas" w:eastAsia="Consolas" w:hAnsi="Consolas"/>
          <w:color w:val="1A1A1A"/>
          <w:sz w:val="20"/>
          <w:szCs w:val="20"/>
        </w:rPr>
        <w:t xml:space="preserve">CREATE TABLE account_email (</w:t>
      </w:r>
      <w:r>
        <w:br/>
      </w:r>
      <w:r>
        <w:rPr>
          <w:rFonts w:ascii="Consolas" w:cs="Consolas" w:eastAsia="Consolas" w:hAnsi="Consolas"/>
          <w:color w:val="1A1A1A"/>
          <w:sz w:val="20"/>
          <w:szCs w:val="20"/>
        </w:rPr>
        <w:t xml:space="preserve">  account_id       UUID PRIMARY KEY REFERENCES accounts(account_id),</w:t>
      </w:r>
      <w:r>
        <w:br/>
      </w:r>
      <w:r>
        <w:rPr>
          <w:rFonts w:ascii="Consolas" w:cs="Consolas" w:eastAsia="Consolas" w:hAnsi="Consolas"/>
          <w:color w:val="1A1A1A"/>
          <w:sz w:val="20"/>
          <w:szCs w:val="20"/>
        </w:rPr>
        <w:t xml:space="preserve">  email_address    TEXT NOT NULL,</w:t>
      </w:r>
      <w:r>
        <w:br/>
      </w:r>
      <w:r>
        <w:rPr>
          <w:rFonts w:ascii="Consolas" w:cs="Consolas" w:eastAsia="Consolas" w:hAnsi="Consolas"/>
          <w:color w:val="1A1A1A"/>
          <w:sz w:val="20"/>
          <w:szCs w:val="20"/>
        </w:rPr>
        <w:t xml:space="preserve">  verified_at      TIMESTAMPTZ NOT NULL</w:t>
      </w:r>
      <w:r>
        <w:br/>
      </w:r>
      <w:r>
        <w:rPr>
          <w:rFonts w:ascii="Consolas" w:cs="Consolas" w:eastAsia="Consolas" w:hAnsi="Consolas"/>
          <w:color w:val="1A1A1A"/>
          <w:sz w:val="20"/>
          <w:szCs w:val="20"/>
        </w:rPr>
        <w:t xml:space="preserve">);</w:t>
      </w:r>
      <w:r>
        <w:br/>
      </w:r>
      <w:r>
        <w:rPr>
          <w:rFonts w:ascii="Consolas" w:cs="Consolas" w:eastAsia="Consolas" w:hAnsi="Consolas"/>
          <w:color w:val="1A1A1A"/>
          <w:sz w:val="20"/>
          <w:szCs w:val="20"/>
        </w:rPr>
        <w:t xml:space="preserve"/>
      </w:r>
      <w:r>
        <w:br/>
      </w:r>
      <w:r>
        <w:rPr>
          <w:rFonts w:ascii="Consolas" w:cs="Consolas" w:eastAsia="Consolas" w:hAnsi="Consolas"/>
          <w:color w:val="1A1A1A"/>
          <w:sz w:val="20"/>
          <w:szCs w:val="20"/>
        </w:rPr>
        <w:t xml:space="preserve">-- Moats.</w:t>
      </w:r>
      <w:r>
        <w:br/>
      </w:r>
      <w:r>
        <w:rPr>
          <w:rFonts w:ascii="Consolas" w:cs="Consolas" w:eastAsia="Consolas" w:hAnsi="Consolas"/>
          <w:color w:val="1A1A1A"/>
          <w:sz w:val="20"/>
          <w:szCs w:val="20"/>
        </w:rPr>
        <w:t xml:space="preserve">CREATE TABLE moats (</w:t>
      </w:r>
      <w:r>
        <w:br/>
      </w:r>
      <w:r>
        <w:rPr>
          <w:rFonts w:ascii="Consolas" w:cs="Consolas" w:eastAsia="Consolas" w:hAnsi="Consolas"/>
          <w:color w:val="1A1A1A"/>
          <w:sz w:val="20"/>
          <w:szCs w:val="20"/>
        </w:rPr>
        <w:t xml:space="preserve">  moat_id            UUID PRIMARY KEY,</w:t>
      </w:r>
      <w:r>
        <w:br/>
      </w:r>
      <w:r>
        <w:rPr>
          <w:rFonts w:ascii="Consolas" w:cs="Consolas" w:eastAsia="Consolas" w:hAnsi="Consolas"/>
          <w:color w:val="1A1A1A"/>
          <w:sz w:val="20"/>
          <w:szCs w:val="20"/>
        </w:rPr>
        <w:t xml:space="preserve">  created_at         TIMESTAMPTZ NOT NULL,</w:t>
      </w:r>
      <w:r>
        <w:br/>
      </w:r>
      <w:r>
        <w:rPr>
          <w:rFonts w:ascii="Consolas" w:cs="Consolas" w:eastAsia="Consolas" w:hAnsi="Consolas"/>
          <w:color w:val="1A1A1A"/>
          <w:sz w:val="20"/>
          <w:szCs w:val="20"/>
        </w:rPr>
        <w:t xml:space="preserve">  current_session    INTEGER NOT NULL,       -- incremented on each Megolm session rotation</w:t>
      </w:r>
      <w:r>
        <w:br/>
      </w:r>
      <w:r>
        <w:rPr>
          <w:rFonts w:ascii="Consolas" w:cs="Consolas" w:eastAsia="Consolas" w:hAnsi="Consolas"/>
          <w:color w:val="1A1A1A"/>
          <w:sz w:val="20"/>
          <w:szCs w:val="20"/>
        </w:rPr>
        <w:t xml:space="preserve">  cycle_ends_at      TIMESTAMPTZ NOT NULL,</w:t>
      </w:r>
      <w:r>
        <w:br/>
      </w:r>
      <w:r>
        <w:rPr>
          <w:rFonts w:ascii="Consolas" w:cs="Consolas" w:eastAsia="Consolas" w:hAnsi="Consolas"/>
          <w:color w:val="1A1A1A"/>
          <w:sz w:val="20"/>
          <w:szCs w:val="20"/>
        </w:rPr>
        <w:t xml:space="preserve">  megolm_group_state BYTEA NOT NULL          -- opaque Megolm group state</w:t>
      </w:r>
      <w:r>
        <w:br/>
      </w:r>
      <w:r>
        <w:rPr>
          <w:rFonts w:ascii="Consolas" w:cs="Consolas" w:eastAsia="Consolas" w:hAnsi="Consolas"/>
          <w:color w:val="1A1A1A"/>
          <w:sz w:val="20"/>
          <w:szCs w:val="20"/>
        </w:rPr>
        <w:t xml:space="preserve">);</w:t>
      </w:r>
      <w:r>
        <w:br/>
      </w:r>
      <w:r>
        <w:rPr>
          <w:rFonts w:ascii="Consolas" w:cs="Consolas" w:eastAsia="Consolas" w:hAnsi="Consolas"/>
          <w:color w:val="1A1A1A"/>
          <w:sz w:val="20"/>
          <w:szCs w:val="20"/>
        </w:rPr>
        <w:t xml:space="preserve"/>
      </w:r>
      <w:r>
        <w:br/>
      </w:r>
      <w:r>
        <w:rPr>
          <w:rFonts w:ascii="Consolas" w:cs="Consolas" w:eastAsia="Consolas" w:hAnsi="Consolas"/>
          <w:color w:val="1A1A1A"/>
          <w:sz w:val="20"/>
          <w:szCs w:val="20"/>
        </w:rPr>
        <w:t xml:space="preserve">-- Membership is session-scoped. We keep only the CURRENT session on the server.</w:t>
      </w:r>
      <w:r>
        <w:br/>
      </w:r>
      <w:r>
        <w:rPr>
          <w:rFonts w:ascii="Consolas" w:cs="Consolas" w:eastAsia="Consolas" w:hAnsi="Consolas"/>
          <w:color w:val="1A1A1A"/>
          <w:sz w:val="20"/>
          <w:szCs w:val="20"/>
        </w:rPr>
        <w:t xml:space="preserve">CREATE TABLE moat_membership (</w:t>
      </w:r>
      <w:r>
        <w:br/>
      </w:r>
      <w:r>
        <w:rPr>
          <w:rFonts w:ascii="Consolas" w:cs="Consolas" w:eastAsia="Consolas" w:hAnsi="Consolas"/>
          <w:color w:val="1A1A1A"/>
          <w:sz w:val="20"/>
          <w:szCs w:val="20"/>
        </w:rPr>
        <w:t xml:space="preserve">  moat_id          UUID NOT NULL REFERENCES moats(moat_id),</w:t>
      </w:r>
      <w:r>
        <w:br/>
      </w:r>
      <w:r>
        <w:rPr>
          <w:rFonts w:ascii="Consolas" w:cs="Consolas" w:eastAsia="Consolas" w:hAnsi="Consolas"/>
          <w:color w:val="1A1A1A"/>
          <w:sz w:val="20"/>
          <w:szCs w:val="20"/>
        </w:rPr>
        <w:t xml:space="preserve">  account_id       UUID NOT NULL REFERENCES accounts(account_id),</w:t>
      </w:r>
      <w:r>
        <w:br/>
      </w:r>
      <w:r>
        <w:rPr>
          <w:rFonts w:ascii="Consolas" w:cs="Consolas" w:eastAsia="Consolas" w:hAnsi="Consolas"/>
          <w:color w:val="1A1A1A"/>
          <w:sz w:val="20"/>
          <w:szCs w:val="20"/>
        </w:rPr>
        <w:t xml:space="preserve">  joined_session   INTEGER NOT NULL,</w:t>
      </w:r>
      <w:r>
        <w:br/>
      </w:r>
      <w:r>
        <w:rPr>
          <w:rFonts w:ascii="Consolas" w:cs="Consolas" w:eastAsia="Consolas" w:hAnsi="Consolas"/>
          <w:color w:val="1A1A1A"/>
          <w:sz w:val="20"/>
          <w:szCs w:val="20"/>
        </w:rPr>
        <w:t xml:space="preserve">  PRIMARY KEY (moat_id, account_id)</w:t>
      </w:r>
      <w:r>
        <w:br/>
      </w:r>
      <w:r>
        <w:rPr>
          <w:rFonts w:ascii="Consolas" w:cs="Consolas" w:eastAsia="Consolas" w:hAnsi="Consolas"/>
          <w:color w:val="1A1A1A"/>
          <w:sz w:val="20"/>
          <w:szCs w:val="20"/>
        </w:rPr>
        <w:t xml:space="preserve">);</w:t>
      </w:r>
      <w:r>
        <w:br/>
      </w:r>
      <w:r>
        <w:rPr>
          <w:rFonts w:ascii="Consolas" w:cs="Consolas" w:eastAsia="Consolas" w:hAnsi="Consolas"/>
          <w:color w:val="1A1A1A"/>
          <w:sz w:val="20"/>
          <w:szCs w:val="20"/>
        </w:rPr>
        <w:t xml:space="preserve"/>
      </w:r>
      <w:r>
        <w:br/>
      </w:r>
      <w:r>
        <w:rPr>
          <w:rFonts w:ascii="Consolas" w:cs="Consolas" w:eastAsia="Consolas" w:hAnsi="Consolas"/>
          <w:color w:val="1A1A1A"/>
          <w:sz w:val="20"/>
          <w:szCs w:val="20"/>
        </w:rPr>
        <w:t xml:space="preserve">-- Messages. Rows exist for at most 7 days (8 during grace).</w:t>
      </w:r>
      <w:r>
        <w:br/>
      </w:r>
      <w:r>
        <w:rPr>
          <w:rFonts w:ascii="Consolas" w:cs="Consolas" w:eastAsia="Consolas" w:hAnsi="Consolas"/>
          <w:color w:val="1A1A1A"/>
          <w:sz w:val="20"/>
          <w:szCs w:val="20"/>
        </w:rPr>
        <w:t xml:space="preserve">CREATE TABLE moat_messages (</w:t>
      </w:r>
      <w:r>
        <w:br/>
      </w:r>
      <w:r>
        <w:rPr>
          <w:rFonts w:ascii="Consolas" w:cs="Consolas" w:eastAsia="Consolas" w:hAnsi="Consolas"/>
          <w:color w:val="1A1A1A"/>
          <w:sz w:val="20"/>
          <w:szCs w:val="20"/>
        </w:rPr>
        <w:t xml:space="preserve">  message_id        UUID PRIMARY KEY,</w:t>
      </w:r>
      <w:r>
        <w:br/>
      </w:r>
      <w:r>
        <w:rPr>
          <w:rFonts w:ascii="Consolas" w:cs="Consolas" w:eastAsia="Consolas" w:hAnsi="Consolas"/>
          <w:color w:val="1A1A1A"/>
          <w:sz w:val="20"/>
          <w:szCs w:val="20"/>
        </w:rPr>
        <w:t xml:space="preserve">  moat_id           UUID NOT NULL REFERENCES moats(moat_id),</w:t>
      </w:r>
      <w:r>
        <w:br/>
      </w:r>
      <w:r>
        <w:rPr>
          <w:rFonts w:ascii="Consolas" w:cs="Consolas" w:eastAsia="Consolas" w:hAnsi="Consolas"/>
          <w:color w:val="1A1A1A"/>
          <w:sz w:val="20"/>
          <w:szCs w:val="20"/>
        </w:rPr>
        <w:t xml:space="preserve">  session           INTEGER NOT NULL,</w:t>
      </w:r>
      <w:r>
        <w:br/>
      </w:r>
      <w:r>
        <w:rPr>
          <w:rFonts w:ascii="Consolas" w:cs="Consolas" w:eastAsia="Consolas" w:hAnsi="Consolas"/>
          <w:color w:val="1A1A1A"/>
          <w:sz w:val="20"/>
          <w:szCs w:val="20"/>
        </w:rPr>
        <w:t xml:space="preserve">  ciphertext        BYTEA NOT NULL,          -- Megolm group ciphertext</w:t>
      </w:r>
      <w:r>
        <w:br/>
      </w:r>
      <w:r>
        <w:rPr>
          <w:rFonts w:ascii="Consolas" w:cs="Consolas" w:eastAsia="Consolas" w:hAnsi="Consolas"/>
          <w:color w:val="1A1A1A"/>
          <w:sz w:val="20"/>
          <w:szCs w:val="20"/>
        </w:rPr>
        <w:t xml:space="preserve">  posted_at         TIMESTAMPTZ NOT NULL,</w:t>
      </w:r>
      <w:r>
        <w:br/>
      </w:r>
      <w:r>
        <w:rPr>
          <w:rFonts w:ascii="Consolas" w:cs="Consolas" w:eastAsia="Consolas" w:hAnsi="Consolas"/>
          <w:color w:val="1A1A1A"/>
          <w:sz w:val="20"/>
          <w:szCs w:val="20"/>
        </w:rPr>
        <w:t xml:space="preserve">  expires_at        TIMESTAMPTZ NOT NULL,    -- posted_at + 7 days</w:t>
      </w:r>
      <w:r>
        <w:br/>
      </w:r>
      <w:r>
        <w:rPr>
          <w:rFonts w:ascii="Consolas" w:cs="Consolas" w:eastAsia="Consolas" w:hAnsi="Consolas"/>
          <w:color w:val="1A1A1A"/>
          <w:sz w:val="20"/>
          <w:szCs w:val="20"/>
        </w:rPr>
        <w:t xml:space="preserve">  deleted_at        TIMESTAMPTZ              -- set when the deletion worker runs</w:t>
      </w:r>
      <w:r>
        <w:br/>
      </w:r>
      <w:r>
        <w:rPr>
          <w:rFonts w:ascii="Consolas" w:cs="Consolas" w:eastAsia="Consolas" w:hAnsi="Consolas"/>
          <w:color w:val="1A1A1A"/>
          <w:sz w:val="20"/>
          <w:szCs w:val="20"/>
        </w:rPr>
        <w:t xml:space="preserve">);</w:t>
      </w:r>
      <w:r>
        <w:br/>
      </w:r>
      <w:r>
        <w:rPr>
          <w:rFonts w:ascii="Consolas" w:cs="Consolas" w:eastAsia="Consolas" w:hAnsi="Consolas"/>
          <w:color w:val="1A1A1A"/>
          <w:sz w:val="20"/>
          <w:szCs w:val="20"/>
        </w:rPr>
        <w:t xml:space="preserve"/>
      </w:r>
      <w:r>
        <w:br/>
      </w:r>
      <w:r>
        <w:rPr>
          <w:rFonts w:ascii="Consolas" w:cs="Consolas" w:eastAsia="Consolas" w:hAnsi="Consolas"/>
          <w:color w:val="1A1A1A"/>
          <w:sz w:val="20"/>
          <w:szCs w:val="20"/>
        </w:rPr>
        <w:t xml:space="preserve">CREATE INDEX idx_messages_expiry ON moat_messages (expires_at) WHERE deleted_at IS NULL;</w:t>
      </w:r>
      <w:r>
        <w:br/>
      </w:r>
      <w:r>
        <w:rPr>
          <w:rFonts w:ascii="Consolas" w:cs="Consolas" w:eastAsia="Consolas" w:hAnsi="Consolas"/>
          <w:color w:val="1A1A1A"/>
          <w:sz w:val="20"/>
          <w:szCs w:val="20"/>
        </w:rPr>
        <w:t xml:space="preserve"/>
      </w:r>
      <w:r>
        <w:br/>
      </w:r>
      <w:r>
        <w:rPr>
          <w:rFonts w:ascii="Consolas" w:cs="Consolas" w:eastAsia="Consolas" w:hAnsi="Consolas"/>
          <w:color w:val="1A1A1A"/>
          <w:sz w:val="20"/>
          <w:szCs w:val="20"/>
        </w:rPr>
        <w:t xml:space="preserve">-- Complaints (section 5.10). Encrypted at rest; server sees only metadata.</w:t>
      </w:r>
      <w:r>
        <w:br/>
      </w:r>
      <w:r>
        <w:rPr>
          <w:rFonts w:ascii="Consolas" w:cs="Consolas" w:eastAsia="Consolas" w:hAnsi="Consolas"/>
          <w:color w:val="1A1A1A"/>
          <w:sz w:val="20"/>
          <w:szCs w:val="20"/>
        </w:rPr>
        <w:t xml:space="preserve">CREATE TABLE complaints (</w:t>
      </w:r>
      <w:r>
        <w:br/>
      </w:r>
      <w:r>
        <w:rPr>
          <w:rFonts w:ascii="Consolas" w:cs="Consolas" w:eastAsia="Consolas" w:hAnsi="Consolas"/>
          <w:color w:val="1A1A1A"/>
          <w:sz w:val="20"/>
          <w:szCs w:val="20"/>
        </w:rPr>
        <w:t xml:space="preserve">  complaint_id     UUID PRIMARY KEY,</w:t>
      </w:r>
      <w:r>
        <w:br/>
      </w:r>
      <w:r>
        <w:rPr>
          <w:rFonts w:ascii="Consolas" w:cs="Consolas" w:eastAsia="Consolas" w:hAnsi="Consolas"/>
          <w:color w:val="1A1A1A"/>
          <w:sz w:val="20"/>
          <w:szCs w:val="20"/>
        </w:rPr>
        <w:t xml:space="preserve">  moat_id          UUID NOT NULL REFERENCES moats(moat_id),</w:t>
      </w:r>
      <w:r>
        <w:br/>
      </w:r>
      <w:r>
        <w:rPr>
          <w:rFonts w:ascii="Consolas" w:cs="Consolas" w:eastAsia="Consolas" w:hAnsi="Consolas"/>
          <w:color w:val="1A1A1A"/>
          <w:sz w:val="20"/>
          <w:szCs w:val="20"/>
        </w:rPr>
        <w:t xml:space="preserve">  complainant_id   UUID NOT NULL REFERENCES accounts(account_id),</w:t>
      </w:r>
      <w:r>
        <w:br/>
      </w:r>
      <w:r>
        <w:rPr>
          <w:rFonts w:ascii="Consolas" w:cs="Consolas" w:eastAsia="Consolas" w:hAnsi="Consolas"/>
          <w:color w:val="1A1A1A"/>
          <w:sz w:val="20"/>
          <w:szCs w:val="20"/>
        </w:rPr>
        <w:t xml:space="preserve">  target_id        UUID NOT NULL REFERENCES accounts(account_id),</w:t>
      </w:r>
      <w:r>
        <w:br/>
      </w:r>
      <w:r>
        <w:rPr>
          <w:rFonts w:ascii="Consolas" w:cs="Consolas" w:eastAsia="Consolas" w:hAnsi="Consolas"/>
          <w:color w:val="1A1A1A"/>
          <w:sz w:val="20"/>
          <w:szCs w:val="20"/>
        </w:rPr>
        <w:t xml:space="preserve">  reason           TEXT NOT NULL CHECK (reason IN ('advice','targeting','commercial','off_covenant','abuse')),</w:t>
      </w:r>
      <w:r>
        <w:br/>
      </w:r>
      <w:r>
        <w:rPr>
          <w:rFonts w:ascii="Consolas" w:cs="Consolas" w:eastAsia="Consolas" w:hAnsi="Consolas"/>
          <w:color w:val="1A1A1A"/>
          <w:sz w:val="20"/>
          <w:szCs w:val="20"/>
        </w:rPr>
        <w:t xml:space="preserve">  filed_at         TIMESTAMPTZ NOT NULL DEFAULT now(),</w:t>
      </w:r>
      <w:r>
        <w:br/>
      </w:r>
      <w:r>
        <w:rPr>
          <w:rFonts w:ascii="Consolas" w:cs="Consolas" w:eastAsia="Consolas" w:hAnsi="Consolas"/>
          <w:color w:val="1A1A1A"/>
          <w:sz w:val="20"/>
          <w:szCs w:val="20"/>
        </w:rPr>
        <w:t xml:space="preserve">  resolved_at      TIMESTAMPTZ</w:t>
      </w:r>
      <w:r>
        <w:br/>
      </w:r>
      <w:r>
        <w:rPr>
          <w:rFonts w:ascii="Consolas" w:cs="Consolas" w:eastAsia="Consolas" w:hAnsi="Consolas"/>
          <w:color w:val="1A1A1A"/>
          <w:sz w:val="20"/>
          <w:szCs w:val="20"/>
        </w:rPr>
        <w:t xml:space="preserve">);</w:t>
      </w:r>
      <w:r>
        <w:br/>
      </w:r>
      <w:r>
        <w:rPr>
          <w:rFonts w:ascii="Consolas" w:cs="Consolas" w:eastAsia="Consolas" w:hAnsi="Consolas"/>
          <w:color w:val="1A1A1A"/>
          <w:sz w:val="20"/>
          <w:szCs w:val="20"/>
        </w:rPr>
        <w:t xml:space="preserve"/>
      </w:r>
      <w:r>
        <w:br/>
      </w:r>
      <w:r>
        <w:rPr>
          <w:rFonts w:ascii="Consolas" w:cs="Consolas" w:eastAsia="Consolas" w:hAnsi="Consolas"/>
          <w:color w:val="1A1A1A"/>
          <w:sz w:val="20"/>
          <w:szCs w:val="20"/>
        </w:rPr>
        <w:t xml:space="preserve">CREATE INDEX idx_complaints_target ON complaints (moat_id, target_id, reason);</w:t>
      </w:r>
    </w:p>
    <w:p>
      <w:pPr>
        <w:pStyle w:val="Heading2"/>
        <w:spacing w:after="140" w:before="280"/>
      </w:pPr>
      <w:r>
        <w:rPr>
          <w:rFonts w:ascii="Calibri" w:cs="Calibri" w:eastAsia="Calibri" w:hAnsi="Calibri"/>
          <w:b/>
          <w:bCs/>
          <w:color w:val="2E4057"/>
          <w:sz w:val="28"/>
          <w:szCs w:val="28"/>
        </w:rPr>
        <w:t xml:space="preserve">7.2  Retention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rPr>
          <w:tblHeader/>
        </w:trPr>
        <w:tc>
          <w:tcPr>
            <w:tcW w:type="dxa" w:w="22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Data</w:t>
            </w:r>
          </w:p>
        </w:tc>
        <w:tc>
          <w:tcPr>
            <w:tcW w:type="dxa" w:w="20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Where</w:t>
            </w:r>
          </w:p>
        </w:tc>
        <w:tc>
          <w:tcPr>
            <w:tcW w:type="dxa" w:w="18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Retention</w:t>
            </w:r>
          </w:p>
        </w:tc>
        <w:tc>
          <w:tcPr>
            <w:tcW w:type="dxa" w:w="336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Deletion mechanism</w:t>
            </w:r>
          </w:p>
        </w:tc>
      </w:tr>
      <w:tr>
        <w:tc>
          <w:tcPr>
            <w:tcW w:type="dxa" w:w="2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Moat messages (ciphertext)</w:t>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Postgres (primary + replica)</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7 days from posted_at</w:t>
            </w:r>
          </w:p>
        </w:tc>
        <w:tc>
          <w:tcPr>
            <w:tcW w:type="dxa" w:w="33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Hourly worker deletes rows, VACUUMs, and forces Megolm session rotation.</w:t>
            </w:r>
          </w:p>
        </w:tc>
      </w:tr>
      <w:tr>
        <w:tc>
          <w:tcPr>
            <w:tcW w:type="dxa" w:w="22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Moat messages in backups</w:t>
            </w:r>
          </w:p>
        </w:tc>
        <w:tc>
          <w:tcPr>
            <w:tcW w:type="dxa" w:w="2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S3 encrypted snapshot</w:t>
            </w:r>
          </w:p>
        </w:tc>
        <w:tc>
          <w:tcPr>
            <w:tcW w:type="dxa" w:w="1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≤8 days</w:t>
            </w:r>
          </w:p>
        </w:tc>
        <w:tc>
          <w:tcPr>
            <w:tcW w:type="dxa" w:w="33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Snapshot encryption key expires at 8 days. Snapshot becomes unrecoverable.</w:t>
            </w:r>
          </w:p>
        </w:tc>
      </w:tr>
      <w:tr>
        <w:tc>
          <w:tcPr>
            <w:tcW w:type="dxa" w:w="2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Signal group state</w:t>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Postgres</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Until Moat dissolves</w:t>
            </w:r>
          </w:p>
        </w:tc>
        <w:tc>
          <w:tcPr>
            <w:tcW w:type="dxa" w:w="33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Only the current and prior session state are retained.</w:t>
            </w:r>
          </w:p>
        </w:tc>
      </w:tr>
      <w:tr>
        <w:tc>
          <w:tcPr>
            <w:tcW w:type="dxa" w:w="22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Ritual prescriptions (via Unity app)</w:t>
            </w:r>
          </w:p>
        </w:tc>
        <w:tc>
          <w:tcPr>
            <w:tcW w:type="dxa" w:w="2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Postmark-only transit; not stored by us</w:t>
            </w:r>
          </w:p>
        </w:tc>
        <w:tc>
          <w:tcPr>
            <w:tcW w:type="dxa" w:w="1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Nil on our side</w:t>
            </w:r>
          </w:p>
        </w:tc>
        <w:tc>
          <w:tcPr>
            <w:tcW w:type="dxa" w:w="33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Relay receipts (relay_id, timestamp) persist ≤30 days for delivery auditing; body never stored.</w:t>
            </w:r>
          </w:p>
        </w:tc>
      </w:tr>
      <w:tr>
        <w:tc>
          <w:tcPr>
            <w:tcW w:type="dxa" w:w="2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Email addresses</w:t>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Postgres (account_email table)</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Until user removes</w:t>
            </w:r>
          </w:p>
        </w:tc>
        <w:tc>
          <w:tcPr>
            <w:tcW w:type="dxa" w:w="33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Deletable independently via account settings.</w:t>
            </w:r>
          </w:p>
        </w:tc>
      </w:tr>
      <w:tr>
        <w:tc>
          <w:tcPr>
            <w:tcW w:type="dxa" w:w="22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Telemetry (infra metrics)</w:t>
            </w:r>
          </w:p>
        </w:tc>
        <w:tc>
          <w:tcPr>
            <w:tcW w:type="dxa" w:w="2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Grafana Cloud</w:t>
            </w:r>
          </w:p>
        </w:tc>
        <w:tc>
          <w:tcPr>
            <w:tcW w:type="dxa" w:w="1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30 days</w:t>
            </w:r>
          </w:p>
        </w:tc>
        <w:tc>
          <w:tcPr>
            <w:tcW w:type="dxa" w:w="33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Normal retention; no user content ever enters this store.</w:t>
            </w:r>
          </w:p>
        </w:tc>
      </w:tr>
      <w:tr>
        <w:tc>
          <w:tcPr>
            <w:tcW w:type="dxa" w:w="2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Complaint metadata (section 5.10)</w:t>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Postgres (complaints table)</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90 days from resolution</w:t>
            </w:r>
          </w:p>
        </w:tc>
        <w:tc>
          <w:tcPr>
            <w:tcW w:type="dxa" w:w="33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Retained to detect serial weaponisation; no content, only metadata.</w:t>
            </w:r>
          </w:p>
        </w:tc>
      </w:tr>
      <w:tr>
        <w:tc>
          <w:tcPr>
            <w:tcW w:type="dxa" w:w="22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Audit logs (deletion job runs)</w:t>
            </w:r>
          </w:p>
        </w:tc>
        <w:tc>
          <w:tcPr>
            <w:tcW w:type="dxa" w:w="2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Append-only log store</w:t>
            </w:r>
          </w:p>
        </w:tc>
        <w:tc>
          <w:tcPr>
            <w:tcW w:type="dxa" w:w="1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2 years</w:t>
            </w:r>
          </w:p>
        </w:tc>
        <w:tc>
          <w:tcPr>
            <w:tcW w:type="dxa" w:w="33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Records proof of deletion; contains no content.</w:t>
            </w:r>
          </w:p>
        </w:tc>
      </w:tr>
    </w:tbl>
    <w:p>
      <w:pPr>
        <w:pStyle w:val="Heading2"/>
        <w:spacing w:after="140" w:before="280"/>
      </w:pPr>
      <w:r>
        <w:rPr>
          <w:rFonts w:ascii="Calibri" w:cs="Calibri" w:eastAsia="Calibri" w:hAnsi="Calibri"/>
          <w:b/>
          <w:bCs/>
          <w:color w:val="2E4057"/>
          <w:sz w:val="28"/>
          <w:szCs w:val="28"/>
        </w:rPr>
        <w:t xml:space="preserve">7.3  What is never stored</w:t>
      </w:r>
    </w:p>
    <w:p>
      <w:pPr>
        <w:pStyle w:val="ListParagraph"/>
        <w:numPr>
          <w:ilvl w:val="0"/>
          <w:numId w:val="2"/>
        </w:numPr>
        <w:spacing w:after="60" w:before="30" w:line="280"/>
      </w:pPr>
      <w:r>
        <w:rPr>
          <w:rFonts w:ascii="Calibri" w:cs="Calibri" w:eastAsia="Calibri" w:hAnsi="Calibri"/>
          <w:color w:val="1A1A1A"/>
          <w:sz w:val="22"/>
          <w:szCs w:val="22"/>
        </w:rPr>
        <w:t xml:space="preserve">Plaintext message bodies — nowhere, ever, not even in a debug log.</w:t>
      </w:r>
    </w:p>
    <w:p>
      <w:pPr>
        <w:pStyle w:val="ListParagraph"/>
        <w:numPr>
          <w:ilvl w:val="0"/>
          <w:numId w:val="2"/>
        </w:numPr>
        <w:spacing w:after="60" w:before="30" w:line="280"/>
      </w:pPr>
      <w:r>
        <w:rPr>
          <w:rFonts w:ascii="Calibri" w:cs="Calibri" w:eastAsia="Calibri" w:hAnsi="Calibri"/>
          <w:color w:val="1A1A1A"/>
          <w:sz w:val="22"/>
          <w:szCs w:val="22"/>
        </w:rPr>
        <w:t xml:space="preserve">IP addresses of users — stripped at the load balancer; logged only as country code for operational metrics.</w:t>
      </w:r>
    </w:p>
    <w:p>
      <w:pPr>
        <w:pStyle w:val="ListParagraph"/>
        <w:numPr>
          <w:ilvl w:val="0"/>
          <w:numId w:val="2"/>
        </w:numPr>
        <w:spacing w:after="60" w:before="30" w:line="280"/>
      </w:pPr>
      <w:r>
        <w:rPr>
          <w:rFonts w:ascii="Calibri" w:cs="Calibri" w:eastAsia="Calibri" w:hAnsi="Calibri"/>
          <w:color w:val="1A1A1A"/>
          <w:sz w:val="22"/>
          <w:szCs w:val="22"/>
        </w:rPr>
        <w:t xml:space="preserve">User-agent strings — binned into (os, major version) only.</w:t>
      </w:r>
    </w:p>
    <w:p>
      <w:pPr>
        <w:pStyle w:val="ListParagraph"/>
        <w:numPr>
          <w:ilvl w:val="0"/>
          <w:numId w:val="2"/>
        </w:numPr>
        <w:spacing w:after="60" w:before="30" w:line="280"/>
      </w:pPr>
      <w:r>
        <w:rPr>
          <w:rFonts w:ascii="Calibri" w:cs="Calibri" w:eastAsia="Calibri" w:hAnsi="Calibri"/>
          <w:color w:val="1A1A1A"/>
          <w:sz w:val="22"/>
          <w:szCs w:val="22"/>
        </w:rPr>
        <w:t xml:space="preserve">Behavioural data about ritual choices — the server sees the cup the user chose in order to produce a prescription, and then forgets. Only aggregate archetype counters persist.</w:t>
      </w:r>
    </w:p>
    <w:p>
      <w:r>
        <w:br w:type="page"/>
      </w:r>
    </w:p>
    <w:p>
      <w:pPr>
        <w:pStyle w:val="Heading1"/>
        <w:spacing w:after="180" w:before="360"/>
      </w:pPr>
      <w:r>
        <w:rPr>
          <w:rFonts w:ascii="Calibri" w:cs="Calibri" w:eastAsia="Calibri" w:hAnsi="Calibri"/>
          <w:b/>
          <w:bCs/>
          <w:color w:val="2E4057"/>
          <w:sz w:val="36"/>
          <w:szCs w:val="36"/>
        </w:rPr>
        <w:t xml:space="preserve">8.  API surface</w:t>
      </w:r>
    </w:p>
    <w:p>
      <w:pPr>
        <w:spacing w:after="120" w:before="60" w:line="300"/>
      </w:pPr>
      <w:r>
        <w:rPr>
          <w:rFonts w:ascii="Calibri" w:cs="Calibri" w:eastAsia="Calibri" w:hAnsi="Calibri"/>
          <w:b w:val="false"/>
          <w:bCs w:val="false"/>
          <w:i w:val="false"/>
          <w:iCs w:val="false"/>
          <w:color w:val="1A1A1A"/>
          <w:sz w:val="22"/>
          <w:szCs w:val="22"/>
        </w:rPr>
        <w:t xml:space="preserve">The complete public API for the service. Kept small on purpose. Every endpoint below is annotated with whether it requires a valid device-issued JWT.</w:t>
      </w:r>
    </w:p>
    <w:p>
      <w:pPr>
        <w:pStyle w:val="Heading2"/>
        <w:spacing w:after="140" w:before="280"/>
      </w:pPr>
      <w:r>
        <w:rPr>
          <w:rFonts w:ascii="Calibri" w:cs="Calibri" w:eastAsia="Calibri" w:hAnsi="Calibri"/>
          <w:b/>
          <w:bCs/>
          <w:color w:val="2E4057"/>
          <w:sz w:val="28"/>
          <w:szCs w:val="28"/>
        </w:rPr>
        <w:t xml:space="preserve">8.1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4200"/>
        <w:gridCol w:w="1360"/>
      </w:tblGrid>
      <w:tr>
        <w:trPr>
          <w:tblHeader/>
        </w:trPr>
        <w:tc>
          <w:tcPr>
            <w:tcW w:type="dxa" w:w="8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Method</w:t>
            </w:r>
          </w:p>
        </w:tc>
        <w:tc>
          <w:tcPr>
            <w:tcW w:type="dxa" w:w="30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Path</w:t>
            </w:r>
          </w:p>
        </w:tc>
        <w:tc>
          <w:tcPr>
            <w:tcW w:type="dxa" w:w="42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Purpose</w:t>
            </w:r>
          </w:p>
        </w:tc>
        <w:tc>
          <w:tcPr>
            <w:tcW w:type="dxa" w:w="136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Auth</w:t>
            </w:r>
          </w:p>
        </w:tc>
      </w:tr>
      <w:tr>
        <w:tc>
          <w:tcPr>
            <w:tcW w:type="dxa" w:w="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POST</w:t>
            </w:r>
          </w:p>
        </w:tc>
        <w:tc>
          <w:tcPr>
            <w:tcW w:type="dxa" w:w="3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/v1/auth/challenge</w:t>
            </w:r>
          </w:p>
        </w:tc>
        <w:tc>
          <w:tcPr>
            <w:tcW w:type="dxa" w:w="4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Issue a server nonce for device handshake.</w:t>
            </w:r>
          </w:p>
        </w:tc>
        <w:tc>
          <w:tcPr>
            <w:tcW w:type="dxa" w:w="13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No</w:t>
            </w:r>
          </w:p>
        </w:tc>
      </w:tr>
      <w:tr>
        <w:tc>
          <w:tcPr>
            <w:tcW w:type="dxa" w:w="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POST</w:t>
            </w:r>
          </w:p>
        </w:tc>
        <w:tc>
          <w:tcPr>
            <w:tcW w:type="dxa" w:w="3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/v1/auth/verify</w:t>
            </w:r>
          </w:p>
        </w:tc>
        <w:tc>
          <w:tcPr>
            <w:tcW w:type="dxa" w:w="42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Exchange composite identity code + device signature for a JWT.</w:t>
            </w:r>
          </w:p>
        </w:tc>
        <w:tc>
          <w:tcPr>
            <w:tcW w:type="dxa" w:w="13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No</w:t>
            </w:r>
          </w:p>
        </w:tc>
      </w:tr>
      <w:tr>
        <w:tc>
          <w:tcPr>
            <w:tcW w:type="dxa" w:w="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POST</w:t>
            </w:r>
          </w:p>
        </w:tc>
        <w:tc>
          <w:tcPr>
            <w:tcW w:type="dxa" w:w="3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/v1/auth/refresh</w:t>
            </w:r>
          </w:p>
        </w:tc>
        <w:tc>
          <w:tcPr>
            <w:tcW w:type="dxa" w:w="4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Refresh the JWT (valid device required).</w:t>
            </w:r>
          </w:p>
        </w:tc>
        <w:tc>
          <w:tcPr>
            <w:tcW w:type="dxa" w:w="13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JWT</w:t>
            </w:r>
          </w:p>
        </w:tc>
      </w:tr>
    </w:tbl>
    <w:p>
      <w:pPr>
        <w:pStyle w:val="Heading2"/>
        <w:spacing w:after="140" w:before="280"/>
      </w:pPr>
      <w:r>
        <w:rPr>
          <w:rFonts w:ascii="Calibri" w:cs="Calibri" w:eastAsia="Calibri" w:hAnsi="Calibri"/>
          <w:b/>
          <w:bCs/>
          <w:color w:val="2E4057"/>
          <w:sz w:val="28"/>
          <w:szCs w:val="28"/>
        </w:rPr>
        <w:t xml:space="preserve">8.2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4200"/>
        <w:gridCol w:w="1360"/>
      </w:tblGrid>
      <w:tr>
        <w:trPr>
          <w:tblHeader/>
        </w:trPr>
        <w:tc>
          <w:tcPr>
            <w:tcW w:type="dxa" w:w="8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Method</w:t>
            </w:r>
          </w:p>
        </w:tc>
        <w:tc>
          <w:tcPr>
            <w:tcW w:type="dxa" w:w="30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Path</w:t>
            </w:r>
          </w:p>
        </w:tc>
        <w:tc>
          <w:tcPr>
            <w:tcW w:type="dxa" w:w="42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Purpose</w:t>
            </w:r>
          </w:p>
        </w:tc>
        <w:tc>
          <w:tcPr>
            <w:tcW w:type="dxa" w:w="136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Auth</w:t>
            </w:r>
          </w:p>
        </w:tc>
      </w:tr>
      <w:tr>
        <w:tc>
          <w:tcPr>
            <w:tcW w:type="dxa" w:w="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POST</w:t>
            </w:r>
          </w:p>
        </w:tc>
        <w:tc>
          <w:tcPr>
            <w:tcW w:type="dxa" w:w="3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/v1/accounts</w:t>
            </w:r>
          </w:p>
        </w:tc>
        <w:tc>
          <w:tcPr>
            <w:tcW w:type="dxa" w:w="4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Create an account. Body: covenant_hash, device_attestation.</w:t>
            </w:r>
          </w:p>
        </w:tc>
        <w:tc>
          <w:tcPr>
            <w:tcW w:type="dxa" w:w="13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No (first-use only)</w:t>
            </w:r>
          </w:p>
        </w:tc>
      </w:tr>
      <w:tr>
        <w:tc>
          <w:tcPr>
            <w:tcW w:type="dxa" w:w="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DELETE</w:t>
            </w:r>
          </w:p>
        </w:tc>
        <w:tc>
          <w:tcPr>
            <w:tcW w:type="dxa" w:w="3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/v1/accounts/me</w:t>
            </w:r>
          </w:p>
        </w:tc>
        <w:tc>
          <w:tcPr>
            <w:tcW w:type="dxa" w:w="42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Delete account. Triggers full purge workflow.</w:t>
            </w:r>
          </w:p>
        </w:tc>
        <w:tc>
          <w:tcPr>
            <w:tcW w:type="dxa" w:w="13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JWT</w:t>
            </w:r>
          </w:p>
        </w:tc>
      </w:tr>
      <w:tr>
        <w:tc>
          <w:tcPr>
            <w:tcW w:type="dxa" w:w="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PUT</w:t>
            </w:r>
          </w:p>
        </w:tc>
        <w:tc>
          <w:tcPr>
            <w:tcW w:type="dxa" w:w="3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/v1/accounts/me/email</w:t>
            </w:r>
          </w:p>
        </w:tc>
        <w:tc>
          <w:tcPr>
            <w:tcW w:type="dxa" w:w="4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Set or update email for ritual prescriptions.</w:t>
            </w:r>
          </w:p>
        </w:tc>
        <w:tc>
          <w:tcPr>
            <w:tcW w:type="dxa" w:w="13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JWT</w:t>
            </w:r>
          </w:p>
        </w:tc>
      </w:tr>
      <w:tr>
        <w:tc>
          <w:tcPr>
            <w:tcW w:type="dxa" w:w="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DELETE</w:t>
            </w:r>
          </w:p>
        </w:tc>
        <w:tc>
          <w:tcPr>
            <w:tcW w:type="dxa" w:w="3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/v1/accounts/me/email</w:t>
            </w:r>
          </w:p>
        </w:tc>
        <w:tc>
          <w:tcPr>
            <w:tcW w:type="dxa" w:w="42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Remove email (stops all emails).</w:t>
            </w:r>
          </w:p>
        </w:tc>
        <w:tc>
          <w:tcPr>
            <w:tcW w:type="dxa" w:w="13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JWT</w:t>
            </w:r>
          </w:p>
        </w:tc>
      </w:tr>
    </w:tbl>
    <w:p>
      <w:pPr>
        <w:pStyle w:val="Heading2"/>
        <w:spacing w:after="140" w:before="280"/>
      </w:pPr>
      <w:r>
        <w:rPr>
          <w:rFonts w:ascii="Calibri" w:cs="Calibri" w:eastAsia="Calibri" w:hAnsi="Calibri"/>
          <w:b/>
          <w:bCs/>
          <w:color w:val="2E4057"/>
          <w:sz w:val="28"/>
          <w:szCs w:val="28"/>
        </w:rPr>
        <w:t xml:space="preserve">8.3  Moats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3800"/>
        <w:gridCol w:w="1360"/>
      </w:tblGrid>
      <w:tr>
        <w:trPr>
          <w:tblHeader/>
        </w:trPr>
        <w:tc>
          <w:tcPr>
            <w:tcW w:type="dxa" w:w="8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Method</w:t>
            </w:r>
          </w:p>
        </w:tc>
        <w:tc>
          <w:tcPr>
            <w:tcW w:type="dxa" w:w="34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Path</w:t>
            </w:r>
          </w:p>
        </w:tc>
        <w:tc>
          <w:tcPr>
            <w:tcW w:type="dxa" w:w="38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Purpose</w:t>
            </w:r>
          </w:p>
        </w:tc>
        <w:tc>
          <w:tcPr>
            <w:tcW w:type="dxa" w:w="136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Auth</w:t>
            </w:r>
          </w:p>
        </w:tc>
      </w:tr>
      <w:tr>
        <w:tc>
          <w:tcPr>
            <w:tcW w:type="dxa" w:w="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POST</w:t>
            </w:r>
          </w:p>
        </w:tc>
        <w:tc>
          <w:tcPr>
            <w:tcW w:type="dxa" w:w="3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/v1/moats/join</w:t>
            </w:r>
          </w:p>
        </w:tc>
        <w:tc>
          <w:tcPr>
            <w:tcW w:type="dxa" w:w="3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Request placement. Server places in forming cohort.</w:t>
            </w:r>
          </w:p>
        </w:tc>
        <w:tc>
          <w:tcPr>
            <w:tcW w:type="dxa" w:w="13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JWT</w:t>
            </w:r>
          </w:p>
        </w:tc>
      </w:tr>
      <w:tr>
        <w:tc>
          <w:tcPr>
            <w:tcW w:type="dxa" w:w="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GET</w:t>
            </w:r>
          </w:p>
        </w:tc>
        <w:tc>
          <w:tcPr>
            <w:tcW w:type="dxa" w:w="3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/v1/moats/current</w:t>
            </w:r>
          </w:p>
        </w:tc>
        <w:tc>
          <w:tcPr>
            <w:tcW w:type="dxa" w:w="3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Return current Moat metadata (Megolm group state, session).</w:t>
            </w:r>
          </w:p>
        </w:tc>
        <w:tc>
          <w:tcPr>
            <w:tcW w:type="dxa" w:w="13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JWT</w:t>
            </w:r>
          </w:p>
        </w:tc>
      </w:tr>
      <w:tr>
        <w:tc>
          <w:tcPr>
            <w:tcW w:type="dxa" w:w="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POST</w:t>
            </w:r>
          </w:p>
        </w:tc>
        <w:tc>
          <w:tcPr>
            <w:tcW w:type="dxa" w:w="3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/v1/moats/current/messages</w:t>
            </w:r>
          </w:p>
        </w:tc>
        <w:tc>
          <w:tcPr>
            <w:tcW w:type="dxa" w:w="3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Post an encrypted message. Body is a Megolm group ciphertext.</w:t>
            </w:r>
          </w:p>
        </w:tc>
        <w:tc>
          <w:tcPr>
            <w:tcW w:type="dxa" w:w="13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JWT</w:t>
            </w:r>
          </w:p>
        </w:tc>
      </w:tr>
      <w:tr>
        <w:tc>
          <w:tcPr>
            <w:tcW w:type="dxa" w:w="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WS</w:t>
            </w:r>
          </w:p>
        </w:tc>
        <w:tc>
          <w:tcPr>
            <w:tcW w:type="dxa" w:w="3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/v1/moats/current/stream</w:t>
            </w:r>
          </w:p>
        </w:tc>
        <w:tc>
          <w:tcPr>
            <w:tcW w:type="dxa" w:w="3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WebSocket stream of new messages as they arrive.</w:t>
            </w:r>
          </w:p>
        </w:tc>
        <w:tc>
          <w:tcPr>
            <w:tcW w:type="dxa" w:w="13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JWT (ticket)</w:t>
            </w:r>
          </w:p>
        </w:tc>
      </w:tr>
      <w:tr>
        <w:tc>
          <w:tcPr>
            <w:tcW w:type="dxa" w:w="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POST</w:t>
            </w:r>
          </w:p>
        </w:tc>
        <w:tc>
          <w:tcPr>
            <w:tcW w:type="dxa" w:w="3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/v1/moats/current/session/reset</w:t>
            </w:r>
          </w:p>
        </w:tc>
        <w:tc>
          <w:tcPr>
            <w:tcW w:type="dxa" w:w="3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Trigger Megolm session rotation (cycle boundary).</w:t>
            </w:r>
          </w:p>
        </w:tc>
        <w:tc>
          <w:tcPr>
            <w:tcW w:type="dxa" w:w="13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JWT (system)</w:t>
            </w:r>
          </w:p>
        </w:tc>
      </w:tr>
    </w:tbl>
    <w:p>
      <w:pPr>
        <w:pStyle w:val="Heading2"/>
        <w:spacing w:after="140" w:before="280"/>
      </w:pPr>
      <w:r>
        <w:rPr>
          <w:rFonts w:ascii="Calibri" w:cs="Calibri" w:eastAsia="Calibri" w:hAnsi="Calibri"/>
          <w:b/>
          <w:bCs/>
          <w:color w:val="2E4057"/>
          <w:sz w:val="28"/>
          <w:szCs w:val="28"/>
        </w:rPr>
        <w:t xml:space="preserve">8.4  Linkage (external Unity ritual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3400"/>
        <w:gridCol w:w="1360"/>
      </w:tblGrid>
      <w:tr>
        <w:trPr>
          <w:tblHeader/>
        </w:trPr>
        <w:tc>
          <w:tcPr>
            <w:tcW w:type="dxa" w:w="8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Method</w:t>
            </w:r>
          </w:p>
        </w:tc>
        <w:tc>
          <w:tcPr>
            <w:tcW w:type="dxa" w:w="38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Path</w:t>
            </w:r>
          </w:p>
        </w:tc>
        <w:tc>
          <w:tcPr>
            <w:tcW w:type="dxa" w:w="34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Purpose</w:t>
            </w:r>
          </w:p>
        </w:tc>
        <w:tc>
          <w:tcPr>
            <w:tcW w:type="dxa" w:w="136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Auth</w:t>
            </w:r>
          </w:p>
        </w:tc>
      </w:tr>
      <w:tr>
        <w:tc>
          <w:tcPr>
            <w:tcW w:type="dxa" w:w="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POST</w:t>
            </w:r>
          </w:p>
        </w:tc>
        <w:tc>
          <w:tcPr>
            <w:tcW w:type="dxa" w:w="3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/v1/linkage/bootstrap</w:t>
            </w:r>
          </w:p>
        </w:tc>
        <w:tc>
          <w:tcPr>
            <w:tcW w:type="dxa" w:w="3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Issue the opaque account ID token handed to the Unity app at first launch.</w:t>
            </w:r>
          </w:p>
        </w:tc>
        <w:tc>
          <w:tcPr>
            <w:tcW w:type="dxa" w:w="13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JWT (Moat app)</w:t>
            </w:r>
          </w:p>
        </w:tc>
      </w:tr>
      <w:tr>
        <w:tc>
          <w:tcPr>
            <w:tcW w:type="dxa" w:w="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POST</w:t>
            </w:r>
          </w:p>
        </w:tc>
        <w:tc>
          <w:tcPr>
            <w:tcW w:type="dxa" w:w="3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/v1/linkage/relay_prescription</w:t>
            </w:r>
          </w:p>
        </w:tc>
        <w:tc>
          <w:tcPr>
            <w:tcW w:type="dxa" w:w="3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Unity app submits a finished prescription envelope; we relay via Postmark.</w:t>
            </w:r>
          </w:p>
        </w:tc>
        <w:tc>
          <w:tcPr>
            <w:tcW w:type="dxa" w:w="13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Unity linkage token</w:t>
            </w:r>
          </w:p>
        </w:tc>
      </w:tr>
      <w:tr>
        <w:tc>
          <w:tcPr>
            <w:tcW w:type="dxa" w:w="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GET</w:t>
            </w:r>
          </w:p>
        </w:tc>
        <w:tc>
          <w:tcPr>
            <w:tcW w:type="dxa" w:w="3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/v1/linkage/receipts</w:t>
            </w:r>
          </w:p>
        </w:tc>
        <w:tc>
          <w:tcPr>
            <w:tcW w:type="dxa" w:w="3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Return last N relay receipts (metadata only: relay_id, timestamp).</w:t>
            </w:r>
          </w:p>
        </w:tc>
        <w:tc>
          <w:tcPr>
            <w:tcW w:type="dxa" w:w="13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JWT (Moat app)</w:t>
            </w:r>
          </w:p>
        </w:tc>
      </w:tr>
    </w:tbl>
    <w:p>
      <w:pPr>
        <w:pStyle w:val="Heading2"/>
        <w:spacing w:after="140" w:before="280"/>
      </w:pPr>
      <w:r>
        <w:rPr>
          <w:rFonts w:ascii="Calibri" w:cs="Calibri" w:eastAsia="Calibri" w:hAnsi="Calibri"/>
          <w:b/>
          <w:bCs/>
          <w:color w:val="2E4057"/>
          <w:sz w:val="28"/>
          <w:szCs w:val="28"/>
        </w:rPr>
        <w:t xml:space="preserve">8.5  Complaints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3400"/>
        <w:gridCol w:w="1360"/>
      </w:tblGrid>
      <w:tr>
        <w:trPr>
          <w:tblHeader/>
        </w:trPr>
        <w:tc>
          <w:tcPr>
            <w:tcW w:type="dxa" w:w="8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Method</w:t>
            </w:r>
          </w:p>
        </w:tc>
        <w:tc>
          <w:tcPr>
            <w:tcW w:type="dxa" w:w="38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Path</w:t>
            </w:r>
          </w:p>
        </w:tc>
        <w:tc>
          <w:tcPr>
            <w:tcW w:type="dxa" w:w="34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Purpose</w:t>
            </w:r>
          </w:p>
        </w:tc>
        <w:tc>
          <w:tcPr>
            <w:tcW w:type="dxa" w:w="136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Auth</w:t>
            </w:r>
          </w:p>
        </w:tc>
      </w:tr>
      <w:tr>
        <w:tc>
          <w:tcPr>
            <w:tcW w:type="dxa" w:w="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POST</w:t>
            </w:r>
          </w:p>
        </w:tc>
        <w:tc>
          <w:tcPr>
            <w:tcW w:type="dxa" w:w="3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/v1/moats/current/complaints</w:t>
            </w:r>
          </w:p>
        </w:tc>
        <w:tc>
          <w:tcPr>
            <w:tcW w:type="dxa" w:w="3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File a complaint. Body: target_pseudonym, reason, optional message_id.</w:t>
            </w:r>
          </w:p>
        </w:tc>
        <w:tc>
          <w:tcPr>
            <w:tcW w:type="dxa" w:w="13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JWT</w:t>
            </w:r>
          </w:p>
        </w:tc>
      </w:tr>
      <w:tr>
        <w:tc>
          <w:tcPr>
            <w:tcW w:type="dxa" w:w="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GET</w:t>
            </w:r>
          </w:p>
        </w:tc>
        <w:tc>
          <w:tcPr>
            <w:tcW w:type="dxa" w:w="3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/v1/moats/current/complaints/mine</w:t>
            </w:r>
          </w:p>
        </w:tc>
        <w:tc>
          <w:tcPr>
            <w:tcW w:type="dxa" w:w="3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List a user’s own filed complaints (for review before threshold triggers).</w:t>
            </w:r>
          </w:p>
        </w:tc>
        <w:tc>
          <w:tcPr>
            <w:tcW w:type="dxa" w:w="13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JWT</w:t>
            </w:r>
          </w:p>
        </w:tc>
      </w:tr>
    </w:tbl>
    <w:p>
      <w:pPr>
        <w:pStyle w:val="Heading2"/>
        <w:spacing w:after="140" w:before="280"/>
      </w:pPr>
      <w:r>
        <w:rPr>
          <w:rFonts w:ascii="Calibri" w:cs="Calibri" w:eastAsia="Calibri" w:hAnsi="Calibri"/>
          <w:b/>
          <w:bCs/>
          <w:color w:val="2E4057"/>
          <w:sz w:val="28"/>
          <w:szCs w:val="28"/>
        </w:rPr>
        <w:t xml:space="preserve">8.6  Sample request — post a major statement</w:t>
      </w:r>
    </w:p>
    <w:p>
      <w:pPr>
        <w:shd w:fill="F2F2F2" w:color="auto" w:val="clear"/>
        <w:spacing w:after="120" w:before="120" w:line="260"/>
        <w:ind w:left="180" w:right="180"/>
      </w:pPr>
      <w:r>
        <w:rPr>
          <w:rFonts w:ascii="Consolas" w:cs="Consolas" w:eastAsia="Consolas" w:hAnsi="Consolas"/>
          <w:color w:val="1A1A1A"/>
          <w:sz w:val="20"/>
          <w:szCs w:val="20"/>
        </w:rPr>
        <w:t xml:space="preserve">POST /v1/moats/current/messages</w:t>
      </w:r>
      <w:r>
        <w:br/>
      </w:r>
      <w:r>
        <w:rPr>
          <w:rFonts w:ascii="Consolas" w:cs="Consolas" w:eastAsia="Consolas" w:hAnsi="Consolas"/>
          <w:color w:val="1A1A1A"/>
          <w:sz w:val="20"/>
          <w:szCs w:val="20"/>
        </w:rPr>
        <w:t xml:space="preserve">Authorization: Bearer &lt;jwt&gt;</w:t>
      </w:r>
      <w:r>
        <w:br/>
      </w:r>
      <w:r>
        <w:rPr>
          <w:rFonts w:ascii="Consolas" w:cs="Consolas" w:eastAsia="Consolas" w:hAnsi="Consolas"/>
          <w:color w:val="1A1A1A"/>
          <w:sz w:val="20"/>
          <w:szCs w:val="20"/>
        </w:rPr>
        <w:t xml:space="preserve">Content-Type: application/x-megolm-group-message</w:t>
      </w:r>
      <w:r>
        <w:br/>
      </w:r>
      <w:r>
        <w:rPr>
          <w:rFonts w:ascii="Consolas" w:cs="Consolas" w:eastAsia="Consolas" w:hAnsi="Consolas"/>
          <w:color w:val="1A1A1A"/>
          <w:sz w:val="20"/>
          <w:szCs w:val="20"/>
        </w:rPr>
        <w:t xml:space="preserve"/>
      </w:r>
      <w:r>
        <w:br/>
      </w:r>
      <w:r>
        <w:rPr>
          <w:rFonts w:ascii="Consolas" w:cs="Consolas" w:eastAsia="Consolas" w:hAnsi="Consolas"/>
          <w:color w:val="1A1A1A"/>
          <w:sz w:val="20"/>
          <w:szCs w:val="20"/>
        </w:rPr>
        <w:t xml:space="preserve">&lt;binary Megolm group ciphertext wrapping the encrypted</w:t>
      </w:r>
      <w:r>
        <w:br/>
      </w:r>
      <w:r>
        <w:rPr>
          <w:rFonts w:ascii="Consolas" w:cs="Consolas" w:eastAsia="Consolas" w:hAnsi="Consolas"/>
          <w:color w:val="1A1A1A"/>
          <w:sz w:val="20"/>
          <w:szCs w:val="20"/>
        </w:rPr>
        <w:t xml:space="preserve">major_statement JSON shown in 5.4.3&gt;</w:t>
      </w:r>
      <w:r>
        <w:br/>
      </w:r>
      <w:r>
        <w:rPr>
          <w:rFonts w:ascii="Consolas" w:cs="Consolas" w:eastAsia="Consolas" w:hAnsi="Consolas"/>
          <w:color w:val="1A1A1A"/>
          <w:sz w:val="20"/>
          <w:szCs w:val="20"/>
        </w:rPr>
        <w:t xml:space="preserve"/>
      </w:r>
      <w:r>
        <w:br/>
      </w:r>
      <w:r>
        <w:rPr>
          <w:rFonts w:ascii="Consolas" w:cs="Consolas" w:eastAsia="Consolas" w:hAnsi="Consolas"/>
          <w:color w:val="1A1A1A"/>
          <w:sz w:val="20"/>
          <w:szCs w:val="20"/>
        </w:rPr>
        <w:t xml:space="preserve">-- Server response --</w:t>
      </w:r>
      <w:r>
        <w:br/>
      </w:r>
      <w:r>
        <w:rPr>
          <w:rFonts w:ascii="Consolas" w:cs="Consolas" w:eastAsia="Consolas" w:hAnsi="Consolas"/>
          <w:color w:val="1A1A1A"/>
          <w:sz w:val="20"/>
          <w:szCs w:val="20"/>
        </w:rPr>
        <w:t xml:space="preserve">201 Created</w:t>
      </w:r>
      <w:r>
        <w:br/>
      </w:r>
      <w:r>
        <w:rPr>
          <w:rFonts w:ascii="Consolas" w:cs="Consolas" w:eastAsia="Consolas" w:hAnsi="Consolas"/>
          <w:color w:val="1A1A1A"/>
          <w:sz w:val="20"/>
          <w:szCs w:val="20"/>
        </w:rPr>
        <w:t xml:space="preserve">{</w:t>
      </w:r>
      <w:r>
        <w:br/>
      </w:r>
      <w:r>
        <w:rPr>
          <w:rFonts w:ascii="Consolas" w:cs="Consolas" w:eastAsia="Consolas" w:hAnsi="Consolas"/>
          <w:color w:val="1A1A1A"/>
          <w:sz w:val="20"/>
          <w:szCs w:val="20"/>
        </w:rPr>
        <w:t xml:space="preserve">  "message_id": "0f9c…",</w:t>
      </w:r>
      <w:r>
        <w:br/>
      </w:r>
      <w:r>
        <w:rPr>
          <w:rFonts w:ascii="Consolas" w:cs="Consolas" w:eastAsia="Consolas" w:hAnsi="Consolas"/>
          <w:color w:val="1A1A1A"/>
          <w:sz w:val="20"/>
          <w:szCs w:val="20"/>
        </w:rPr>
        <w:t xml:space="preserve">  "posted_at":  "2026-04-20T14:02:11Z",</w:t>
      </w:r>
      <w:r>
        <w:br/>
      </w:r>
      <w:r>
        <w:rPr>
          <w:rFonts w:ascii="Consolas" w:cs="Consolas" w:eastAsia="Consolas" w:hAnsi="Consolas"/>
          <w:color w:val="1A1A1A"/>
          <w:sz w:val="20"/>
          <w:szCs w:val="20"/>
        </w:rPr>
        <w:t xml:space="preserve">  "expires_at": "2026-04-27T14:02:11Z"</w:t>
      </w:r>
      <w:r>
        <w:br/>
      </w:r>
      <w:r>
        <w:rPr>
          <w:rFonts w:ascii="Consolas" w:cs="Consolas" w:eastAsia="Consolas" w:hAnsi="Consolas"/>
          <w:color w:val="1A1A1A"/>
          <w:sz w:val="20"/>
          <w:szCs w:val="20"/>
        </w:rPr>
        <w:t xml:space="preserve">}</w:t>
      </w:r>
    </w:p>
    <w:p>
      <w:r>
        <w:br w:type="page"/>
      </w:r>
    </w:p>
    <w:p>
      <w:pPr>
        <w:pStyle w:val="Heading1"/>
        <w:spacing w:after="180" w:before="360"/>
      </w:pPr>
      <w:r>
        <w:rPr>
          <w:rFonts w:ascii="Calibri" w:cs="Calibri" w:eastAsia="Calibri" w:hAnsi="Calibri"/>
          <w:b/>
          <w:bCs/>
          <w:color w:val="2E4057"/>
          <w:sz w:val="36"/>
          <w:szCs w:val="36"/>
        </w:rPr>
        <w:t xml:space="preserve">9.  The seven-day deletion system</w:t>
      </w:r>
    </w:p>
    <w:p>
      <w:pPr>
        <w:spacing w:after="120" w:before="60" w:line="300"/>
      </w:pPr>
      <w:r>
        <w:rPr>
          <w:rFonts w:ascii="Calibri" w:cs="Calibri" w:eastAsia="Calibri" w:hAnsi="Calibri"/>
          <w:b w:val="false"/>
          <w:bCs w:val="false"/>
          <w:i w:val="false"/>
          <w:iCs w:val="false"/>
          <w:color w:val="1A1A1A"/>
          <w:sz w:val="22"/>
          <w:szCs w:val="22"/>
        </w:rPr>
        <w:t xml:space="preserve">This is the most technically sensitive subsystem in Moatly. The product’s central promise — that everything said in the Moat will be gone in seven days — lives or dies here. The subsystem is given its own section because it spans multiple services and needs to be reasoned about holistically.</w:t>
      </w:r>
    </w:p>
    <w:p>
      <w:pPr>
        <w:pStyle w:val="Heading2"/>
        <w:spacing w:after="140" w:before="280"/>
      </w:pPr>
      <w:r>
        <w:rPr>
          <w:rFonts w:ascii="Calibri" w:cs="Calibri" w:eastAsia="Calibri" w:hAnsi="Calibri"/>
          <w:b/>
          <w:bCs/>
          <w:color w:val="2E4057"/>
          <w:sz w:val="28"/>
          <w:szCs w:val="28"/>
        </w:rPr>
        <w:t xml:space="preserve">9.1  What ‘deleted’ means</w:t>
      </w:r>
    </w:p>
    <w:p>
      <w:pPr>
        <w:spacing w:after="120" w:before="60" w:line="300"/>
      </w:pPr>
      <w:r>
        <w:rPr>
          <w:rFonts w:ascii="Calibri" w:cs="Calibri" w:eastAsia="Calibri" w:hAnsi="Calibri"/>
          <w:b w:val="false"/>
          <w:bCs w:val="false"/>
          <w:i w:val="false"/>
          <w:iCs w:val="false"/>
          <w:color w:val="1A1A1A"/>
          <w:sz w:val="22"/>
          <w:szCs w:val="22"/>
        </w:rPr>
        <w:t xml:space="preserve">We use the word deleted in a specific technical sense: after the deletion window, there exists no decipherable copy of the content anywhere in our infrastructure, including backups, logs, replicas, caches, and snapshots.</w:t>
      </w:r>
    </w:p>
    <w:p>
      <w:pPr>
        <w:spacing w:after="120" w:before="60" w:line="300"/>
      </w:pPr>
      <w:r>
        <w:rPr>
          <w:rFonts w:ascii="Calibri" w:cs="Calibri" w:eastAsia="Calibri" w:hAnsi="Calibri"/>
          <w:b w:val="false"/>
          <w:bCs w:val="false"/>
          <w:i w:val="false"/>
          <w:iCs w:val="false"/>
          <w:color w:val="1A1A1A"/>
          <w:sz w:val="22"/>
          <w:szCs w:val="22"/>
        </w:rPr>
        <w:t xml:space="preserve">We achieve this through three independent mechanisms, each of which alone would be insufficient. Together they form a belt-and-braces guarantee.</w:t>
      </w:r>
    </w:p>
    <w:p>
      <w:pPr>
        <w:pStyle w:val="Heading2"/>
        <w:spacing w:after="140" w:before="280"/>
      </w:pPr>
      <w:r>
        <w:rPr>
          <w:rFonts w:ascii="Calibri" w:cs="Calibri" w:eastAsia="Calibri" w:hAnsi="Calibri"/>
          <w:b/>
          <w:bCs/>
          <w:color w:val="2E4057"/>
          <w:sz w:val="28"/>
          <w:szCs w:val="28"/>
        </w:rPr>
        <w:t xml:space="preserve">9.2  Mechanism 1 — Row deletion</w:t>
      </w:r>
    </w:p>
    <w:p>
      <w:pPr>
        <w:spacing w:after="120" w:before="60" w:line="300"/>
      </w:pPr>
      <w:r>
        <w:rPr>
          <w:rFonts w:ascii="Calibri" w:cs="Calibri" w:eastAsia="Calibri" w:hAnsi="Calibri"/>
          <w:b w:val="false"/>
          <w:bCs w:val="false"/>
          <w:i w:val="false"/>
          <w:iCs w:val="false"/>
          <w:color w:val="1A1A1A"/>
          <w:sz w:val="22"/>
          <w:szCs w:val="22"/>
        </w:rPr>
        <w:t xml:space="preserve">An hourly worker deletes every row in moat_messages where expires_at &lt; now(). After deletion the worker runs VACUUM FULL on the affected partition, returning the physical pages to the OS. Primary and all replicas are affected within 5 minutes. The deletion worker is idempotent and resumable.</w:t>
      </w:r>
    </w:p>
    <w:p>
      <w:pPr>
        <w:shd w:fill="F2F2F2" w:color="auto" w:val="clear"/>
        <w:spacing w:after="120" w:before="120" w:line="260"/>
        <w:ind w:left="180" w:right="180"/>
      </w:pPr>
      <w:r>
        <w:rPr>
          <w:rFonts w:ascii="Consolas" w:cs="Consolas" w:eastAsia="Consolas" w:hAnsi="Consolas"/>
          <w:color w:val="1A1A1A"/>
          <w:sz w:val="20"/>
          <w:szCs w:val="20"/>
        </w:rPr>
        <w:t xml:space="preserve">-- Simplified worker loop</w:t>
      </w:r>
      <w:r>
        <w:br/>
      </w:r>
      <w:r>
        <w:rPr>
          <w:rFonts w:ascii="Consolas" w:cs="Consolas" w:eastAsia="Consolas" w:hAnsi="Consolas"/>
          <w:color w:val="1A1A1A"/>
          <w:sz w:val="20"/>
          <w:szCs w:val="20"/>
        </w:rPr>
        <w:t xml:space="preserve">DELETE FROM moat_messages</w:t>
      </w:r>
      <w:r>
        <w:br/>
      </w:r>
      <w:r>
        <w:rPr>
          <w:rFonts w:ascii="Consolas" w:cs="Consolas" w:eastAsia="Consolas" w:hAnsi="Consolas"/>
          <w:color w:val="1A1A1A"/>
          <w:sz w:val="20"/>
          <w:szCs w:val="20"/>
        </w:rPr>
        <w:t xml:space="preserve">WHERE expires_at &lt; now()</w:t>
      </w:r>
      <w:r>
        <w:br/>
      </w:r>
      <w:r>
        <w:rPr>
          <w:rFonts w:ascii="Consolas" w:cs="Consolas" w:eastAsia="Consolas" w:hAnsi="Consolas"/>
          <w:color w:val="1A1A1A"/>
          <w:sz w:val="20"/>
          <w:szCs w:val="20"/>
        </w:rPr>
        <w:t xml:space="preserve">  AND deleted_at IS NULL</w:t>
      </w:r>
      <w:r>
        <w:br/>
      </w:r>
      <w:r>
        <w:rPr>
          <w:rFonts w:ascii="Consolas" w:cs="Consolas" w:eastAsia="Consolas" w:hAnsi="Consolas"/>
          <w:color w:val="1A1A1A"/>
          <w:sz w:val="20"/>
          <w:szCs w:val="20"/>
        </w:rPr>
        <w:t xml:space="preserve">RETURNING message_id;</w:t>
      </w:r>
      <w:r>
        <w:br/>
      </w:r>
      <w:r>
        <w:rPr>
          <w:rFonts w:ascii="Consolas" w:cs="Consolas" w:eastAsia="Consolas" w:hAnsi="Consolas"/>
          <w:color w:val="1A1A1A"/>
          <w:sz w:val="20"/>
          <w:szCs w:val="20"/>
        </w:rPr>
        <w:t xml:space="preserve"/>
      </w:r>
      <w:r>
        <w:br/>
      </w:r>
      <w:r>
        <w:rPr>
          <w:rFonts w:ascii="Consolas" w:cs="Consolas" w:eastAsia="Consolas" w:hAnsi="Consolas"/>
          <w:color w:val="1A1A1A"/>
          <w:sz w:val="20"/>
          <w:szCs w:val="20"/>
        </w:rPr>
        <w:t xml:space="preserve">-- Write proof of deletion (no content, just IDs and counts)</w:t>
      </w:r>
      <w:r>
        <w:br/>
      </w:r>
      <w:r>
        <w:rPr>
          <w:rFonts w:ascii="Consolas" w:cs="Consolas" w:eastAsia="Consolas" w:hAnsi="Consolas"/>
          <w:color w:val="1A1A1A"/>
          <w:sz w:val="20"/>
          <w:szCs w:val="20"/>
        </w:rPr>
        <w:t xml:space="preserve">INSERT INTO deletion_audit (run_id, deleted_count, ran_at)</w:t>
      </w:r>
      <w:r>
        <w:br/>
      </w:r>
      <w:r>
        <w:rPr>
          <w:rFonts w:ascii="Consolas" w:cs="Consolas" w:eastAsia="Consolas" w:hAnsi="Consolas"/>
          <w:color w:val="1A1A1A"/>
          <w:sz w:val="20"/>
          <w:szCs w:val="20"/>
        </w:rPr>
        <w:t xml:space="preserve">VALUES ($1, $2, now());</w:t>
      </w:r>
    </w:p>
    <w:p>
      <w:pPr>
        <w:pStyle w:val="Heading2"/>
        <w:spacing w:after="140" w:before="280"/>
      </w:pPr>
      <w:r>
        <w:rPr>
          <w:rFonts w:ascii="Calibri" w:cs="Calibri" w:eastAsia="Calibri" w:hAnsi="Calibri"/>
          <w:b/>
          <w:bCs/>
          <w:color w:val="2E4057"/>
          <w:sz w:val="28"/>
          <w:szCs w:val="28"/>
        </w:rPr>
        <w:t xml:space="preserve">9.3  Mechanism 2 — Megolm session rotation</w:t>
      </w:r>
    </w:p>
    <w:p>
      <w:pPr>
        <w:spacing w:after="120" w:before="60" w:line="300"/>
      </w:pPr>
      <w:r>
        <w:rPr>
          <w:rFonts w:ascii="Calibri" w:cs="Calibri" w:eastAsia="Calibri" w:hAnsi="Calibri"/>
          <w:b w:val="false"/>
          <w:bCs w:val="false"/>
          <w:i w:val="false"/>
          <w:iCs w:val="false"/>
          <w:color w:val="1A1A1A"/>
          <w:sz w:val="22"/>
          <w:szCs w:val="22"/>
        </w:rPr>
        <w:t xml:space="preserve">Every seven days, at cycle boundary, each Moat performs a full Megolm session rotation: a new group session begins and the prior Megolm session is retired and its ratchet state is deleted from every member’s device on the next sync. Any ciphertext encrypted under the old session is now undecryptable even if somehow recovered from a backup or a rogue replica. This is a cryptographic deletion layer on top of the physical row deletion.</w:t>
      </w:r>
    </w:p>
    <w:p>
      <w:pPr>
        <w:pStyle w:val="Heading2"/>
        <w:spacing w:after="140" w:before="280"/>
      </w:pPr>
      <w:r>
        <w:rPr>
          <w:rFonts w:ascii="Calibri" w:cs="Calibri" w:eastAsia="Calibri" w:hAnsi="Calibri"/>
          <w:b/>
          <w:bCs/>
          <w:color w:val="2E4057"/>
          <w:sz w:val="28"/>
          <w:szCs w:val="28"/>
        </w:rPr>
        <w:t xml:space="preserve">9.4  Mechanism 3 — Backup key expiry</w:t>
      </w:r>
    </w:p>
    <w:p>
      <w:pPr>
        <w:spacing w:after="120" w:before="60" w:line="300"/>
      </w:pPr>
      <w:r>
        <w:rPr>
          <w:rFonts w:ascii="Calibri" w:cs="Calibri" w:eastAsia="Calibri" w:hAnsi="Calibri"/>
          <w:b w:val="false"/>
          <w:bCs w:val="false"/>
          <w:i w:val="false"/>
          <w:iCs w:val="false"/>
          <w:color w:val="1A1A1A"/>
          <w:sz w:val="22"/>
          <w:szCs w:val="22"/>
        </w:rPr>
        <w:t xml:space="preserve">Database backups are a standard disaster-recovery requirement; we take nightly encrypted snapshots. However, we structure the backup encryption so that backups become cryptographically unrecoverable eight days after they are taken.</w:t>
      </w:r>
    </w:p>
    <w:p>
      <w:pPr>
        <w:pStyle w:val="ListParagraph"/>
        <w:numPr>
          <w:ilvl w:val="0"/>
          <w:numId w:val="2"/>
        </w:numPr>
        <w:spacing w:after="60" w:before="30" w:line="280"/>
      </w:pPr>
      <w:r>
        <w:rPr>
          <w:rFonts w:ascii="Calibri" w:cs="Calibri" w:eastAsia="Calibri" w:hAnsi="Calibri"/>
          <w:color w:val="1A1A1A"/>
          <w:sz w:val="22"/>
          <w:szCs w:val="22"/>
        </w:rPr>
        <w:t xml:space="preserve">Each nightly snapshot is encrypted with a per-snapshot AES-256 key generated by AWS KMS.</w:t>
      </w:r>
    </w:p>
    <w:p>
      <w:pPr>
        <w:pStyle w:val="ListParagraph"/>
        <w:numPr>
          <w:ilvl w:val="0"/>
          <w:numId w:val="2"/>
        </w:numPr>
        <w:spacing w:after="60" w:before="30" w:line="280"/>
      </w:pPr>
      <w:r>
        <w:rPr>
          <w:rFonts w:ascii="Calibri" w:cs="Calibri" w:eastAsia="Calibri" w:hAnsi="Calibri"/>
          <w:color w:val="1A1A1A"/>
          <w:sz w:val="22"/>
          <w:szCs w:val="22"/>
        </w:rPr>
        <w:t xml:space="preserve">The KMS key material is configured with an 8-day scheduled deletion.</w:t>
      </w:r>
    </w:p>
    <w:p>
      <w:pPr>
        <w:pStyle w:val="ListParagraph"/>
        <w:numPr>
          <w:ilvl w:val="0"/>
          <w:numId w:val="2"/>
        </w:numPr>
        <w:spacing w:after="60" w:before="30" w:line="280"/>
      </w:pPr>
      <w:r>
        <w:rPr>
          <w:rFonts w:ascii="Calibri" w:cs="Calibri" w:eastAsia="Calibri" w:hAnsi="Calibri"/>
          <w:color w:val="1A1A1A"/>
          <w:sz w:val="22"/>
          <w:szCs w:val="22"/>
        </w:rPr>
        <w:t xml:space="preserve">Result: a snapshot taken on day N is decryptable until day N+8, after which it is bytes without a key.</w:t>
      </w:r>
    </w:p>
    <w:p>
      <w:pPr>
        <w:pStyle w:val="ListParagraph"/>
        <w:numPr>
          <w:ilvl w:val="0"/>
          <w:numId w:val="2"/>
        </w:numPr>
        <w:spacing w:after="60" w:before="30" w:line="280"/>
      </w:pPr>
      <w:r>
        <w:rPr>
          <w:rFonts w:ascii="Calibri" w:cs="Calibri" w:eastAsia="Calibri" w:hAnsi="Calibri"/>
          <w:color w:val="1A1A1A"/>
          <w:sz w:val="22"/>
          <w:szCs w:val="22"/>
        </w:rPr>
        <w:t xml:space="preserve">This makes the retention guarantee robust even against a scenario where an attacker or insider exfiltrates a backup.</w:t>
      </w:r>
    </w:p>
    <w:p>
      <w:pPr>
        <w:pStyle w:val="Heading2"/>
        <w:spacing w:after="140" w:before="280"/>
      </w:pPr>
      <w:r>
        <w:rPr>
          <w:rFonts w:ascii="Calibri" w:cs="Calibri" w:eastAsia="Calibri" w:hAnsi="Calibri"/>
          <w:b/>
          <w:bCs/>
          <w:color w:val="2E4057"/>
          <w:sz w:val="28"/>
          <w:szCs w:val="28"/>
        </w:rPr>
        <w:t xml:space="preserve">9.5  Verification</w:t>
      </w:r>
    </w:p>
    <w:p>
      <w:pPr>
        <w:spacing w:after="120" w:before="60" w:line="300"/>
      </w:pPr>
      <w:r>
        <w:rPr>
          <w:rFonts w:ascii="Calibri" w:cs="Calibri" w:eastAsia="Calibri" w:hAnsi="Calibri"/>
          <w:b w:val="false"/>
          <w:bCs w:val="false"/>
          <w:i w:val="false"/>
          <w:iCs w:val="false"/>
          <w:color w:val="1A1A1A"/>
          <w:sz w:val="22"/>
          <w:szCs w:val="22"/>
        </w:rPr>
        <w:t xml:space="preserve">The deletion system is open to external verification in two ways. First, the entire pipeline is open-source. Second, we publish a monthly transparency summary that includes deletion-job success rates, the number of backups aged out, and KMS key-expiry confirmations. An independent auditor may connect to a read-only telemetry endpoint to observe these signals in real time.</w:t>
      </w:r>
    </w:p>
    <w:p>
      <w:pPr>
        <w:pStyle w:val="Heading2"/>
        <w:spacing w:after="140" w:before="280"/>
      </w:pPr>
      <w:r>
        <w:rPr>
          <w:rFonts w:ascii="Calibri" w:cs="Calibri" w:eastAsia="Calibri" w:hAnsi="Calibri"/>
          <w:b/>
          <w:bCs/>
          <w:color w:val="2E4057"/>
          <w:sz w:val="28"/>
          <w:szCs w:val="28"/>
        </w:rPr>
        <w:t xml:space="preserve">9.6  Failure modes and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Failure mode</w:t>
            </w:r>
          </w:p>
        </w:tc>
        <w:tc>
          <w:tcPr>
            <w:tcW w:type="dxa" w:w="28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Detection</w:t>
            </w:r>
          </w:p>
        </w:tc>
        <w:tc>
          <w:tcPr>
            <w:tcW w:type="dxa" w:w="416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Response</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Deletion worker failed to run for ≥3 hours</w:t>
            </w:r>
          </w:p>
        </w:tc>
        <w:tc>
          <w:tcPr>
            <w:tcW w:type="dxa" w:w="2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Metric alert on last_successful_run timestamp.</w:t>
            </w:r>
          </w:p>
        </w:tc>
        <w:tc>
          <w:tcPr>
            <w:tcW w:type="dxa" w:w="41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Page on-call. If the worker cannot be restored within 6 hours, MANUAL deletion runs via runbook. All unresolved workers trigger incident report.</w:t>
            </w:r>
          </w:p>
        </w:tc>
      </w:tr>
      <w:tr>
        <w:tc>
          <w:tcPr>
            <w:tcW w:type="dxa" w:w="2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KMS key deletion cancelled (human error)</w:t>
            </w:r>
          </w:p>
        </w:tc>
        <w:tc>
          <w:tcPr>
            <w:tcW w:type="dxa" w:w="2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Daily reconciliation check.</w:t>
            </w:r>
          </w:p>
        </w:tc>
        <w:tc>
          <w:tcPr>
            <w:tcW w:type="dxa" w:w="41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Re-schedule deletion immediately. Incident report published.</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Backup snapshot retained beyond 8 days</w:t>
            </w:r>
          </w:p>
        </w:tc>
        <w:tc>
          <w:tcPr>
            <w:tcW w:type="dxa" w:w="2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S3 lifecycle rule audit.</w:t>
            </w:r>
          </w:p>
        </w:tc>
        <w:tc>
          <w:tcPr>
            <w:tcW w:type="dxa" w:w="41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Manual deletion; RCA; public disclosure.</w:t>
            </w:r>
          </w:p>
        </w:tc>
      </w:tr>
      <w:tr>
        <w:tc>
          <w:tcPr>
            <w:tcW w:type="dxa" w:w="2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Replica lag prevents row deletion propagation</w:t>
            </w:r>
          </w:p>
        </w:tc>
        <w:tc>
          <w:tcPr>
            <w:tcW w:type="dxa" w:w="2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Replication-lag alert.</w:t>
            </w:r>
          </w:p>
        </w:tc>
        <w:tc>
          <w:tcPr>
            <w:tcW w:type="dxa" w:w="41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Pause new writes; drain replica; resume.</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Bug in Megolm session rotation</w:t>
            </w:r>
          </w:p>
        </w:tc>
        <w:tc>
          <w:tcPr>
            <w:tcW w:type="dxa" w:w="2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Post-cycle integrity check.</w:t>
            </w:r>
          </w:p>
        </w:tc>
        <w:tc>
          <w:tcPr>
            <w:tcW w:type="dxa" w:w="41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Emergency crypto review; force full reset on all groups; publish incident note.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2"/>
              <w:left w:val="single" w:color="2E4057" w:sz="12"/>
              <w:bottom w:val="single" w:color="2E4057" w:sz="4"/>
              <w:right w:val="single" w:color="2E4057" w:sz="4"/>
            </w:tcBorders>
            <w:shd w:fill="F4E9DC" w:color="auto" w:val="clear"/>
            <w:tcMar>
              <w:top w:type="dxa" w:w="180"/>
              <w:left w:type="dxa" w:w="240"/>
              <w:bottom w:type="dxa" w:w="180"/>
              <w:right w:type="dxa" w:w="240"/>
            </w:tcMar>
          </w:tcPr>
          <w:p>
            <w:pPr>
              <w:spacing w:after="80" w:before="0"/>
            </w:pPr>
            <w:r>
              <w:rPr>
                <w:rFonts w:ascii="Calibri" w:cs="Calibri" w:eastAsia="Calibri" w:hAnsi="Calibri"/>
                <w:b/>
                <w:bCs/>
                <w:color w:val="2E4057"/>
                <w:sz w:val="22"/>
                <w:szCs w:val="22"/>
              </w:rPr>
              <w:t xml:space="preserve">The deletion pipeline is the product</w:t>
            </w:r>
          </w:p>
          <w:p>
            <w:pPr>
              <w:spacing w:after="60" w:before="0" w:line="280"/>
            </w:pPr>
            <w:r>
              <w:rPr>
                <w:rFonts w:ascii="Calibri" w:cs="Calibri" w:eastAsia="Calibri" w:hAnsi="Calibri"/>
                <w:color w:val="1A1A1A"/>
                <w:sz w:val="22"/>
                <w:szCs w:val="22"/>
              </w:rPr>
              <w:t xml:space="preserve">If the deletion pipeline fails silently, Moatly has lied to its users. Treat every alert from this subsystem as Sev-1 regardless of the apparent business impact. This includes the transparency reporting pipeline — a month with no transparency report is itself a transparency failure.</w:t>
            </w:r>
          </w:p>
        </w:tc>
      </w:tr>
    </w:tbl>
    <w:p>
      <w:r>
        <w:br w:type="page"/>
      </w:r>
    </w:p>
    <w:p>
      <w:pPr>
        <w:pStyle w:val="Heading1"/>
        <w:spacing w:after="180" w:before="360"/>
      </w:pPr>
      <w:r>
        <w:rPr>
          <w:rFonts w:ascii="Calibri" w:cs="Calibri" w:eastAsia="Calibri" w:hAnsi="Calibri"/>
          <w:b/>
          <w:bCs/>
          <w:color w:val="2E4057"/>
          <w:sz w:val="36"/>
          <w:szCs w:val="36"/>
        </w:rPr>
        <w:t xml:space="preserve">10.  Rollout plan</w:t>
      </w:r>
    </w:p>
    <w:p>
      <w:pPr>
        <w:spacing w:after="120" w:before="60" w:line="300"/>
      </w:pPr>
      <w:r>
        <w:rPr>
          <w:rFonts w:ascii="Calibri" w:cs="Calibri" w:eastAsia="Calibri" w:hAnsi="Calibri"/>
          <w:b w:val="false"/>
          <w:bCs w:val="false"/>
          <w:i w:val="false"/>
          <w:iCs w:val="false"/>
          <w:color w:val="1A1A1A"/>
          <w:sz w:val="22"/>
          <w:szCs w:val="22"/>
        </w:rPr>
        <w:t xml:space="preserve">Five phases from foundations to public beta. Each phase has a defined scope, exit criteria, and a gate. A phase does not start until the prior gate has passed. Schedule estimates assume the team shape described in section 11.</w:t>
      </w:r>
    </w:p>
    <w:p>
      <w:pPr>
        <w:pStyle w:val="Heading2"/>
        <w:spacing w:after="140" w:before="280"/>
      </w:pPr>
      <w:r>
        <w:rPr>
          <w:rFonts w:ascii="Calibri" w:cs="Calibri" w:eastAsia="Calibri" w:hAnsi="Calibri"/>
          <w:b/>
          <w:bCs/>
          <w:color w:val="2E4057"/>
          <w:sz w:val="28"/>
          <w:szCs w:val="28"/>
        </w:rPr>
        <w:t xml:space="preserve">10.1  Phase 0 — Foundations (4–6 weeks)</w:t>
      </w:r>
    </w:p>
    <w:p>
      <w:pPr>
        <w:pStyle w:val="Heading3"/>
        <w:spacing w:after="100" w:before="220"/>
      </w:pPr>
      <w:r>
        <w:rPr>
          <w:rFonts w:ascii="Calibri" w:cs="Calibri" w:eastAsia="Calibri" w:hAnsi="Calibri"/>
          <w:b/>
          <w:bCs/>
          <w:color w:val="1A1A1A"/>
          <w:sz w:val="24"/>
          <w:szCs w:val="24"/>
        </w:rPr>
        <w:t xml:space="preserve">Scope</w:t>
      </w:r>
    </w:p>
    <w:p>
      <w:pPr>
        <w:pStyle w:val="ListParagraph"/>
        <w:numPr>
          <w:ilvl w:val="0"/>
          <w:numId w:val="2"/>
        </w:numPr>
        <w:spacing w:after="60" w:before="30" w:line="280"/>
      </w:pPr>
      <w:r>
        <w:rPr>
          <w:rFonts w:ascii="Calibri" w:cs="Calibri" w:eastAsia="Calibri" w:hAnsi="Calibri"/>
          <w:color w:val="1A1A1A"/>
          <w:sz w:val="22"/>
          <w:szCs w:val="22"/>
        </w:rPr>
        <w:t xml:space="preserve">Threat model written and reviewed.</w:t>
      </w:r>
    </w:p>
    <w:p>
      <w:pPr>
        <w:pStyle w:val="ListParagraph"/>
        <w:numPr>
          <w:ilvl w:val="0"/>
          <w:numId w:val="2"/>
        </w:numPr>
        <w:spacing w:after="60" w:before="30" w:line="280"/>
      </w:pPr>
      <w:r>
        <w:rPr>
          <w:rFonts w:ascii="Calibri" w:cs="Calibri" w:eastAsia="Calibri" w:hAnsi="Calibri"/>
          <w:color w:val="1A1A1A"/>
          <w:sz w:val="22"/>
          <w:szCs w:val="22"/>
        </w:rPr>
        <w:t xml:space="preserve">Cryptography design doc, reviewed by an external cryptographer.</w:t>
      </w:r>
    </w:p>
    <w:p>
      <w:pPr>
        <w:pStyle w:val="ListParagraph"/>
        <w:numPr>
          <w:ilvl w:val="0"/>
          <w:numId w:val="2"/>
        </w:numPr>
        <w:spacing w:after="60" w:before="30" w:line="280"/>
      </w:pPr>
      <w:r>
        <w:rPr>
          <w:rFonts w:ascii="Calibri" w:cs="Calibri" w:eastAsia="Calibri" w:hAnsi="Calibri"/>
          <w:color w:val="1A1A1A"/>
          <w:sz w:val="22"/>
          <w:szCs w:val="22"/>
        </w:rPr>
        <w:t xml:space="preserve">Open-source repository created; license finalised; contribution guide written.</w:t>
      </w:r>
    </w:p>
    <w:p>
      <w:pPr>
        <w:pStyle w:val="ListParagraph"/>
        <w:numPr>
          <w:ilvl w:val="0"/>
          <w:numId w:val="2"/>
        </w:numPr>
        <w:spacing w:after="60" w:before="30" w:line="280"/>
      </w:pPr>
      <w:r>
        <w:rPr>
          <w:rFonts w:ascii="Calibri" w:cs="Calibri" w:eastAsia="Calibri" w:hAnsi="Calibri"/>
          <w:color w:val="1A1A1A"/>
          <w:sz w:val="22"/>
          <w:szCs w:val="22"/>
        </w:rPr>
        <w:t xml:space="preserve">CI/CD baseline: test, lint, SAST, dependency audit, SBOM generation on every commit.</w:t>
      </w:r>
    </w:p>
    <w:p>
      <w:pPr>
        <w:pStyle w:val="ListParagraph"/>
        <w:numPr>
          <w:ilvl w:val="0"/>
          <w:numId w:val="2"/>
        </w:numPr>
        <w:spacing w:after="60" w:before="30" w:line="280"/>
      </w:pPr>
      <w:r>
        <w:rPr>
          <w:rFonts w:ascii="Calibri" w:cs="Calibri" w:eastAsia="Calibri" w:hAnsi="Calibri"/>
          <w:color w:val="1A1A1A"/>
          <w:sz w:val="22"/>
          <w:szCs w:val="22"/>
        </w:rPr>
        <w:t xml:space="preserve">Infrastructure-as-code for two environments (staging, prod). Postgres, Temporal, object store all defined.</w:t>
      </w:r>
    </w:p>
    <w:p>
      <w:pPr>
        <w:pStyle w:val="ListParagraph"/>
        <w:numPr>
          <w:ilvl w:val="0"/>
          <w:numId w:val="2"/>
        </w:numPr>
        <w:spacing w:after="60" w:before="30" w:line="280"/>
      </w:pPr>
      <w:r>
        <w:rPr>
          <w:rFonts w:ascii="Calibri" w:cs="Calibri" w:eastAsia="Calibri" w:hAnsi="Calibri"/>
          <w:color w:val="1A1A1A"/>
          <w:sz w:val="22"/>
          <w:szCs w:val="22"/>
        </w:rPr>
        <w:t xml:space="preserve">Covenant text ratified by founder and legal.</w:t>
      </w:r>
    </w:p>
    <w:p>
      <w:pPr>
        <w:pStyle w:val="Heading3"/>
        <w:spacing w:after="100" w:before="220"/>
      </w:pPr>
      <w:r>
        <w:rPr>
          <w:rFonts w:ascii="Calibri" w:cs="Calibri" w:eastAsia="Calibri" w:hAnsi="Calibri"/>
          <w:b/>
          <w:bCs/>
          <w:color w:val="1A1A1A"/>
          <w:sz w:val="24"/>
          <w:szCs w:val="24"/>
        </w:rPr>
        <w:t xml:space="preserve">Exit gate</w:t>
      </w:r>
    </w:p>
    <w:p>
      <w:pPr>
        <w:pStyle w:val="ListParagraph"/>
        <w:numPr>
          <w:ilvl w:val="0"/>
          <w:numId w:val="2"/>
        </w:numPr>
        <w:spacing w:after="60" w:before="30" w:line="280"/>
      </w:pPr>
      <w:r>
        <w:rPr>
          <w:rFonts w:ascii="Calibri" w:cs="Calibri" w:eastAsia="Calibri" w:hAnsi="Calibri"/>
          <w:color w:val="1A1A1A"/>
          <w:sz w:val="22"/>
          <w:szCs w:val="22"/>
        </w:rPr>
        <w:t xml:space="preserve">Architecture Decision Records (ADRs) 1–10 approved by lead and founder.</w:t>
      </w:r>
    </w:p>
    <w:p>
      <w:pPr>
        <w:pStyle w:val="ListParagraph"/>
        <w:numPr>
          <w:ilvl w:val="0"/>
          <w:numId w:val="2"/>
        </w:numPr>
        <w:spacing w:after="60" w:before="30" w:line="280"/>
      </w:pPr>
      <w:r>
        <w:rPr>
          <w:rFonts w:ascii="Calibri" w:cs="Calibri" w:eastAsia="Calibri" w:hAnsi="Calibri"/>
          <w:color w:val="1A1A1A"/>
          <w:sz w:val="22"/>
          <w:szCs w:val="22"/>
        </w:rPr>
        <w:t xml:space="preserve">External cryptographer sign-off on design doc.</w:t>
      </w:r>
    </w:p>
    <w:p>
      <w:pPr>
        <w:pStyle w:val="ListParagraph"/>
        <w:numPr>
          <w:ilvl w:val="0"/>
          <w:numId w:val="2"/>
        </w:numPr>
        <w:spacing w:after="60" w:before="30" w:line="280"/>
      </w:pPr>
      <w:r>
        <w:rPr>
          <w:rFonts w:ascii="Calibri" w:cs="Calibri" w:eastAsia="Calibri" w:hAnsi="Calibri"/>
          <w:color w:val="1A1A1A"/>
          <w:sz w:val="22"/>
          <w:szCs w:val="22"/>
        </w:rPr>
        <w:t xml:space="preserve">First commit lands in public repo.</w:t>
      </w:r>
    </w:p>
    <w:p>
      <w:pPr>
        <w:pStyle w:val="Heading2"/>
        <w:spacing w:after="140" w:before="280"/>
      </w:pPr>
      <w:r>
        <w:rPr>
          <w:rFonts w:ascii="Calibri" w:cs="Calibri" w:eastAsia="Calibri" w:hAnsi="Calibri"/>
          <w:b/>
          <w:bCs/>
          <w:color w:val="2E4057"/>
          <w:sz w:val="28"/>
          <w:szCs w:val="28"/>
        </w:rPr>
        <w:t xml:space="preserve">10.2  Phase 1 — MVP, app-only (10–12 weeks)</w:t>
      </w:r>
    </w:p>
    <w:p>
      <w:pPr>
        <w:pStyle w:val="Heading3"/>
        <w:spacing w:after="100" w:before="220"/>
      </w:pPr>
      <w:r>
        <w:rPr>
          <w:rFonts w:ascii="Calibri" w:cs="Calibri" w:eastAsia="Calibri" w:hAnsi="Calibri"/>
          <w:b/>
          <w:bCs/>
          <w:color w:val="1A1A1A"/>
          <w:sz w:val="24"/>
          <w:szCs w:val="24"/>
        </w:rPr>
        <w:t xml:space="preserve">Scope</w:t>
      </w:r>
    </w:p>
    <w:p>
      <w:pPr>
        <w:pStyle w:val="ListParagraph"/>
        <w:numPr>
          <w:ilvl w:val="0"/>
          <w:numId w:val="2"/>
        </w:numPr>
        <w:spacing w:after="60" w:before="30" w:line="280"/>
      </w:pPr>
      <w:r>
        <w:rPr>
          <w:rFonts w:ascii="Calibri" w:cs="Calibri" w:eastAsia="Calibri" w:hAnsi="Calibri"/>
          <w:color w:val="1A1A1A"/>
          <w:sz w:val="22"/>
          <w:szCs w:val="22"/>
        </w:rPr>
        <w:t xml:space="preserve">Mobile app shell, onboarding flow, covenant acceptance.</w:t>
      </w:r>
    </w:p>
    <w:p>
      <w:pPr>
        <w:pStyle w:val="ListParagraph"/>
        <w:numPr>
          <w:ilvl w:val="0"/>
          <w:numId w:val="2"/>
        </w:numPr>
        <w:spacing w:after="60" w:before="30" w:line="280"/>
      </w:pPr>
      <w:r>
        <w:rPr>
          <w:rFonts w:ascii="Calibri" w:cs="Calibri" w:eastAsia="Calibri" w:hAnsi="Calibri"/>
          <w:color w:val="1A1A1A"/>
          <w:sz w:val="22"/>
          <w:szCs w:val="22"/>
        </w:rPr>
        <w:t xml:space="preserve">Two Questions system with 24-hour reflection lock.</w:t>
      </w:r>
    </w:p>
    <w:p>
      <w:pPr>
        <w:pStyle w:val="ListParagraph"/>
        <w:numPr>
          <w:ilvl w:val="0"/>
          <w:numId w:val="2"/>
        </w:numPr>
        <w:spacing w:after="60" w:before="30" w:line="280"/>
      </w:pPr>
      <w:r>
        <w:rPr>
          <w:rFonts w:ascii="Calibri" w:cs="Calibri" w:eastAsia="Calibri" w:hAnsi="Calibri"/>
          <w:color w:val="1A1A1A"/>
          <w:sz w:val="22"/>
          <w:szCs w:val="22"/>
        </w:rPr>
        <w:t xml:space="preserve">Journal/seed-phrase flow (24-word BIP-39 generated on-device).</w:t>
      </w:r>
    </w:p>
    <w:p>
      <w:pPr>
        <w:pStyle w:val="ListParagraph"/>
        <w:numPr>
          <w:ilvl w:val="0"/>
          <w:numId w:val="2"/>
        </w:numPr>
        <w:spacing w:after="60" w:before="30" w:line="280"/>
      </w:pPr>
      <w:r>
        <w:rPr>
          <w:rFonts w:ascii="Calibri" w:cs="Calibri" w:eastAsia="Calibri" w:hAnsi="Calibri"/>
          <w:color w:val="1A1A1A"/>
          <w:sz w:val="22"/>
          <w:szCs w:val="22"/>
        </w:rPr>
        <w:t xml:space="preserve">The Lamp — persistent safety surface with in-bundle crisis resources (section 5.9).</w:t>
      </w:r>
    </w:p>
    <w:p>
      <w:pPr>
        <w:pStyle w:val="ListParagraph"/>
        <w:numPr>
          <w:ilvl w:val="0"/>
          <w:numId w:val="2"/>
        </w:numPr>
        <w:spacing w:after="60" w:before="30" w:line="280"/>
      </w:pPr>
      <w:r>
        <w:rPr>
          <w:rFonts w:ascii="Calibri" w:cs="Calibri" w:eastAsia="Calibri" w:hAnsi="Calibri"/>
          <w:color w:val="1A1A1A"/>
          <w:sz w:val="22"/>
          <w:szCs w:val="22"/>
        </w:rPr>
        <w:t xml:space="preserve">Linkage service: shared account ID handoff to the Unity ritual app, email relay via Postmark (section 5.3).</w:t>
      </w:r>
    </w:p>
    <w:p>
      <w:pPr>
        <w:pStyle w:val="ListParagraph"/>
        <w:numPr>
          <w:ilvl w:val="0"/>
          <w:numId w:val="2"/>
        </w:numPr>
        <w:spacing w:after="60" w:before="30" w:line="280"/>
      </w:pPr>
      <w:r>
        <w:rPr>
          <w:rFonts w:ascii="Calibri" w:cs="Calibri" w:eastAsia="Calibri" w:hAnsi="Calibri"/>
          <w:color w:val="1A1A1A"/>
          <w:sz w:val="22"/>
          <w:szCs w:val="22"/>
        </w:rPr>
        <w:t xml:space="preserve">Rings system (local only — no Moat events yet).</w:t>
      </w:r>
    </w:p>
    <w:p>
      <w:pPr>
        <w:pStyle w:val="ListParagraph"/>
        <w:numPr>
          <w:ilvl w:val="0"/>
          <w:numId w:val="2"/>
        </w:numPr>
        <w:spacing w:after="60" w:before="30" w:line="280"/>
      </w:pPr>
      <w:r>
        <w:rPr>
          <w:rFonts w:ascii="Calibri" w:cs="Calibri" w:eastAsia="Calibri" w:hAnsi="Calibri"/>
          <w:color w:val="1A1A1A"/>
          <w:sz w:val="22"/>
          <w:szCs w:val="22"/>
        </w:rPr>
        <w:t xml:space="preserve">Local SQLCipher DB with seed-phrase-derived key.</w:t>
      </w:r>
    </w:p>
    <w:p>
      <w:pPr>
        <w:pStyle w:val="ListParagraph"/>
        <w:numPr>
          <w:ilvl w:val="0"/>
          <w:numId w:val="2"/>
        </w:numPr>
        <w:spacing w:after="60" w:before="30" w:line="280"/>
      </w:pPr>
      <w:r>
        <w:rPr>
          <w:rFonts w:ascii="Calibri" w:cs="Calibri" w:eastAsia="Calibri" w:hAnsi="Calibri"/>
          <w:color w:val="1A1A1A"/>
          <w:sz w:val="22"/>
          <w:szCs w:val="22"/>
        </w:rPr>
        <w:t xml:space="preserve">No Moats. No multi-user anything. No device.</w:t>
      </w:r>
    </w:p>
    <w:p>
      <w:pPr>
        <w:pStyle w:val="Heading3"/>
        <w:spacing w:after="100" w:before="220"/>
      </w:pPr>
      <w:r>
        <w:rPr>
          <w:rFonts w:ascii="Calibri" w:cs="Calibri" w:eastAsia="Calibri" w:hAnsi="Calibri"/>
          <w:b/>
          <w:bCs/>
          <w:color w:val="1A1A1A"/>
          <w:sz w:val="24"/>
          <w:szCs w:val="24"/>
        </w:rPr>
        <w:t xml:space="preserve">Exit gate</w:t>
      </w:r>
    </w:p>
    <w:p>
      <w:pPr>
        <w:pStyle w:val="ListParagraph"/>
        <w:numPr>
          <w:ilvl w:val="0"/>
          <w:numId w:val="2"/>
        </w:numPr>
        <w:spacing w:after="60" w:before="30" w:line="280"/>
      </w:pPr>
      <w:r>
        <w:rPr>
          <w:rFonts w:ascii="Calibri" w:cs="Calibri" w:eastAsia="Calibri" w:hAnsi="Calibri"/>
          <w:color w:val="1A1A1A"/>
          <w:sz w:val="22"/>
          <w:szCs w:val="22"/>
        </w:rPr>
        <w:t xml:space="preserve">10 internal dogfooders complete 2 full 7-day cycles.</w:t>
      </w:r>
    </w:p>
    <w:p>
      <w:pPr>
        <w:pStyle w:val="ListParagraph"/>
        <w:numPr>
          <w:ilvl w:val="0"/>
          <w:numId w:val="2"/>
        </w:numPr>
        <w:spacing w:after="60" w:before="30" w:line="280"/>
      </w:pPr>
      <w:r>
        <w:rPr>
          <w:rFonts w:ascii="Calibri" w:cs="Calibri" w:eastAsia="Calibri" w:hAnsi="Calibri"/>
          <w:color w:val="1A1A1A"/>
          <w:sz w:val="22"/>
          <w:szCs w:val="22"/>
        </w:rPr>
        <w:t xml:space="preserve">Zero P1 bugs open.</w:t>
      </w:r>
    </w:p>
    <w:p>
      <w:pPr>
        <w:pStyle w:val="ListParagraph"/>
        <w:numPr>
          <w:ilvl w:val="0"/>
          <w:numId w:val="2"/>
        </w:numPr>
        <w:spacing w:after="60" w:before="30" w:line="280"/>
      </w:pPr>
      <w:r>
        <w:rPr>
          <w:rFonts w:ascii="Calibri" w:cs="Calibri" w:eastAsia="Calibri" w:hAnsi="Calibri"/>
          <w:color w:val="1A1A1A"/>
          <w:sz w:val="22"/>
          <w:szCs w:val="22"/>
        </w:rPr>
        <w:t xml:space="preserve">Crash-free rate ≥99.5% on both iOS and Android.</w:t>
      </w:r>
    </w:p>
    <w:p>
      <w:pPr>
        <w:pStyle w:val="Heading2"/>
        <w:spacing w:after="140" w:before="280"/>
      </w:pPr>
      <w:r>
        <w:rPr>
          <w:rFonts w:ascii="Calibri" w:cs="Calibri" w:eastAsia="Calibri" w:hAnsi="Calibri"/>
          <w:b/>
          <w:bCs/>
          <w:color w:val="2E4057"/>
          <w:sz w:val="28"/>
          <w:szCs w:val="28"/>
        </w:rPr>
        <w:t xml:space="preserve">10.3  Phase 2 — Alpha with Moats (8–10 weeks)</w:t>
      </w:r>
    </w:p>
    <w:p>
      <w:pPr>
        <w:pStyle w:val="Heading3"/>
        <w:spacing w:after="100" w:before="220"/>
      </w:pPr>
      <w:r>
        <w:rPr>
          <w:rFonts w:ascii="Calibri" w:cs="Calibri" w:eastAsia="Calibri" w:hAnsi="Calibri"/>
          <w:b/>
          <w:bCs/>
          <w:color w:val="1A1A1A"/>
          <w:sz w:val="24"/>
          <w:szCs w:val="24"/>
        </w:rPr>
        <w:t xml:space="preserve">Scope</w:t>
      </w:r>
    </w:p>
    <w:p>
      <w:pPr>
        <w:pStyle w:val="ListParagraph"/>
        <w:numPr>
          <w:ilvl w:val="0"/>
          <w:numId w:val="2"/>
        </w:numPr>
        <w:spacing w:after="60" w:before="30" w:line="280"/>
      </w:pPr>
      <w:r>
        <w:rPr>
          <w:rFonts w:ascii="Calibri" w:cs="Calibri" w:eastAsia="Calibri" w:hAnsi="Calibri"/>
          <w:color w:val="1A1A1A"/>
          <w:sz w:val="22"/>
          <w:szCs w:val="22"/>
        </w:rPr>
        <w:t xml:space="preserve">Moat service: Go backend, Megolm group messaging via FFI.</w:t>
      </w:r>
    </w:p>
    <w:p>
      <w:pPr>
        <w:pStyle w:val="ListParagraph"/>
        <w:numPr>
          <w:ilvl w:val="0"/>
          <w:numId w:val="2"/>
        </w:numPr>
        <w:spacing w:after="60" w:before="30" w:line="280"/>
      </w:pPr>
      <w:r>
        <w:rPr>
          <w:rFonts w:ascii="Calibri" w:cs="Calibri" w:eastAsia="Calibri" w:hAnsi="Calibri"/>
          <w:color w:val="1A1A1A"/>
          <w:sz w:val="22"/>
          <w:szCs w:val="22"/>
        </w:rPr>
        <w:t xml:space="preserve">Seven-day deletion pipeline, including audit log and monitoring.</w:t>
      </w:r>
    </w:p>
    <w:p>
      <w:pPr>
        <w:pStyle w:val="ListParagraph"/>
        <w:numPr>
          <w:ilvl w:val="0"/>
          <w:numId w:val="2"/>
        </w:numPr>
        <w:spacing w:after="60" w:before="30" w:line="280"/>
      </w:pPr>
      <w:r>
        <w:rPr>
          <w:rFonts w:ascii="Calibri" w:cs="Calibri" w:eastAsia="Calibri" w:hAnsi="Calibri"/>
          <w:color w:val="1A1A1A"/>
          <w:sz w:val="22"/>
          <w:szCs w:val="22"/>
        </w:rPr>
        <w:t xml:space="preserve">Major Statement schema and UI.</w:t>
      </w:r>
    </w:p>
    <w:p>
      <w:pPr>
        <w:pStyle w:val="ListParagraph"/>
        <w:numPr>
          <w:ilvl w:val="0"/>
          <w:numId w:val="2"/>
        </w:numPr>
        <w:spacing w:after="60" w:before="30" w:line="280"/>
      </w:pPr>
      <w:r>
        <w:rPr>
          <w:rFonts w:ascii="Calibri" w:cs="Calibri" w:eastAsia="Calibri" w:hAnsi="Calibri"/>
          <w:color w:val="1A1A1A"/>
          <w:sz w:val="22"/>
          <w:szCs w:val="22"/>
        </w:rPr>
        <w:t xml:space="preserve">Complaint and reassignment flow (section 5.10).</w:t>
      </w:r>
    </w:p>
    <w:p>
      <w:pPr>
        <w:pStyle w:val="ListParagraph"/>
        <w:numPr>
          <w:ilvl w:val="0"/>
          <w:numId w:val="2"/>
        </w:numPr>
        <w:spacing w:after="60" w:before="30" w:line="280"/>
      </w:pPr>
      <w:r>
        <w:rPr>
          <w:rFonts w:ascii="Calibri" w:cs="Calibri" w:eastAsia="Calibri" w:hAnsi="Calibri"/>
          <w:color w:val="1A1A1A"/>
          <w:sz w:val="22"/>
          <w:szCs w:val="22"/>
        </w:rPr>
        <w:t xml:space="preserve">Soft-auth: email + 24-word seed phrase (used because device is not yet ready). This is a temporary authentication method and is REMOVED in Phase 3.</w:t>
      </w:r>
    </w:p>
    <w:p>
      <w:pPr>
        <w:pStyle w:val="ListParagraph"/>
        <w:numPr>
          <w:ilvl w:val="0"/>
          <w:numId w:val="2"/>
        </w:numPr>
        <w:spacing w:after="60" w:before="30" w:line="280"/>
      </w:pPr>
      <w:r>
        <w:rPr>
          <w:rFonts w:ascii="Calibri" w:cs="Calibri" w:eastAsia="Calibri" w:hAnsi="Calibri"/>
          <w:color w:val="1A1A1A"/>
          <w:sz w:val="22"/>
          <w:szCs w:val="22"/>
        </w:rPr>
        <w:t xml:space="preserve">Closed alpha cohort of up to 50 invited participants, formed into 5 Moats of 10.</w:t>
      </w:r>
    </w:p>
    <w:p>
      <w:pPr>
        <w:pStyle w:val="Heading3"/>
        <w:spacing w:after="100" w:before="220"/>
      </w:pPr>
      <w:r>
        <w:rPr>
          <w:rFonts w:ascii="Calibri" w:cs="Calibri" w:eastAsia="Calibri" w:hAnsi="Calibri"/>
          <w:b/>
          <w:bCs/>
          <w:color w:val="1A1A1A"/>
          <w:sz w:val="24"/>
          <w:szCs w:val="24"/>
        </w:rPr>
        <w:t xml:space="preserve">Exit gate</w:t>
      </w:r>
    </w:p>
    <w:p>
      <w:pPr>
        <w:pStyle w:val="ListParagraph"/>
        <w:numPr>
          <w:ilvl w:val="0"/>
          <w:numId w:val="2"/>
        </w:numPr>
        <w:spacing w:after="60" w:before="30" w:line="280"/>
      </w:pPr>
      <w:r>
        <w:rPr>
          <w:rFonts w:ascii="Calibri" w:cs="Calibri" w:eastAsia="Calibri" w:hAnsi="Calibri"/>
          <w:color w:val="1A1A1A"/>
          <w:sz w:val="22"/>
          <w:szCs w:val="22"/>
        </w:rPr>
        <w:t xml:space="preserve">50-person closed alpha completes 4 cycles with zero data-retention incidents.</w:t>
      </w:r>
    </w:p>
    <w:p>
      <w:pPr>
        <w:pStyle w:val="ListParagraph"/>
        <w:numPr>
          <w:ilvl w:val="0"/>
          <w:numId w:val="2"/>
        </w:numPr>
        <w:spacing w:after="60" w:before="30" w:line="280"/>
      </w:pPr>
      <w:r>
        <w:rPr>
          <w:rFonts w:ascii="Calibri" w:cs="Calibri" w:eastAsia="Calibri" w:hAnsi="Calibri"/>
          <w:color w:val="1A1A1A"/>
          <w:sz w:val="22"/>
          <w:szCs w:val="22"/>
        </w:rPr>
        <w:t xml:space="preserve">Deletion job success rate ≥99.9% over the alpha period.</w:t>
      </w:r>
    </w:p>
    <w:p>
      <w:pPr>
        <w:pStyle w:val="ListParagraph"/>
        <w:numPr>
          <w:ilvl w:val="0"/>
          <w:numId w:val="2"/>
        </w:numPr>
        <w:spacing w:after="60" w:before="30" w:line="280"/>
      </w:pPr>
      <w:r>
        <w:rPr>
          <w:rFonts w:ascii="Calibri" w:cs="Calibri" w:eastAsia="Calibri" w:hAnsi="Calibri"/>
          <w:color w:val="1A1A1A"/>
          <w:sz w:val="22"/>
          <w:szCs w:val="22"/>
        </w:rPr>
        <w:t xml:space="preserve">One third-party penetration test on the Moat service with no high or critical findings.</w:t>
      </w:r>
    </w:p>
    <w:p>
      <w:pPr>
        <w:pStyle w:val="ListParagraph"/>
        <w:numPr>
          <w:ilvl w:val="0"/>
          <w:numId w:val="2"/>
        </w:numPr>
        <w:spacing w:after="60" w:before="30" w:line="280"/>
      </w:pPr>
      <w:r>
        <w:rPr>
          <w:rFonts w:ascii="Calibri" w:cs="Calibri" w:eastAsia="Calibri" w:hAnsi="Calibri"/>
          <w:color w:val="1A1A1A"/>
          <w:sz w:val="22"/>
          <w:szCs w:val="22"/>
        </w:rPr>
        <w:t xml:space="preserve">Publication of the first transparency report.</w:t>
      </w:r>
    </w:p>
    <w:p>
      <w:pPr>
        <w:pStyle w:val="Heading2"/>
        <w:spacing w:after="140" w:before="280"/>
      </w:pPr>
      <w:r>
        <w:rPr>
          <w:rFonts w:ascii="Calibri" w:cs="Calibri" w:eastAsia="Calibri" w:hAnsi="Calibri"/>
          <w:b/>
          <w:bCs/>
          <w:color w:val="2E4057"/>
          <w:sz w:val="28"/>
          <w:szCs w:val="28"/>
        </w:rPr>
        <w:t xml:space="preserve">10.4  Phase 3 — Device integration (10–12 weeks)</w:t>
      </w:r>
    </w:p>
    <w:p>
      <w:pPr>
        <w:pStyle w:val="Heading3"/>
        <w:spacing w:after="100" w:before="220"/>
      </w:pPr>
      <w:r>
        <w:rPr>
          <w:rFonts w:ascii="Calibri" w:cs="Calibri" w:eastAsia="Calibri" w:hAnsi="Calibri"/>
          <w:b/>
          <w:bCs/>
          <w:color w:val="1A1A1A"/>
          <w:sz w:val="24"/>
          <w:szCs w:val="24"/>
        </w:rPr>
        <w:t xml:space="preserve">Scope</w:t>
      </w:r>
    </w:p>
    <w:p>
      <w:pPr>
        <w:pStyle w:val="ListParagraph"/>
        <w:numPr>
          <w:ilvl w:val="0"/>
          <w:numId w:val="2"/>
        </w:numPr>
        <w:spacing w:after="60" w:before="30" w:line="280"/>
      </w:pPr>
      <w:r>
        <w:rPr>
          <w:rFonts w:ascii="Calibri" w:cs="Calibri" w:eastAsia="Calibri" w:hAnsi="Calibri"/>
          <w:color w:val="1A1A1A"/>
          <w:sz w:val="22"/>
          <w:szCs w:val="22"/>
        </w:rPr>
        <w:t xml:space="preserve">Firmware v1 on nRF52840 dev boards — single codebase serving both Premium and Simple hardware tiers via runtime capability detection.</w:t>
      </w:r>
    </w:p>
    <w:p>
      <w:pPr>
        <w:pStyle w:val="ListParagraph"/>
        <w:numPr>
          <w:ilvl w:val="0"/>
          <w:numId w:val="2"/>
        </w:numPr>
        <w:spacing w:after="60" w:before="30" w:line="280"/>
      </w:pPr>
      <w:r>
        <w:rPr>
          <w:rFonts w:ascii="Calibri" w:cs="Calibri" w:eastAsia="Calibri" w:hAnsi="Calibri"/>
          <w:color w:val="1A1A1A"/>
          <w:sz w:val="22"/>
          <w:szCs w:val="22"/>
        </w:rPr>
        <w:t xml:space="preserve">BLE pairing flow, combination sequence capture, composite identity code.</w:t>
      </w:r>
    </w:p>
    <w:p>
      <w:pPr>
        <w:pStyle w:val="ListParagraph"/>
        <w:numPr>
          <w:ilvl w:val="0"/>
          <w:numId w:val="2"/>
        </w:numPr>
        <w:spacing w:after="60" w:before="30" w:line="280"/>
      </w:pPr>
      <w:r>
        <w:rPr>
          <w:rFonts w:ascii="Calibri" w:cs="Calibri" w:eastAsia="Calibri" w:hAnsi="Calibri"/>
          <w:color w:val="1A1A1A"/>
          <w:sz w:val="22"/>
          <w:szCs w:val="22"/>
        </w:rPr>
        <w:t xml:space="preserve">Glow patterns per section 5.5.4.</w:t>
      </w:r>
    </w:p>
    <w:p>
      <w:pPr>
        <w:pStyle w:val="ListParagraph"/>
        <w:numPr>
          <w:ilvl w:val="0"/>
          <w:numId w:val="2"/>
        </w:numPr>
        <w:spacing w:after="60" w:before="30" w:line="280"/>
      </w:pPr>
      <w:r>
        <w:rPr>
          <w:rFonts w:ascii="Calibri" w:cs="Calibri" w:eastAsia="Calibri" w:hAnsi="Calibri"/>
          <w:color w:val="1A1A1A"/>
          <w:sz w:val="22"/>
          <w:szCs w:val="22"/>
        </w:rPr>
        <w:t xml:space="preserve">Signed firmware OTA via the app.</w:t>
      </w:r>
    </w:p>
    <w:p>
      <w:pPr>
        <w:pStyle w:val="ListParagraph"/>
        <w:numPr>
          <w:ilvl w:val="0"/>
          <w:numId w:val="2"/>
        </w:numPr>
        <w:spacing w:after="60" w:before="30" w:line="280"/>
      </w:pPr>
      <w:r>
        <w:rPr>
          <w:rFonts w:ascii="Calibri" w:cs="Calibri" w:eastAsia="Calibri" w:hAnsi="Calibri"/>
          <w:color w:val="1A1A1A"/>
          <w:sz w:val="22"/>
          <w:szCs w:val="22"/>
        </w:rPr>
        <w:t xml:space="preserve">Virtual Device (software-only) shipped alongside hardware for cost-concession users.</w:t>
      </w:r>
    </w:p>
    <w:p>
      <w:pPr>
        <w:pStyle w:val="ListParagraph"/>
        <w:numPr>
          <w:ilvl w:val="0"/>
          <w:numId w:val="2"/>
        </w:numPr>
        <w:spacing w:after="60" w:before="30" w:line="280"/>
      </w:pPr>
      <w:r>
        <w:rPr>
          <w:rFonts w:ascii="Calibri" w:cs="Calibri" w:eastAsia="Calibri" w:hAnsi="Calibri"/>
          <w:color w:val="1A1A1A"/>
          <w:sz w:val="22"/>
          <w:szCs w:val="22"/>
        </w:rPr>
        <w:t xml:space="preserve">Soft-auth decommissioned. A device in some tier is required to enter a Moat.</w:t>
      </w:r>
    </w:p>
    <w:p>
      <w:pPr>
        <w:pStyle w:val="ListParagraph"/>
        <w:numPr>
          <w:ilvl w:val="0"/>
          <w:numId w:val="2"/>
        </w:numPr>
        <w:spacing w:after="60" w:before="30" w:line="280"/>
      </w:pPr>
      <w:r>
        <w:rPr>
          <w:rFonts w:ascii="Calibri" w:cs="Calibri" w:eastAsia="Calibri" w:hAnsi="Calibri"/>
          <w:color w:val="1A1A1A"/>
          <w:sz w:val="22"/>
          <w:szCs w:val="22"/>
        </w:rPr>
        <w:t xml:space="preserve">100-person cohort receives hardware across all three tiers (roughly 60 Premium / 30 Simple / 10 Virtual).</w:t>
      </w:r>
    </w:p>
    <w:p>
      <w:pPr>
        <w:pStyle w:val="Heading3"/>
        <w:spacing w:after="100" w:before="220"/>
      </w:pPr>
      <w:r>
        <w:rPr>
          <w:rFonts w:ascii="Calibri" w:cs="Calibri" w:eastAsia="Calibri" w:hAnsi="Calibri"/>
          <w:b/>
          <w:bCs/>
          <w:color w:val="1A1A1A"/>
          <w:sz w:val="24"/>
          <w:szCs w:val="24"/>
        </w:rPr>
        <w:t xml:space="preserve">Exit gate</w:t>
      </w:r>
    </w:p>
    <w:p>
      <w:pPr>
        <w:pStyle w:val="ListParagraph"/>
        <w:numPr>
          <w:ilvl w:val="0"/>
          <w:numId w:val="2"/>
        </w:numPr>
        <w:spacing w:after="60" w:before="30" w:line="280"/>
      </w:pPr>
      <w:r>
        <w:rPr>
          <w:rFonts w:ascii="Calibri" w:cs="Calibri" w:eastAsia="Calibri" w:hAnsi="Calibri"/>
          <w:color w:val="1A1A1A"/>
          <w:sz w:val="22"/>
          <w:szCs w:val="22"/>
        </w:rPr>
        <w:t xml:space="preserve">100-person cohort authenticates via device only for 2 cycles.</w:t>
      </w:r>
    </w:p>
    <w:p>
      <w:pPr>
        <w:pStyle w:val="ListParagraph"/>
        <w:numPr>
          <w:ilvl w:val="0"/>
          <w:numId w:val="2"/>
        </w:numPr>
        <w:spacing w:after="60" w:before="30" w:line="280"/>
      </w:pPr>
      <w:r>
        <w:rPr>
          <w:rFonts w:ascii="Calibri" w:cs="Calibri" w:eastAsia="Calibri" w:hAnsi="Calibri"/>
          <w:color w:val="1A1A1A"/>
          <w:sz w:val="22"/>
          <w:szCs w:val="22"/>
        </w:rPr>
        <w:t xml:space="preserve">Glow-to-read latency &lt;5 seconds at the 95th percentile.</w:t>
      </w:r>
    </w:p>
    <w:p>
      <w:pPr>
        <w:pStyle w:val="ListParagraph"/>
        <w:numPr>
          <w:ilvl w:val="0"/>
          <w:numId w:val="2"/>
        </w:numPr>
        <w:spacing w:after="60" w:before="30" w:line="280"/>
      </w:pPr>
      <w:r>
        <w:rPr>
          <w:rFonts w:ascii="Calibri" w:cs="Calibri" w:eastAsia="Calibri" w:hAnsi="Calibri"/>
          <w:color w:val="1A1A1A"/>
          <w:sz w:val="22"/>
          <w:szCs w:val="22"/>
        </w:rPr>
        <w:t xml:space="preserve">Zero device-related lockout incidents unrecoverable via the seed-phrase fallback.</w:t>
      </w:r>
    </w:p>
    <w:p>
      <w:pPr>
        <w:pStyle w:val="Heading2"/>
        <w:spacing w:after="140" w:before="280"/>
      </w:pPr>
      <w:r>
        <w:rPr>
          <w:rFonts w:ascii="Calibri" w:cs="Calibri" w:eastAsia="Calibri" w:hAnsi="Calibri"/>
          <w:b/>
          <w:bCs/>
          <w:color w:val="2E4057"/>
          <w:sz w:val="28"/>
          <w:szCs w:val="28"/>
        </w:rPr>
        <w:t xml:space="preserve">10.5  Phase 4 — Public beta and open source (6–8 weeks)</w:t>
      </w:r>
    </w:p>
    <w:p>
      <w:pPr>
        <w:pStyle w:val="Heading3"/>
        <w:spacing w:after="100" w:before="220"/>
      </w:pPr>
      <w:r>
        <w:rPr>
          <w:rFonts w:ascii="Calibri" w:cs="Calibri" w:eastAsia="Calibri" w:hAnsi="Calibri"/>
          <w:b/>
          <w:bCs/>
          <w:color w:val="1A1A1A"/>
          <w:sz w:val="24"/>
          <w:szCs w:val="24"/>
        </w:rPr>
        <w:t xml:space="preserve">Scope</w:t>
      </w:r>
    </w:p>
    <w:p>
      <w:pPr>
        <w:pStyle w:val="ListParagraph"/>
        <w:numPr>
          <w:ilvl w:val="0"/>
          <w:numId w:val="2"/>
        </w:numPr>
        <w:spacing w:after="60" w:before="30" w:line="280"/>
      </w:pPr>
      <w:r>
        <w:rPr>
          <w:rFonts w:ascii="Calibri" w:cs="Calibri" w:eastAsia="Calibri" w:hAnsi="Calibri"/>
          <w:color w:val="1A1A1A"/>
          <w:sz w:val="22"/>
          <w:szCs w:val="22"/>
        </w:rPr>
        <w:t xml:space="preserve">Full external security audit, remediation of all findings ≥ medium.</w:t>
      </w:r>
    </w:p>
    <w:p>
      <w:pPr>
        <w:pStyle w:val="ListParagraph"/>
        <w:numPr>
          <w:ilvl w:val="0"/>
          <w:numId w:val="2"/>
        </w:numPr>
        <w:spacing w:after="60" w:before="30" w:line="280"/>
      </w:pPr>
      <w:r>
        <w:rPr>
          <w:rFonts w:ascii="Calibri" w:cs="Calibri" w:eastAsia="Calibri" w:hAnsi="Calibri"/>
          <w:color w:val="1A1A1A"/>
          <w:sz w:val="22"/>
          <w:szCs w:val="22"/>
        </w:rPr>
        <w:t xml:space="preserve">Public GitHub repo made the primary development remote (was mirrored until now).</w:t>
      </w:r>
    </w:p>
    <w:p>
      <w:pPr>
        <w:pStyle w:val="ListParagraph"/>
        <w:numPr>
          <w:ilvl w:val="0"/>
          <w:numId w:val="2"/>
        </w:numPr>
        <w:spacing w:after="60" w:before="30" w:line="280"/>
      </w:pPr>
      <w:r>
        <w:rPr>
          <w:rFonts w:ascii="Calibri" w:cs="Calibri" w:eastAsia="Calibri" w:hAnsi="Calibri"/>
          <w:color w:val="1A1A1A"/>
          <w:sz w:val="22"/>
          <w:szCs w:val="22"/>
        </w:rPr>
        <w:t xml:space="preserve">TestFlight / Play open beta with a queue-managed roll-out.</w:t>
      </w:r>
    </w:p>
    <w:p>
      <w:pPr>
        <w:pStyle w:val="ListParagraph"/>
        <w:numPr>
          <w:ilvl w:val="0"/>
          <w:numId w:val="2"/>
        </w:numPr>
        <w:spacing w:after="60" w:before="30" w:line="280"/>
      </w:pPr>
      <w:r>
        <w:rPr>
          <w:rFonts w:ascii="Calibri" w:cs="Calibri" w:eastAsia="Calibri" w:hAnsi="Calibri"/>
          <w:color w:val="1A1A1A"/>
          <w:sz w:val="22"/>
          <w:szCs w:val="22"/>
        </w:rPr>
        <w:t xml:space="preserve">First Moatly transparency report published to the general public.</w:t>
      </w:r>
    </w:p>
    <w:p>
      <w:pPr>
        <w:pStyle w:val="ListParagraph"/>
        <w:numPr>
          <w:ilvl w:val="0"/>
          <w:numId w:val="2"/>
        </w:numPr>
        <w:spacing w:after="60" w:before="30" w:line="280"/>
      </w:pPr>
      <w:r>
        <w:rPr>
          <w:rFonts w:ascii="Calibri" w:cs="Calibri" w:eastAsia="Calibri" w:hAnsi="Calibri"/>
          <w:color w:val="1A1A1A"/>
          <w:sz w:val="22"/>
          <w:szCs w:val="22"/>
        </w:rPr>
        <w:t xml:space="preserve">Support runbook, status page, incident response page.</w:t>
      </w:r>
    </w:p>
    <w:p>
      <w:pPr>
        <w:pStyle w:val="Heading3"/>
        <w:spacing w:after="100" w:before="220"/>
      </w:pPr>
      <w:r>
        <w:rPr>
          <w:rFonts w:ascii="Calibri" w:cs="Calibri" w:eastAsia="Calibri" w:hAnsi="Calibri"/>
          <w:b/>
          <w:bCs/>
          <w:color w:val="1A1A1A"/>
          <w:sz w:val="24"/>
          <w:szCs w:val="24"/>
        </w:rPr>
        <w:t xml:space="preserve">Exit gate</w:t>
      </w:r>
    </w:p>
    <w:p>
      <w:pPr>
        <w:pStyle w:val="ListParagraph"/>
        <w:numPr>
          <w:ilvl w:val="0"/>
          <w:numId w:val="2"/>
        </w:numPr>
        <w:spacing w:after="60" w:before="30" w:line="280"/>
      </w:pPr>
      <w:r>
        <w:rPr>
          <w:rFonts w:ascii="Calibri" w:cs="Calibri" w:eastAsia="Calibri" w:hAnsi="Calibri"/>
          <w:color w:val="1A1A1A"/>
          <w:sz w:val="22"/>
          <w:szCs w:val="22"/>
        </w:rPr>
        <w:t xml:space="preserve">Audit: no high or critical findings.</w:t>
      </w:r>
    </w:p>
    <w:p>
      <w:pPr>
        <w:pStyle w:val="ListParagraph"/>
        <w:numPr>
          <w:ilvl w:val="0"/>
          <w:numId w:val="2"/>
        </w:numPr>
        <w:spacing w:after="60" w:before="30" w:line="280"/>
      </w:pPr>
      <w:r>
        <w:rPr>
          <w:rFonts w:ascii="Calibri" w:cs="Calibri" w:eastAsia="Calibri" w:hAnsi="Calibri"/>
          <w:color w:val="1A1A1A"/>
          <w:sz w:val="22"/>
          <w:szCs w:val="22"/>
        </w:rPr>
        <w:t xml:space="preserve">1,000-user open beta sustains 2 cycles with SLOs met.</w:t>
      </w:r>
    </w:p>
    <w:p>
      <w:pPr>
        <w:pStyle w:val="ListParagraph"/>
        <w:numPr>
          <w:ilvl w:val="0"/>
          <w:numId w:val="2"/>
        </w:numPr>
        <w:spacing w:after="60" w:before="30" w:line="280"/>
      </w:pPr>
      <w:r>
        <w:rPr>
          <w:rFonts w:ascii="Calibri" w:cs="Calibri" w:eastAsia="Calibri" w:hAnsi="Calibri"/>
          <w:color w:val="1A1A1A"/>
          <w:sz w:val="22"/>
          <w:szCs w:val="22"/>
        </w:rPr>
        <w:t xml:space="preserve">Founder and lead sign the public-launch memo.</w:t>
      </w:r>
    </w:p>
    <w:p>
      <w:pPr>
        <w:pStyle w:val="Heading2"/>
        <w:spacing w:after="140" w:before="280"/>
      </w:pPr>
      <w:r>
        <w:rPr>
          <w:rFonts w:ascii="Calibri" w:cs="Calibri" w:eastAsia="Calibri" w:hAnsi="Calibri"/>
          <w:b/>
          <w:bCs/>
          <w:color w:val="2E4057"/>
          <w:sz w:val="28"/>
          <w:szCs w:val="28"/>
        </w:rPr>
        <w:t xml:space="preserve">10.6  After launch</w:t>
      </w:r>
    </w:p>
    <w:p>
      <w:pPr>
        <w:spacing w:after="120" w:before="60" w:line="300"/>
      </w:pPr>
      <w:r>
        <w:rPr>
          <w:rFonts w:ascii="Calibri" w:cs="Calibri" w:eastAsia="Calibri" w:hAnsi="Calibri"/>
          <w:b w:val="false"/>
          <w:bCs w:val="false"/>
          <w:i w:val="false"/>
          <w:iCs w:val="false"/>
          <w:color w:val="1A1A1A"/>
          <w:sz w:val="22"/>
          <w:szCs w:val="22"/>
        </w:rPr>
        <w:t xml:space="preserve">Post-launch, the cadence is quarterly. Each quarter: one security-posture review, one transparency report, one public incident retrospective if any occurred. Feature additions are conservative by design; the product’s value grows through time-in-practice, not through feature velocity.</w:t>
      </w:r>
    </w:p>
    <w:p>
      <w:r>
        <w:br w:type="page"/>
      </w:r>
    </w:p>
    <w:p>
      <w:pPr>
        <w:pStyle w:val="Heading1"/>
        <w:spacing w:after="180" w:before="360"/>
      </w:pPr>
      <w:r>
        <w:rPr>
          <w:rFonts w:ascii="Calibri" w:cs="Calibri" w:eastAsia="Calibri" w:hAnsi="Calibri"/>
          <w:b/>
          <w:bCs/>
          <w:color w:val="2E4057"/>
          <w:sz w:val="36"/>
          <w:szCs w:val="36"/>
        </w:rPr>
        <w:t xml:space="preserve">11.  Team and timeline</w:t>
      </w:r>
    </w:p>
    <w:p>
      <w:pPr>
        <w:pStyle w:val="Heading2"/>
        <w:spacing w:after="140" w:before="280"/>
      </w:pPr>
      <w:r>
        <w:rPr>
          <w:rFonts w:ascii="Calibri" w:cs="Calibri" w:eastAsia="Calibri" w:hAnsi="Calibri"/>
          <w:b/>
          <w:bCs/>
          <w:color w:val="2E4057"/>
          <w:sz w:val="28"/>
          <w:szCs w:val="28"/>
        </w:rPr>
        <w:t xml:space="preserve">11.1  Recommended team shape (to reach public beta)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160"/>
      </w:tblGrid>
      <w:tr>
        <w:trPr>
          <w:tblHeader/>
        </w:trPr>
        <w:tc>
          <w:tcPr>
            <w:tcW w:type="dxa" w:w="36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Role</w:t>
            </w:r>
          </w:p>
        </w:tc>
        <w:tc>
          <w:tcPr>
            <w:tcW w:type="dxa" w:w="16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Headcount</w:t>
            </w:r>
          </w:p>
        </w:tc>
        <w:tc>
          <w:tcPr>
            <w:tcW w:type="dxa" w:w="416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Primary responsibility</w:t>
            </w:r>
          </w:p>
        </w:tc>
      </w:tr>
      <w:tr>
        <w:tc>
          <w:tcPr>
            <w:tcW w:type="dxa" w:w="3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Engineering lead / architect</w:t>
            </w:r>
          </w:p>
        </w:tc>
        <w:tc>
          <w:tcPr>
            <w:tcW w:type="dxa" w:w="1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w:t>
            </w:r>
          </w:p>
        </w:tc>
        <w:tc>
          <w:tcPr>
            <w:tcW w:type="dxa" w:w="41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System design, crypto review, final call on ADRs.</w:t>
            </w:r>
          </w:p>
        </w:tc>
      </w:tr>
      <w:tr>
        <w:tc>
          <w:tcPr>
            <w:tcW w:type="dxa" w:w="36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Mobile engineer (iOS/Android via RN or Flutter)</w:t>
            </w:r>
          </w:p>
        </w:tc>
        <w:tc>
          <w:tcPr>
            <w:tcW w:type="dxa" w:w="16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2</w:t>
            </w:r>
          </w:p>
        </w:tc>
        <w:tc>
          <w:tcPr>
            <w:tcW w:type="dxa" w:w="41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App shell, ritual UI, Moat client, device integration.</w:t>
            </w:r>
          </w:p>
        </w:tc>
      </w:tr>
      <w:tr>
        <w:tc>
          <w:tcPr>
            <w:tcW w:type="dxa" w:w="3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Backend engineer (Go)</w:t>
            </w:r>
          </w:p>
        </w:tc>
        <w:tc>
          <w:tcPr>
            <w:tcW w:type="dxa" w:w="1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2</w:t>
            </w:r>
          </w:p>
        </w:tc>
        <w:tc>
          <w:tcPr>
            <w:tcW w:type="dxa" w:w="41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Moat service, vodozemac / Olm-Megolm integration, deletion pipeline.</w:t>
            </w:r>
          </w:p>
        </w:tc>
      </w:tr>
      <w:tr>
        <w:tc>
          <w:tcPr>
            <w:tcW w:type="dxa" w:w="36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Backend engineer (Node)</w:t>
            </w:r>
          </w:p>
        </w:tc>
        <w:tc>
          <w:tcPr>
            <w:tcW w:type="dxa" w:w="16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w:t>
            </w:r>
          </w:p>
        </w:tc>
        <w:tc>
          <w:tcPr>
            <w:tcW w:type="dxa" w:w="41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Ritual service, email dispatcher, content tooling.</w:t>
            </w:r>
          </w:p>
        </w:tc>
      </w:tr>
      <w:tr>
        <w:tc>
          <w:tcPr>
            <w:tcW w:type="dxa" w:w="3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Firmware engineer</w:t>
            </w:r>
          </w:p>
        </w:tc>
        <w:tc>
          <w:tcPr>
            <w:tcW w:type="dxa" w:w="1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w:t>
            </w:r>
          </w:p>
        </w:tc>
        <w:tc>
          <w:tcPr>
            <w:tcW w:type="dxa" w:w="41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nRF52840 Zephyr firmware, BLE, DFU, glow driver.</w:t>
            </w:r>
          </w:p>
        </w:tc>
      </w:tr>
      <w:tr>
        <w:tc>
          <w:tcPr>
            <w:tcW w:type="dxa" w:w="36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Security engineer</w:t>
            </w:r>
          </w:p>
        </w:tc>
        <w:tc>
          <w:tcPr>
            <w:tcW w:type="dxa" w:w="16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 (fractional 0.5 until Phase 2)</w:t>
            </w:r>
          </w:p>
        </w:tc>
        <w:tc>
          <w:tcPr>
            <w:tcW w:type="dxa" w:w="41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Threat modelling, audit liaison, crypto sign-off.</w:t>
            </w:r>
          </w:p>
        </w:tc>
      </w:tr>
      <w:tr>
        <w:tc>
          <w:tcPr>
            <w:tcW w:type="dxa" w:w="3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SRE / platform</w:t>
            </w:r>
          </w:p>
        </w:tc>
        <w:tc>
          <w:tcPr>
            <w:tcW w:type="dxa" w:w="1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w:t>
            </w:r>
          </w:p>
        </w:tc>
        <w:tc>
          <w:tcPr>
            <w:tcW w:type="dxa" w:w="41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Infra-as-code, observability, deletion pipeline SLOs.</w:t>
            </w:r>
          </w:p>
        </w:tc>
      </w:tr>
      <w:tr>
        <w:tc>
          <w:tcPr>
            <w:tcW w:type="dxa" w:w="36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Designer</w:t>
            </w:r>
          </w:p>
        </w:tc>
        <w:tc>
          <w:tcPr>
            <w:tcW w:type="dxa" w:w="16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w:t>
            </w:r>
          </w:p>
        </w:tc>
        <w:tc>
          <w:tcPr>
            <w:tcW w:type="dxa" w:w="41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Ritual aesthetic, device industrial design liaison, micro-copy.</w:t>
            </w:r>
          </w:p>
        </w:tc>
      </w:tr>
      <w:tr>
        <w:tc>
          <w:tcPr>
            <w:tcW w:type="dxa" w:w="3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Product / founder</w:t>
            </w:r>
          </w:p>
        </w:tc>
        <w:tc>
          <w:tcPr>
            <w:tcW w:type="dxa" w:w="1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w:t>
            </w:r>
          </w:p>
        </w:tc>
        <w:tc>
          <w:tcPr>
            <w:tcW w:type="dxa" w:w="41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Covenant, editorial voice, cohort management.</w:t>
            </w:r>
          </w:p>
        </w:tc>
      </w:tr>
    </w:tbl>
    <w:p>
      <w:pPr>
        <w:spacing w:after="120" w:before="60" w:line="300"/>
      </w:pPr>
      <w:r>
        <w:rPr>
          <w:rFonts w:ascii="Calibri" w:cs="Calibri" w:eastAsia="Calibri" w:hAnsi="Calibri"/>
          <w:b w:val="false"/>
          <w:bCs w:val="false"/>
          <w:i w:val="false"/>
          <w:iCs w:val="false"/>
          <w:color w:val="1A1A1A"/>
          <w:sz w:val="22"/>
          <w:szCs w:val="22"/>
        </w:rPr>
        <w:t xml:space="preserve">Total: ~9.5 FTE through public beta. Post-launch, the team can contract to 6 FTE.</w:t>
      </w:r>
    </w:p>
    <w:p>
      <w:pPr>
        <w:pStyle w:val="Heading2"/>
        <w:spacing w:after="140" w:before="280"/>
      </w:pPr>
      <w:r>
        <w:rPr>
          <w:rFonts w:ascii="Calibri" w:cs="Calibri" w:eastAsia="Calibri" w:hAnsi="Calibri"/>
          <w:b/>
          <w:bCs/>
          <w:color w:val="2E4057"/>
          <w:sz w:val="28"/>
          <w:szCs w:val="28"/>
        </w:rPr>
        <w:t xml:space="preserve">11.2  Indicative Gantt</w:t>
      </w:r>
    </w:p>
    <w:p>
      <w:pPr>
        <w:shd w:fill="F2F2F2" w:color="auto" w:val="clear"/>
        <w:spacing w:after="120" w:before="120" w:line="260"/>
        <w:ind w:left="180" w:right="180"/>
      </w:pPr>
      <w:r>
        <w:rPr>
          <w:rFonts w:ascii="Consolas" w:cs="Consolas" w:eastAsia="Consolas" w:hAnsi="Consolas"/>
          <w:color w:val="1A1A1A"/>
          <w:sz w:val="20"/>
          <w:szCs w:val="20"/>
        </w:rPr>
        <w:t xml:space="preserve">                 Month  1  2  3  4  5  6  7  8  9  10</w:t>
      </w:r>
      <w:r>
        <w:br/>
      </w:r>
      <w:r>
        <w:rPr>
          <w:rFonts w:ascii="Consolas" w:cs="Consolas" w:eastAsia="Consolas" w:hAnsi="Consolas"/>
          <w:color w:val="1A1A1A"/>
          <w:sz w:val="20"/>
          <w:szCs w:val="20"/>
        </w:rPr>
        <w:t xml:space="preserve">Phase 0           ▓▓▓</w:t>
      </w:r>
      <w:r>
        <w:br/>
      </w:r>
      <w:r>
        <w:rPr>
          <w:rFonts w:ascii="Consolas" w:cs="Consolas" w:eastAsia="Consolas" w:hAnsi="Consolas"/>
          <w:color w:val="1A1A1A"/>
          <w:sz w:val="20"/>
          <w:szCs w:val="20"/>
        </w:rPr>
        <w:t xml:space="preserve">Phase 1              ▓▓▓▓▓▓</w:t>
      </w:r>
      <w:r>
        <w:br/>
      </w:r>
      <w:r>
        <w:rPr>
          <w:rFonts w:ascii="Consolas" w:cs="Consolas" w:eastAsia="Consolas" w:hAnsi="Consolas"/>
          <w:color w:val="1A1A1A"/>
          <w:sz w:val="20"/>
          <w:szCs w:val="20"/>
        </w:rPr>
        <w:t xml:space="preserve">Phase 2                    ▓▓▓▓</w:t>
      </w:r>
      <w:r>
        <w:br/>
      </w:r>
      <w:r>
        <w:rPr>
          <w:rFonts w:ascii="Consolas" w:cs="Consolas" w:eastAsia="Consolas" w:hAnsi="Consolas"/>
          <w:color w:val="1A1A1A"/>
          <w:sz w:val="20"/>
          <w:szCs w:val="20"/>
        </w:rPr>
        <w:t xml:space="preserve">Phase 3                       ▓▓▓▓▓</w:t>
      </w:r>
      <w:r>
        <w:br/>
      </w:r>
      <w:r>
        <w:rPr>
          <w:rFonts w:ascii="Consolas" w:cs="Consolas" w:eastAsia="Consolas" w:hAnsi="Consolas"/>
          <w:color w:val="1A1A1A"/>
          <w:sz w:val="20"/>
          <w:szCs w:val="20"/>
        </w:rPr>
        <w:t xml:space="preserve">Phase 4                             ▓▓</w:t>
      </w:r>
      <w:r>
        <w:br/>
      </w:r>
      <w:r>
        <w:rPr>
          <w:rFonts w:ascii="Consolas" w:cs="Consolas" w:eastAsia="Consolas" w:hAnsi="Consolas"/>
          <w:color w:val="1A1A1A"/>
          <w:sz w:val="20"/>
          <w:szCs w:val="20"/>
        </w:rPr>
        <w:t xml:space="preserve">Firmware dev         ▓▓▓▓▓▓▓▓▓            (begins early to de-risk)</w:t>
      </w:r>
      <w:r>
        <w:br/>
      </w:r>
      <w:r>
        <w:rPr>
          <w:rFonts w:ascii="Consolas" w:cs="Consolas" w:eastAsia="Consolas" w:hAnsi="Consolas"/>
          <w:color w:val="1A1A1A"/>
          <w:sz w:val="20"/>
          <w:szCs w:val="20"/>
        </w:rPr>
        <w:t xml:space="preserve">Security audit                      ▓▓    (blocking gate)</w:t>
      </w:r>
      <w:r>
        <w:br/>
      </w:r>
      <w:r>
        <w:rPr>
          <w:rFonts w:ascii="Consolas" w:cs="Consolas" w:eastAsia="Consolas" w:hAnsi="Consolas"/>
          <w:color w:val="1A1A1A"/>
          <w:sz w:val="20"/>
          <w:szCs w:val="20"/>
        </w:rPr>
        <w:t xml:space="preserve">Public beta                           ▓▓▓</w:t>
      </w:r>
    </w:p>
    <w:p>
      <w:pPr>
        <w:spacing w:after="120" w:before="60" w:line="300"/>
      </w:pPr>
      <w:r>
        <w:rPr>
          <w:rFonts w:ascii="Calibri" w:cs="Calibri" w:eastAsia="Calibri" w:hAnsi="Calibri"/>
          <w:b w:val="false"/>
          <w:bCs w:val="false"/>
          <w:i w:val="false"/>
          <w:iCs w:val="false"/>
          <w:color w:val="1A1A1A"/>
          <w:sz w:val="22"/>
          <w:szCs w:val="22"/>
        </w:rPr>
        <w:t xml:space="preserve">Firmware is started early because hardware schedules are unforgiving. Security audit is scheduled late enough to exercise the integrated product but early enough that remediation fits before launch. Both are critical-path items.</w:t>
      </w:r>
    </w:p>
    <w:p>
      <w:pPr>
        <w:pStyle w:val="Heading2"/>
        <w:spacing w:after="140" w:before="280"/>
      </w:pPr>
      <w:r>
        <w:rPr>
          <w:rFonts w:ascii="Calibri" w:cs="Calibri" w:eastAsia="Calibri" w:hAnsi="Calibri"/>
          <w:b/>
          <w:bCs/>
          <w:color w:val="2E4057"/>
          <w:sz w:val="28"/>
          <w:szCs w:val="28"/>
        </w:rPr>
        <w:t xml:space="preserve">11.3  Hiring order</w:t>
      </w:r>
    </w:p>
    <w:p>
      <w:pPr>
        <w:pStyle w:val="ListParagraph"/>
        <w:numPr>
          <w:ilvl w:val="0"/>
          <w:numId w:val="3"/>
        </w:numPr>
        <w:spacing w:after="60" w:before="30" w:line="280"/>
      </w:pPr>
      <w:r>
        <w:rPr>
          <w:rFonts w:ascii="Calibri" w:cs="Calibri" w:eastAsia="Calibri" w:hAnsi="Calibri"/>
          <w:color w:val="1A1A1A"/>
          <w:sz w:val="22"/>
          <w:szCs w:val="22"/>
        </w:rPr>
        <w:t xml:space="preserve">Engineering lead (month 1) — before anything is written.</w:t>
      </w:r>
    </w:p>
    <w:p>
      <w:pPr>
        <w:pStyle w:val="ListParagraph"/>
        <w:numPr>
          <w:ilvl w:val="0"/>
          <w:numId w:val="3"/>
        </w:numPr>
        <w:spacing w:after="60" w:before="30" w:line="280"/>
      </w:pPr>
      <w:r>
        <w:rPr>
          <w:rFonts w:ascii="Calibri" w:cs="Calibri" w:eastAsia="Calibri" w:hAnsi="Calibri"/>
          <w:color w:val="1A1A1A"/>
          <w:sz w:val="22"/>
          <w:szCs w:val="22"/>
        </w:rPr>
        <w:t xml:space="preserve">Security engineer (month 1, fractional) — threat model must land before the first line of production code.</w:t>
      </w:r>
    </w:p>
    <w:p>
      <w:pPr>
        <w:pStyle w:val="ListParagraph"/>
        <w:numPr>
          <w:ilvl w:val="0"/>
          <w:numId w:val="3"/>
        </w:numPr>
        <w:spacing w:after="60" w:before="30" w:line="280"/>
      </w:pPr>
      <w:r>
        <w:rPr>
          <w:rFonts w:ascii="Calibri" w:cs="Calibri" w:eastAsia="Calibri" w:hAnsi="Calibri"/>
          <w:color w:val="1A1A1A"/>
          <w:sz w:val="22"/>
          <w:szCs w:val="22"/>
        </w:rPr>
        <w:t xml:space="preserve">Two backend + two mobile engineers (month 2) — Phase 1 build team.</w:t>
      </w:r>
    </w:p>
    <w:p>
      <w:pPr>
        <w:pStyle w:val="ListParagraph"/>
        <w:numPr>
          <w:ilvl w:val="0"/>
          <w:numId w:val="3"/>
        </w:numPr>
        <w:spacing w:after="60" w:before="30" w:line="280"/>
      </w:pPr>
      <w:r>
        <w:rPr>
          <w:rFonts w:ascii="Calibri" w:cs="Calibri" w:eastAsia="Calibri" w:hAnsi="Calibri"/>
          <w:color w:val="1A1A1A"/>
          <w:sz w:val="22"/>
          <w:szCs w:val="22"/>
        </w:rPr>
        <w:t xml:space="preserve">Firmware engineer (month 2) — long lead-time work begins immediately.</w:t>
      </w:r>
    </w:p>
    <w:p>
      <w:pPr>
        <w:pStyle w:val="ListParagraph"/>
        <w:numPr>
          <w:ilvl w:val="0"/>
          <w:numId w:val="3"/>
        </w:numPr>
        <w:spacing w:after="60" w:before="30" w:line="280"/>
      </w:pPr>
      <w:r>
        <w:rPr>
          <w:rFonts w:ascii="Calibri" w:cs="Calibri" w:eastAsia="Calibri" w:hAnsi="Calibri"/>
          <w:color w:val="1A1A1A"/>
          <w:sz w:val="22"/>
          <w:szCs w:val="22"/>
        </w:rPr>
        <w:t xml:space="preserve">SRE (month 3) — to receive infra-as-code and set SLOs before Phase 2.</w:t>
      </w:r>
    </w:p>
    <w:p>
      <w:pPr>
        <w:pStyle w:val="ListParagraph"/>
        <w:numPr>
          <w:ilvl w:val="0"/>
          <w:numId w:val="3"/>
        </w:numPr>
        <w:spacing w:after="60" w:before="30" w:line="280"/>
      </w:pPr>
      <w:r>
        <w:rPr>
          <w:rFonts w:ascii="Calibri" w:cs="Calibri" w:eastAsia="Calibri" w:hAnsi="Calibri"/>
          <w:color w:val="1A1A1A"/>
          <w:sz w:val="22"/>
          <w:szCs w:val="22"/>
        </w:rPr>
        <w:t xml:space="preserve">Designer (month 1–2) — works alongside founder on the ritual aesthetic from day one.</w:t>
      </w:r>
    </w:p>
    <w:p>
      <w:r>
        <w:br w:type="page"/>
      </w:r>
    </w:p>
    <w:p>
      <w:pPr>
        <w:pStyle w:val="Heading1"/>
        <w:spacing w:after="180" w:before="360"/>
      </w:pPr>
      <w:r>
        <w:rPr>
          <w:rFonts w:ascii="Calibri" w:cs="Calibri" w:eastAsia="Calibri" w:hAnsi="Calibri"/>
          <w:b/>
          <w:bCs/>
          <w:color w:val="2E4057"/>
          <w:sz w:val="36"/>
          <w:szCs w:val="36"/>
        </w:rPr>
        <w:t xml:space="preserve">12.  Compliance, legal, open source</w:t>
      </w:r>
    </w:p>
    <w:p>
      <w:pPr>
        <w:pStyle w:val="Heading2"/>
        <w:spacing w:after="140" w:before="280"/>
      </w:pPr>
      <w:r>
        <w:rPr>
          <w:rFonts w:ascii="Calibri" w:cs="Calibri" w:eastAsia="Calibri" w:hAnsi="Calibri"/>
          <w:b/>
          <w:bCs/>
          <w:color w:val="2E4057"/>
          <w:sz w:val="28"/>
          <w:szCs w:val="28"/>
        </w:rPr>
        <w:t xml:space="preserve">12.1  GDPR posture</w:t>
      </w:r>
    </w:p>
    <w:p>
      <w:pPr>
        <w:spacing w:after="120" w:before="60" w:line="300"/>
      </w:pPr>
      <w:r>
        <w:rPr>
          <w:rFonts w:ascii="Calibri" w:cs="Calibri" w:eastAsia="Calibri" w:hAnsi="Calibri"/>
          <w:b w:val="false"/>
          <w:bCs w:val="false"/>
          <w:i w:val="false"/>
          <w:iCs w:val="false"/>
          <w:color w:val="1A1A1A"/>
          <w:sz w:val="22"/>
          <w:szCs w:val="22"/>
        </w:rPr>
        <w:t xml:space="preserve">We register in the EU and operate under GDPR by default. The retention architecture satisfies Article 17 (Right to Erasure) as a baseline behaviour rather than as an on-request process. For data subject access requests (Article 15), the honest answer is that we hold very little — an account row, a device record, an email address if the user supplied one. We provide an in-app export of that metadata. We do not and cannot provide Moat content, because after seven days it does not exist.</w:t>
      </w:r>
    </w:p>
    <w:p>
      <w:pPr>
        <w:pStyle w:val="Heading2"/>
        <w:spacing w:after="140" w:before="280"/>
      </w:pPr>
      <w:r>
        <w:rPr>
          <w:rFonts w:ascii="Calibri" w:cs="Calibri" w:eastAsia="Calibri" w:hAnsi="Calibri"/>
          <w:b/>
          <w:bCs/>
          <w:color w:val="2E4057"/>
          <w:sz w:val="28"/>
          <w:szCs w:val="28"/>
        </w:rPr>
        <w:t xml:space="preserve">12.2  The covenant as a legal instrument</w:t>
      </w:r>
    </w:p>
    <w:p>
      <w:pPr>
        <w:spacing w:after="120" w:before="60" w:line="300"/>
      </w:pPr>
      <w:r>
        <w:rPr>
          <w:rFonts w:ascii="Calibri" w:cs="Calibri" w:eastAsia="Calibri" w:hAnsi="Calibri"/>
          <w:b w:val="false"/>
          <w:bCs w:val="false"/>
          <w:i w:val="false"/>
          <w:iCs w:val="false"/>
          <w:color w:val="1A1A1A"/>
          <w:sz w:val="22"/>
          <w:szCs w:val="22"/>
        </w:rPr>
        <w:t xml:space="preserve">The covenant is presented to the user in addition to, not instead of, a standard Terms of Service. The covenant is a moral and cultural instrument. The ToS is a legal one. The ToS defers to the covenant on user-facing promises and must never contradict it. Legal should draft the ToS with the covenant as an exhibit.</w:t>
      </w:r>
    </w:p>
    <w:p>
      <w:pPr>
        <w:pStyle w:val="Heading2"/>
        <w:spacing w:after="140" w:before="280"/>
      </w:pPr>
      <w:r>
        <w:rPr>
          <w:rFonts w:ascii="Calibri" w:cs="Calibri" w:eastAsia="Calibri" w:hAnsi="Calibri"/>
          <w:b/>
          <w:bCs/>
          <w:color w:val="2E4057"/>
          <w:sz w:val="28"/>
          <w:szCs w:val="28"/>
        </w:rPr>
        <w:t xml:space="preserve">12.3  Licensing</w:t>
      </w:r>
    </w:p>
    <w:p>
      <w:pPr>
        <w:pStyle w:val="ListParagraph"/>
        <w:numPr>
          <w:ilvl w:val="0"/>
          <w:numId w:val="2"/>
        </w:numPr>
        <w:spacing w:after="60" w:before="30" w:line="280"/>
      </w:pPr>
      <w:r>
        <w:rPr>
          <w:rFonts w:ascii="Calibri" w:cs="Calibri" w:eastAsia="Calibri" w:hAnsi="Calibri"/>
          <w:color w:val="1A1A1A"/>
          <w:sz w:val="22"/>
          <w:szCs w:val="22"/>
        </w:rPr>
        <w:t xml:space="preserve">Server and client code: Apache 2.0 with a Commons Clause addendum preventing hostile resale-as-a-service.</w:t>
      </w:r>
    </w:p>
    <w:p>
      <w:pPr>
        <w:pStyle w:val="ListParagraph"/>
        <w:numPr>
          <w:ilvl w:val="0"/>
          <w:numId w:val="2"/>
        </w:numPr>
        <w:spacing w:after="60" w:before="30" w:line="280"/>
      </w:pPr>
      <w:r>
        <w:rPr>
          <w:rFonts w:ascii="Calibri" w:cs="Calibri" w:eastAsia="Calibri" w:hAnsi="Calibri"/>
          <w:color w:val="1A1A1A"/>
          <w:sz w:val="22"/>
          <w:szCs w:val="22"/>
        </w:rPr>
        <w:t xml:space="preserve">Firmware: Apache 2.0.</w:t>
      </w:r>
    </w:p>
    <w:p>
      <w:pPr>
        <w:pStyle w:val="ListParagraph"/>
        <w:numPr>
          <w:ilvl w:val="0"/>
          <w:numId w:val="2"/>
        </w:numPr>
        <w:spacing w:after="60" w:before="30" w:line="280"/>
      </w:pPr>
      <w:r>
        <w:rPr>
          <w:rFonts w:ascii="Calibri" w:cs="Calibri" w:eastAsia="Calibri" w:hAnsi="Calibri"/>
          <w:color w:val="1A1A1A"/>
          <w:sz w:val="22"/>
          <w:szCs w:val="22"/>
        </w:rPr>
        <w:t xml:space="preserve">Content (prescriptions, ritual scripts, covenant text): CC BY-NC-ND 4.0.</w:t>
      </w:r>
    </w:p>
    <w:p>
      <w:pPr>
        <w:pStyle w:val="ListParagraph"/>
        <w:numPr>
          <w:ilvl w:val="0"/>
          <w:numId w:val="2"/>
        </w:numPr>
        <w:spacing w:after="60" w:before="30" w:line="280"/>
      </w:pPr>
      <w:r>
        <w:rPr>
          <w:rFonts w:ascii="Calibri" w:cs="Calibri" w:eastAsia="Calibri" w:hAnsi="Calibri"/>
          <w:color w:val="1A1A1A"/>
          <w:sz w:val="22"/>
          <w:szCs w:val="22"/>
        </w:rPr>
        <w:t xml:space="preserve">Trademark ‘Moatly’: retained by the entity. Users and forks may describe ‘a Moatly-compatible client’ but may not call themselves Moatly.</w:t>
      </w:r>
    </w:p>
    <w:p>
      <w:pPr>
        <w:pStyle w:val="Heading2"/>
        <w:spacing w:after="140" w:before="280"/>
      </w:pPr>
      <w:r>
        <w:rPr>
          <w:rFonts w:ascii="Calibri" w:cs="Calibri" w:eastAsia="Calibri" w:hAnsi="Calibri"/>
          <w:b/>
          <w:bCs/>
          <w:color w:val="2E4057"/>
          <w:sz w:val="28"/>
          <w:szCs w:val="28"/>
        </w:rPr>
        <w:t xml:space="preserve">12.4  Incident response</w:t>
      </w:r>
    </w:p>
    <w:p>
      <w:pPr>
        <w:spacing w:after="120" w:before="60" w:line="300"/>
      </w:pPr>
      <w:r>
        <w:rPr>
          <w:rFonts w:ascii="Calibri" w:cs="Calibri" w:eastAsia="Calibri" w:hAnsi="Calibri"/>
          <w:b w:val="false"/>
          <w:bCs w:val="false"/>
          <w:i w:val="false"/>
          <w:iCs w:val="false"/>
          <w:color w:val="1A1A1A"/>
          <w:sz w:val="22"/>
          <w:szCs w:val="22"/>
        </w:rPr>
        <w:t xml:space="preserve">A public-facing incident response page is maintained at status.moatly.[tld] from day one. Every security incident is disclosed publicly within 72 hours unless disclosure would materially increase harm to users. Post-mortems are published with no more than 30 days delay.</w:t>
      </w:r>
    </w:p>
    <w:p>
      <w:pPr>
        <w:pStyle w:val="Heading2"/>
        <w:spacing w:after="140" w:before="280"/>
      </w:pPr>
      <w:r>
        <w:rPr>
          <w:rFonts w:ascii="Calibri" w:cs="Calibri" w:eastAsia="Calibri" w:hAnsi="Calibri"/>
          <w:b/>
          <w:bCs/>
          <w:color w:val="2E4057"/>
          <w:sz w:val="28"/>
          <w:szCs w:val="28"/>
        </w:rPr>
        <w:t xml:space="preserve">12.5  App store considerations</w:t>
      </w:r>
    </w:p>
    <w:p>
      <w:pPr>
        <w:pStyle w:val="ListParagraph"/>
        <w:numPr>
          <w:ilvl w:val="0"/>
          <w:numId w:val="2"/>
        </w:numPr>
        <w:spacing w:after="60" w:before="30" w:line="280"/>
      </w:pPr>
      <w:r>
        <w:rPr>
          <w:rFonts w:ascii="Calibri" w:cs="Calibri" w:eastAsia="Calibri" w:hAnsi="Calibri"/>
          <w:color w:val="1A1A1A"/>
          <w:sz w:val="22"/>
          <w:szCs w:val="22"/>
        </w:rPr>
        <w:t xml:space="preserve">iOS: Apple’s App Tracking Transparency poses no issue — we do no tracking. Avoid any SDK that triggers the ATT prompt.</w:t>
      </w:r>
    </w:p>
    <w:p>
      <w:pPr>
        <w:pStyle w:val="ListParagraph"/>
        <w:numPr>
          <w:ilvl w:val="0"/>
          <w:numId w:val="2"/>
        </w:numPr>
        <w:spacing w:after="60" w:before="30" w:line="280"/>
      </w:pPr>
      <w:r>
        <w:rPr>
          <w:rFonts w:ascii="Calibri" w:cs="Calibri" w:eastAsia="Calibri" w:hAnsi="Calibri"/>
          <w:color w:val="1A1A1A"/>
          <w:sz w:val="22"/>
          <w:szCs w:val="22"/>
        </w:rPr>
        <w:t xml:space="preserve">Android: Play Data Safety disclosures will read ‘no data collected, no data shared’. This is true, and will be supported by the SBOM and the open-source repo.</w:t>
      </w:r>
    </w:p>
    <w:p>
      <w:pPr>
        <w:pStyle w:val="ListParagraph"/>
        <w:numPr>
          <w:ilvl w:val="0"/>
          <w:numId w:val="2"/>
        </w:numPr>
        <w:spacing w:after="60" w:before="30" w:line="280"/>
      </w:pPr>
      <w:r>
        <w:rPr>
          <w:rFonts w:ascii="Calibri" w:cs="Calibri" w:eastAsia="Calibri" w:hAnsi="Calibri"/>
          <w:color w:val="1A1A1A"/>
          <w:sz w:val="22"/>
          <w:szCs w:val="22"/>
        </w:rPr>
        <w:t xml:space="preserve">Age gating: 16+ at account creation (GDPR consent age is 16 in most EU jurisdictions). Enforced at onboarding with a declaration, not a verification.</w:t>
      </w:r>
    </w:p>
    <w:p>
      <w:pPr>
        <w:pStyle w:val="Heading2"/>
        <w:spacing w:after="140" w:before="280"/>
      </w:pPr>
      <w:r>
        <w:rPr>
          <w:rFonts w:ascii="Calibri" w:cs="Calibri" w:eastAsia="Calibri" w:hAnsi="Calibri"/>
          <w:b/>
          <w:bCs/>
          <w:color w:val="2E4057"/>
          <w:sz w:val="28"/>
          <w:szCs w:val="28"/>
        </w:rPr>
        <w:t xml:space="preserve">12.6  Safety posture</w:t>
      </w:r>
    </w:p>
    <w:p>
      <w:pPr>
        <w:spacing w:after="120" w:before="60" w:line="300"/>
      </w:pPr>
      <w:r>
        <w:rPr>
          <w:rFonts w:ascii="Calibri" w:cs="Calibri" w:eastAsia="Calibri" w:hAnsi="Calibri"/>
          <w:b w:val="false"/>
          <w:bCs w:val="false"/>
          <w:i w:val="false"/>
          <w:iCs w:val="false"/>
          <w:color w:val="1A1A1A"/>
          <w:sz w:val="22"/>
          <w:szCs w:val="22"/>
        </w:rPr>
        <w:t xml:space="preserve">Moatly does not moderate content. It does moderate conduct. Two mechanisms make this coexistence possible without surveillance.</w:t>
      </w:r>
    </w:p>
    <w:p>
      <w:pPr>
        <w:pStyle w:val="ListParagraph"/>
        <w:numPr>
          <w:ilvl w:val="0"/>
          <w:numId w:val="2"/>
        </w:numPr>
        <w:spacing w:after="60" w:before="30" w:line="280"/>
      </w:pPr>
      <w:r>
        <w:rPr>
          <w:rFonts w:ascii="Calibri" w:cs="Calibri" w:eastAsia="Calibri" w:hAnsi="Calibri"/>
          <w:b/>
          <w:bCs/>
          <w:i w:val="false"/>
          <w:iCs w:val="false"/>
          <w:color w:val="1A1A1A"/>
          <w:sz w:val="22"/>
          <w:szCs w:val="22"/>
        </w:rPr>
        <w:t xml:space="preserve">The Lamp (section 5.9) — </w:t>
      </w:r>
      <w:r>
        <w:rPr>
          <w:rFonts w:ascii="Calibri" w:cs="Calibri" w:eastAsia="Calibri" w:hAnsi="Calibri"/>
          <w:b w:val="false"/>
          <w:bCs w:val="false"/>
          <w:i w:val="false"/>
          <w:iCs w:val="false"/>
          <w:color w:val="1A1A1A"/>
          <w:sz w:val="22"/>
          <w:szCs w:val="22"/>
        </w:rPr>
        <w:t xml:space="preserve">a persistent, one-tap path to trained crisis resources in every session. The list is curated, versioned in the app bundle, and works offline. The Lamp is never logged or counted.</w:t>
      </w:r>
    </w:p>
    <w:p>
      <w:pPr>
        <w:pStyle w:val="ListParagraph"/>
        <w:numPr>
          <w:ilvl w:val="0"/>
          <w:numId w:val="2"/>
        </w:numPr>
        <w:spacing w:after="60" w:before="30" w:line="280"/>
      </w:pPr>
      <w:r>
        <w:rPr>
          <w:rFonts w:ascii="Calibri" w:cs="Calibri" w:eastAsia="Calibri" w:hAnsi="Calibri"/>
          <w:b/>
          <w:bCs/>
          <w:i w:val="false"/>
          <w:iCs w:val="false"/>
          <w:color w:val="1A1A1A"/>
          <w:sz w:val="22"/>
          <w:szCs w:val="22"/>
        </w:rPr>
        <w:t xml:space="preserve">The complaint and reassignment flow (section 5.10) — </w:t>
      </w:r>
      <w:r>
        <w:rPr>
          <w:rFonts w:ascii="Calibri" w:cs="Calibri" w:eastAsia="Calibri" w:hAnsi="Calibri"/>
          <w:b w:val="false"/>
          <w:bCs w:val="false"/>
          <w:i w:val="false"/>
          <w:iCs w:val="false"/>
          <w:color w:val="1A1A1A"/>
          <w:sz w:val="22"/>
          <w:szCs w:val="22"/>
        </w:rPr>
        <w:t xml:space="preserve">members can flag conduct violations without any content being read by anyone outside the Moat. Thresholds drive silent reassignment, and repeat offenders are escalated to a human review that works from metadata alone.</w:t>
      </w:r>
    </w:p>
    <w:p>
      <w:pPr>
        <w:spacing w:after="120" w:before="60" w:line="300"/>
      </w:pPr>
      <w:r>
        <w:rPr>
          <w:rFonts w:ascii="Calibri" w:cs="Calibri" w:eastAsia="Calibri" w:hAnsi="Calibri"/>
          <w:b w:val="false"/>
          <w:bCs w:val="false"/>
          <w:i w:val="false"/>
          <w:iCs w:val="false"/>
          <w:color w:val="1A1A1A"/>
          <w:sz w:val="22"/>
          <w:szCs w:val="22"/>
        </w:rPr>
        <w:t xml:space="preserve">These mechanisms together address the otherwise reasonable criticism that an unmoderated E2E platform fails its most vulnerable users. They do not violate any principle in section 2. They are not optional. They ship with the public beta.</w:t>
      </w:r>
    </w:p>
    <w:p>
      <w:r>
        <w:br w:type="page"/>
      </w:r>
    </w:p>
    <w:p>
      <w:pPr>
        <w:pStyle w:val="Heading1"/>
        <w:spacing w:after="180" w:before="360"/>
      </w:pPr>
      <w:r>
        <w:rPr>
          <w:rFonts w:ascii="Calibri" w:cs="Calibri" w:eastAsia="Calibri" w:hAnsi="Calibri"/>
          <w:b/>
          <w:bCs/>
          <w:color w:val="2E4057"/>
          <w:sz w:val="36"/>
          <w:szCs w:val="36"/>
        </w:rPr>
        <w:t xml:space="preserve">13.  Acceptance criteria</w:t>
      </w:r>
    </w:p>
    <w:p>
      <w:pPr>
        <w:spacing w:after="120" w:before="60" w:line="300"/>
      </w:pPr>
      <w:r>
        <w:rPr>
          <w:rFonts w:ascii="Calibri" w:cs="Calibri" w:eastAsia="Calibri" w:hAnsi="Calibri"/>
          <w:b w:val="false"/>
          <w:bCs w:val="false"/>
          <w:i w:val="false"/>
          <w:iCs w:val="false"/>
          <w:color w:val="1A1A1A"/>
          <w:sz w:val="22"/>
          <w:szCs w:val="22"/>
        </w:rPr>
        <w:t xml:space="preserve">Per-component definition of done for the MVP through Phase 4. This is what QA and the lead sign off against.</w:t>
      </w:r>
    </w:p>
    <w:p>
      <w:pPr>
        <w:pStyle w:val="Heading2"/>
        <w:spacing w:after="140" w:before="280"/>
      </w:pPr>
      <w:r>
        <w:rPr>
          <w:rFonts w:ascii="Calibri" w:cs="Calibri" w:eastAsia="Calibri" w:hAnsi="Calibri"/>
          <w:b/>
          <w:bCs/>
          <w:color w:val="2E4057"/>
          <w:sz w:val="28"/>
          <w:szCs w:val="28"/>
        </w:rPr>
        <w:t xml:space="preserve">13.1  Onboarding</w:t>
      </w:r>
    </w:p>
    <w:p>
      <w:pPr>
        <w:pStyle w:val="ListParagraph"/>
        <w:numPr>
          <w:ilvl w:val="0"/>
          <w:numId w:val="2"/>
        </w:numPr>
        <w:spacing w:after="60" w:before="30" w:line="280"/>
      </w:pPr>
      <w:r>
        <w:rPr>
          <w:rFonts w:ascii="Calibri" w:cs="Calibri" w:eastAsia="Calibri" w:hAnsi="Calibri"/>
          <w:color w:val="1A1A1A"/>
          <w:sz w:val="22"/>
          <w:szCs w:val="22"/>
        </w:rPr>
        <w:t xml:space="preserve">All seven onboarding steps are present and must be completed in order.</w:t>
      </w:r>
    </w:p>
    <w:p>
      <w:pPr>
        <w:pStyle w:val="ListParagraph"/>
        <w:numPr>
          <w:ilvl w:val="0"/>
          <w:numId w:val="2"/>
        </w:numPr>
        <w:spacing w:after="60" w:before="30" w:line="280"/>
      </w:pPr>
      <w:r>
        <w:rPr>
          <w:rFonts w:ascii="Calibri" w:cs="Calibri" w:eastAsia="Calibri" w:hAnsi="Calibri"/>
          <w:color w:val="1A1A1A"/>
          <w:sz w:val="22"/>
          <w:szCs w:val="22"/>
        </w:rPr>
        <w:t xml:space="preserve">Covenant text hash is stored; any future change to the covenant triggers re-acceptance.</w:t>
      </w:r>
    </w:p>
    <w:p>
      <w:pPr>
        <w:pStyle w:val="ListParagraph"/>
        <w:numPr>
          <w:ilvl w:val="0"/>
          <w:numId w:val="2"/>
        </w:numPr>
        <w:spacing w:after="60" w:before="30" w:line="280"/>
      </w:pPr>
      <w:r>
        <w:rPr>
          <w:rFonts w:ascii="Calibri" w:cs="Calibri" w:eastAsia="Calibri" w:hAnsi="Calibri"/>
          <w:color w:val="1A1A1A"/>
          <w:sz w:val="22"/>
          <w:szCs w:val="22"/>
        </w:rPr>
        <w:t xml:space="preserve">Seed phrase is generated on-device only; server receives only a salted hash of a derived verification value.</w:t>
      </w:r>
    </w:p>
    <w:p>
      <w:pPr>
        <w:pStyle w:val="ListParagraph"/>
        <w:numPr>
          <w:ilvl w:val="0"/>
          <w:numId w:val="2"/>
        </w:numPr>
        <w:spacing w:after="60" w:before="30" w:line="280"/>
      </w:pPr>
      <w:r>
        <w:rPr>
          <w:rFonts w:ascii="Calibri" w:cs="Calibri" w:eastAsia="Calibri" w:hAnsi="Calibri"/>
          <w:color w:val="1A1A1A"/>
          <w:sz w:val="22"/>
          <w:szCs w:val="22"/>
        </w:rPr>
        <w:t xml:space="preserve">Skipping any step is impossible.</w:t>
      </w:r>
    </w:p>
    <w:p>
      <w:pPr>
        <w:pStyle w:val="Heading2"/>
        <w:spacing w:after="140" w:before="280"/>
      </w:pPr>
      <w:r>
        <w:rPr>
          <w:rFonts w:ascii="Calibri" w:cs="Calibri" w:eastAsia="Calibri" w:hAnsi="Calibri"/>
          <w:b/>
          <w:bCs/>
          <w:color w:val="2E4057"/>
          <w:sz w:val="28"/>
          <w:szCs w:val="28"/>
        </w:rPr>
        <w:t xml:space="preserve">13.2  Linkage with the Unity ritual app</w:t>
      </w:r>
    </w:p>
    <w:p>
      <w:pPr>
        <w:pStyle w:val="ListParagraph"/>
        <w:numPr>
          <w:ilvl w:val="0"/>
          <w:numId w:val="2"/>
        </w:numPr>
        <w:spacing w:after="60" w:before="30" w:line="280"/>
      </w:pPr>
      <w:r>
        <w:rPr>
          <w:rFonts w:ascii="Calibri" w:cs="Calibri" w:eastAsia="Calibri" w:hAnsi="Calibri"/>
          <w:color w:val="1A1A1A"/>
          <w:sz w:val="22"/>
          <w:szCs w:val="22"/>
        </w:rPr>
        <w:t xml:space="preserve">Linkage bootstrap issues an opaque account ID to the Unity app that cannot be reversed to any PII.</w:t>
      </w:r>
    </w:p>
    <w:p>
      <w:pPr>
        <w:pStyle w:val="ListParagraph"/>
        <w:numPr>
          <w:ilvl w:val="0"/>
          <w:numId w:val="2"/>
        </w:numPr>
        <w:spacing w:after="60" w:before="30" w:line="280"/>
      </w:pPr>
      <w:r>
        <w:rPr>
          <w:rFonts w:ascii="Calibri" w:cs="Calibri" w:eastAsia="Calibri" w:hAnsi="Calibri"/>
          <w:color w:val="1A1A1A"/>
          <w:sz w:val="22"/>
          <w:szCs w:val="22"/>
        </w:rPr>
        <w:t xml:space="preserve">Email relay accepts only from a verified Unity linkage token; rate-limited to 1 per account per 24 hours.</w:t>
      </w:r>
    </w:p>
    <w:p>
      <w:pPr>
        <w:pStyle w:val="ListParagraph"/>
        <w:numPr>
          <w:ilvl w:val="0"/>
          <w:numId w:val="2"/>
        </w:numPr>
        <w:spacing w:after="60" w:before="30" w:line="280"/>
      </w:pPr>
      <w:r>
        <w:rPr>
          <w:rFonts w:ascii="Calibri" w:cs="Calibri" w:eastAsia="Calibri" w:hAnsi="Calibri"/>
          <w:color w:val="1A1A1A"/>
          <w:sz w:val="22"/>
          <w:szCs w:val="22"/>
        </w:rPr>
        <w:t xml:space="preserve">Prescription body is never persisted server-side; verified by an automated test that parses every relay log for the bodies of known test envelopes and expects zero hits.</w:t>
      </w:r>
    </w:p>
    <w:p>
      <w:pPr>
        <w:pStyle w:val="ListParagraph"/>
        <w:numPr>
          <w:ilvl w:val="0"/>
          <w:numId w:val="2"/>
        </w:numPr>
        <w:spacing w:after="60" w:before="30" w:line="280"/>
      </w:pPr>
      <w:r>
        <w:rPr>
          <w:rFonts w:ascii="Calibri" w:cs="Calibri" w:eastAsia="Calibri" w:hAnsi="Calibri"/>
          <w:color w:val="1A1A1A"/>
          <w:sz w:val="22"/>
          <w:szCs w:val="22"/>
        </w:rPr>
        <w:t xml:space="preserve">Prescription delivered via Postmark within 60 seconds of relay, 99th percentile.</w:t>
      </w:r>
    </w:p>
    <w:p>
      <w:pPr>
        <w:pStyle w:val="ListParagraph"/>
        <w:numPr>
          <w:ilvl w:val="0"/>
          <w:numId w:val="2"/>
        </w:numPr>
        <w:spacing w:after="60" w:before="30" w:line="280"/>
      </w:pPr>
      <w:r>
        <w:rPr>
          <w:rFonts w:ascii="Calibri" w:cs="Calibri" w:eastAsia="Calibri" w:hAnsi="Calibri"/>
          <w:color w:val="1A1A1A"/>
          <w:sz w:val="22"/>
          <w:szCs w:val="22"/>
        </w:rPr>
        <w:t xml:space="preserve">Email contains no tracking pixel, no open-tracking, no click-tracking, no HTML images.</w:t>
      </w:r>
    </w:p>
    <w:p>
      <w:pPr>
        <w:pStyle w:val="Heading2"/>
        <w:spacing w:after="140" w:before="280"/>
      </w:pPr>
      <w:r>
        <w:rPr>
          <w:rFonts w:ascii="Calibri" w:cs="Calibri" w:eastAsia="Calibri" w:hAnsi="Calibri"/>
          <w:b/>
          <w:bCs/>
          <w:color w:val="2E4057"/>
          <w:sz w:val="28"/>
          <w:szCs w:val="28"/>
        </w:rPr>
        <w:t xml:space="preserve">13.3  The Lamp (safety surface)</w:t>
      </w:r>
    </w:p>
    <w:p>
      <w:pPr>
        <w:pStyle w:val="ListParagraph"/>
        <w:numPr>
          <w:ilvl w:val="0"/>
          <w:numId w:val="2"/>
        </w:numPr>
        <w:spacing w:after="60" w:before="30" w:line="280"/>
      </w:pPr>
      <w:r>
        <w:rPr>
          <w:rFonts w:ascii="Calibri" w:cs="Calibri" w:eastAsia="Calibri" w:hAnsi="Calibri"/>
          <w:color w:val="1A1A1A"/>
          <w:sz w:val="22"/>
          <w:szCs w:val="22"/>
        </w:rPr>
        <w:t xml:space="preserve">Lamp icon is visible on every Moat screen without exception.</w:t>
      </w:r>
    </w:p>
    <w:p>
      <w:pPr>
        <w:pStyle w:val="ListParagraph"/>
        <w:numPr>
          <w:ilvl w:val="0"/>
          <w:numId w:val="2"/>
        </w:numPr>
        <w:spacing w:after="60" w:before="30" w:line="280"/>
      </w:pPr>
      <w:r>
        <w:rPr>
          <w:rFonts w:ascii="Calibri" w:cs="Calibri" w:eastAsia="Calibri" w:hAnsi="Calibri"/>
          <w:color w:val="1A1A1A"/>
          <w:sz w:val="22"/>
          <w:szCs w:val="22"/>
        </w:rPr>
        <w:t xml:space="preserve">Tapping the Lamp works with aeroplane mode on — resources load from the bundle, not the network.</w:t>
      </w:r>
    </w:p>
    <w:p>
      <w:pPr>
        <w:pStyle w:val="ListParagraph"/>
        <w:numPr>
          <w:ilvl w:val="0"/>
          <w:numId w:val="2"/>
        </w:numPr>
        <w:spacing w:after="60" w:before="30" w:line="280"/>
      </w:pPr>
      <w:r>
        <w:rPr>
          <w:rFonts w:ascii="Calibri" w:cs="Calibri" w:eastAsia="Calibri" w:hAnsi="Calibri"/>
          <w:color w:val="1A1A1A"/>
          <w:sz w:val="22"/>
          <w:szCs w:val="22"/>
        </w:rPr>
        <w:t xml:space="preserve">No telemetry endpoint receives any signal from Lamp interactions; automated test verifies zero outgoing requests originate from the Lamp UI.</w:t>
      </w:r>
    </w:p>
    <w:p>
      <w:pPr>
        <w:pStyle w:val="ListParagraph"/>
        <w:numPr>
          <w:ilvl w:val="0"/>
          <w:numId w:val="2"/>
        </w:numPr>
        <w:spacing w:after="60" w:before="30" w:line="280"/>
      </w:pPr>
      <w:r>
        <w:rPr>
          <w:rFonts w:ascii="Calibri" w:cs="Calibri" w:eastAsia="Calibri" w:hAnsi="Calibri"/>
          <w:color w:val="1A1A1A"/>
          <w:sz w:val="22"/>
          <w:szCs w:val="22"/>
        </w:rPr>
        <w:t xml:space="preserve">Resource list has been editorially reviewed within the last 90 days; app warns internally if the bundled list is older.</w:t>
      </w:r>
    </w:p>
    <w:p>
      <w:pPr>
        <w:pStyle w:val="Heading2"/>
        <w:spacing w:after="140" w:before="280"/>
      </w:pPr>
      <w:r>
        <w:rPr>
          <w:rFonts w:ascii="Calibri" w:cs="Calibri" w:eastAsia="Calibri" w:hAnsi="Calibri"/>
          <w:b/>
          <w:bCs/>
          <w:color w:val="2E4057"/>
          <w:sz w:val="28"/>
          <w:szCs w:val="28"/>
        </w:rPr>
        <w:t xml:space="preserve">13.4  Complaint and reassignment</w:t>
      </w:r>
    </w:p>
    <w:p>
      <w:pPr>
        <w:pStyle w:val="ListParagraph"/>
        <w:numPr>
          <w:ilvl w:val="0"/>
          <w:numId w:val="2"/>
        </w:numPr>
        <w:spacing w:after="60" w:before="30" w:line="280"/>
      </w:pPr>
      <w:r>
        <w:rPr>
          <w:rFonts w:ascii="Calibri" w:cs="Calibri" w:eastAsia="Calibri" w:hAnsi="Calibri"/>
          <w:color w:val="1A1A1A"/>
          <w:sz w:val="22"/>
          <w:szCs w:val="22"/>
        </w:rPr>
        <w:t xml:space="preserve">A single complaint never triggers any visible action to the target.</w:t>
      </w:r>
    </w:p>
    <w:p>
      <w:pPr>
        <w:pStyle w:val="ListParagraph"/>
        <w:numPr>
          <w:ilvl w:val="0"/>
          <w:numId w:val="2"/>
        </w:numPr>
        <w:spacing w:after="60" w:before="30" w:line="280"/>
      </w:pPr>
      <w:r>
        <w:rPr>
          <w:rFonts w:ascii="Calibri" w:cs="Calibri" w:eastAsia="Calibri" w:hAnsi="Calibri"/>
          <w:color w:val="1A1A1A"/>
          <w:sz w:val="22"/>
          <w:szCs w:val="22"/>
        </w:rPr>
        <w:t xml:space="preserve">Three distinct complainants, same reason, in one cycle triggers silent reassignment at cycle boundary.</w:t>
      </w:r>
    </w:p>
    <w:p>
      <w:pPr>
        <w:pStyle w:val="ListParagraph"/>
        <w:numPr>
          <w:ilvl w:val="0"/>
          <w:numId w:val="2"/>
        </w:numPr>
        <w:spacing w:after="60" w:before="30" w:line="280"/>
      </w:pPr>
      <w:r>
        <w:rPr>
          <w:rFonts w:ascii="Calibri" w:cs="Calibri" w:eastAsia="Calibri" w:hAnsi="Calibri"/>
          <w:color w:val="1A1A1A"/>
          <w:sz w:val="22"/>
          <w:szCs w:val="22"/>
        </w:rPr>
        <w:t xml:space="preserve">Reassignment to a second Moat for the same reason triggers human review within 72 hours.</w:t>
      </w:r>
    </w:p>
    <w:p>
      <w:pPr>
        <w:pStyle w:val="ListParagraph"/>
        <w:numPr>
          <w:ilvl w:val="0"/>
          <w:numId w:val="2"/>
        </w:numPr>
        <w:spacing w:after="60" w:before="30" w:line="280"/>
      </w:pPr>
      <w:r>
        <w:rPr>
          <w:rFonts w:ascii="Calibri" w:cs="Calibri" w:eastAsia="Calibri" w:hAnsi="Calibri"/>
          <w:color w:val="1A1A1A"/>
          <w:sz w:val="22"/>
          <w:szCs w:val="22"/>
        </w:rPr>
        <w:t xml:space="preserve">The human reviewer’s interface renders ONLY metadata: complainant count, reason codes, dates. No message_id contents are ever surfaced.</w:t>
      </w:r>
    </w:p>
    <w:p>
      <w:pPr>
        <w:pStyle w:val="ListParagraph"/>
        <w:numPr>
          <w:ilvl w:val="0"/>
          <w:numId w:val="2"/>
        </w:numPr>
        <w:spacing w:after="60" w:before="30" w:line="280"/>
      </w:pPr>
      <w:r>
        <w:rPr>
          <w:rFonts w:ascii="Calibri" w:cs="Calibri" w:eastAsia="Calibri" w:hAnsi="Calibri"/>
          <w:color w:val="1A1A1A"/>
          <w:sz w:val="22"/>
          <w:szCs w:val="22"/>
        </w:rPr>
        <w:t xml:space="preserve">Serial unsuccessful complainants (5+ no-threshold in 90 days) trigger their own review.</w:t>
      </w:r>
    </w:p>
    <w:p>
      <w:pPr>
        <w:pStyle w:val="Heading2"/>
        <w:spacing w:after="140" w:before="280"/>
      </w:pPr>
      <w:r>
        <w:rPr>
          <w:rFonts w:ascii="Calibri" w:cs="Calibri" w:eastAsia="Calibri" w:hAnsi="Calibri"/>
          <w:b/>
          <w:bCs/>
          <w:color w:val="2E4057"/>
          <w:sz w:val="28"/>
          <w:szCs w:val="28"/>
        </w:rPr>
        <w:t xml:space="preserve">13.5  Moat service</w:t>
      </w:r>
    </w:p>
    <w:p>
      <w:pPr>
        <w:pStyle w:val="ListParagraph"/>
        <w:numPr>
          <w:ilvl w:val="0"/>
          <w:numId w:val="2"/>
        </w:numPr>
        <w:spacing w:after="60" w:before="30" w:line="280"/>
      </w:pPr>
      <w:r>
        <w:rPr>
          <w:rFonts w:ascii="Calibri" w:cs="Calibri" w:eastAsia="Calibri" w:hAnsi="Calibri"/>
          <w:color w:val="1A1A1A"/>
          <w:sz w:val="22"/>
          <w:szCs w:val="22"/>
        </w:rPr>
        <w:t xml:space="preserve">All messages end-to-end encrypted using Megolm group ciphertext.</w:t>
      </w:r>
    </w:p>
    <w:p>
      <w:pPr>
        <w:pStyle w:val="ListParagraph"/>
        <w:numPr>
          <w:ilvl w:val="0"/>
          <w:numId w:val="2"/>
        </w:numPr>
        <w:spacing w:after="60" w:before="30" w:line="280"/>
      </w:pPr>
      <w:r>
        <w:rPr>
          <w:rFonts w:ascii="Calibri" w:cs="Calibri" w:eastAsia="Calibri" w:hAnsi="Calibri"/>
          <w:color w:val="1A1A1A"/>
          <w:sz w:val="22"/>
          <w:szCs w:val="22"/>
        </w:rPr>
        <w:t xml:space="preserve">Server never has plaintext access. This is verified by an automated test that parses server logs for any string from the application dictionary.</w:t>
      </w:r>
    </w:p>
    <w:p>
      <w:pPr>
        <w:pStyle w:val="ListParagraph"/>
        <w:numPr>
          <w:ilvl w:val="0"/>
          <w:numId w:val="2"/>
        </w:numPr>
        <w:spacing w:after="60" w:before="30" w:line="280"/>
      </w:pPr>
      <w:r>
        <w:rPr>
          <w:rFonts w:ascii="Calibri" w:cs="Calibri" w:eastAsia="Calibri" w:hAnsi="Calibri"/>
          <w:color w:val="1A1A1A"/>
          <w:sz w:val="22"/>
          <w:szCs w:val="22"/>
        </w:rPr>
        <w:t xml:space="preserve">WebSocket delivery latency &lt;2 seconds at p95.</w:t>
      </w:r>
    </w:p>
    <w:p>
      <w:pPr>
        <w:pStyle w:val="ListParagraph"/>
        <w:numPr>
          <w:ilvl w:val="0"/>
          <w:numId w:val="2"/>
        </w:numPr>
        <w:spacing w:after="60" w:before="30" w:line="280"/>
      </w:pPr>
      <w:r>
        <w:rPr>
          <w:rFonts w:ascii="Calibri" w:cs="Calibri" w:eastAsia="Calibri" w:hAnsi="Calibri"/>
          <w:color w:val="1A1A1A"/>
          <w:sz w:val="22"/>
          <w:szCs w:val="22"/>
        </w:rPr>
        <w:t xml:space="preserve">Strict chronological ordering; no server-side reordering logic exists.</w:t>
      </w:r>
    </w:p>
    <w:p>
      <w:pPr>
        <w:pStyle w:val="Heading2"/>
        <w:spacing w:after="140" w:before="280"/>
      </w:pPr>
      <w:r>
        <w:rPr>
          <w:rFonts w:ascii="Calibri" w:cs="Calibri" w:eastAsia="Calibri" w:hAnsi="Calibri"/>
          <w:b/>
          <w:bCs/>
          <w:color w:val="2E4057"/>
          <w:sz w:val="28"/>
          <w:szCs w:val="28"/>
        </w:rPr>
        <w:t xml:space="preserve">13.6  Deletion pipeline</w:t>
      </w:r>
    </w:p>
    <w:p>
      <w:pPr>
        <w:pStyle w:val="ListParagraph"/>
        <w:numPr>
          <w:ilvl w:val="0"/>
          <w:numId w:val="2"/>
        </w:numPr>
        <w:spacing w:after="60" w:before="30" w:line="280"/>
      </w:pPr>
      <w:r>
        <w:rPr>
          <w:rFonts w:ascii="Calibri" w:cs="Calibri" w:eastAsia="Calibri" w:hAnsi="Calibri"/>
          <w:color w:val="1A1A1A"/>
          <w:sz w:val="22"/>
          <w:szCs w:val="22"/>
        </w:rPr>
        <w:t xml:space="preserve">Every message row with expires_at &lt; now() is deleted within 60 minutes.</w:t>
      </w:r>
    </w:p>
    <w:p>
      <w:pPr>
        <w:pStyle w:val="ListParagraph"/>
        <w:numPr>
          <w:ilvl w:val="0"/>
          <w:numId w:val="2"/>
        </w:numPr>
        <w:spacing w:after="60" w:before="30" w:line="280"/>
      </w:pPr>
      <w:r>
        <w:rPr>
          <w:rFonts w:ascii="Calibri" w:cs="Calibri" w:eastAsia="Calibri" w:hAnsi="Calibri"/>
          <w:color w:val="1A1A1A"/>
          <w:sz w:val="22"/>
          <w:szCs w:val="22"/>
        </w:rPr>
        <w:t xml:space="preserve">Deletion audit log records every run; failed runs page on-call.</w:t>
      </w:r>
    </w:p>
    <w:p>
      <w:pPr>
        <w:pStyle w:val="ListParagraph"/>
        <w:numPr>
          <w:ilvl w:val="0"/>
          <w:numId w:val="2"/>
        </w:numPr>
        <w:spacing w:after="60" w:before="30" w:line="280"/>
      </w:pPr>
      <w:r>
        <w:rPr>
          <w:rFonts w:ascii="Calibri" w:cs="Calibri" w:eastAsia="Calibri" w:hAnsi="Calibri"/>
          <w:color w:val="1A1A1A"/>
          <w:sz w:val="22"/>
          <w:szCs w:val="22"/>
        </w:rPr>
        <w:t xml:space="preserve">KMS backup keys expire at 8 days without fail; a weekly verification job confirms this.</w:t>
      </w:r>
    </w:p>
    <w:p>
      <w:pPr>
        <w:pStyle w:val="ListParagraph"/>
        <w:numPr>
          <w:ilvl w:val="0"/>
          <w:numId w:val="2"/>
        </w:numPr>
        <w:spacing w:after="60" w:before="30" w:line="280"/>
      </w:pPr>
      <w:r>
        <w:rPr>
          <w:rFonts w:ascii="Calibri" w:cs="Calibri" w:eastAsia="Calibri" w:hAnsi="Calibri"/>
          <w:color w:val="1A1A1A"/>
          <w:sz w:val="22"/>
          <w:szCs w:val="22"/>
        </w:rPr>
        <w:t xml:space="preserve">Quarterly red-team exercise attempts to recover a ‘deleted’ message and fails.</w:t>
      </w:r>
    </w:p>
    <w:p>
      <w:pPr>
        <w:pStyle w:val="Heading2"/>
        <w:spacing w:after="140" w:before="280"/>
      </w:pPr>
      <w:r>
        <w:rPr>
          <w:rFonts w:ascii="Calibri" w:cs="Calibri" w:eastAsia="Calibri" w:hAnsi="Calibri"/>
          <w:b/>
          <w:bCs/>
          <w:color w:val="2E4057"/>
          <w:sz w:val="28"/>
          <w:szCs w:val="28"/>
        </w:rPr>
        <w:t xml:space="preserve">13.7  Device</w:t>
      </w:r>
    </w:p>
    <w:p>
      <w:pPr>
        <w:pStyle w:val="ListParagraph"/>
        <w:numPr>
          <w:ilvl w:val="0"/>
          <w:numId w:val="2"/>
        </w:numPr>
        <w:spacing w:after="60" w:before="30" w:line="280"/>
      </w:pPr>
      <w:r>
        <w:rPr>
          <w:rFonts w:ascii="Calibri" w:cs="Calibri" w:eastAsia="Calibri" w:hAnsi="Calibri"/>
          <w:color w:val="1A1A1A"/>
          <w:sz w:val="22"/>
          <w:szCs w:val="22"/>
        </w:rPr>
        <w:t xml:space="preserve">Combination sequence entry &lt;3 seconds typical.</w:t>
      </w:r>
    </w:p>
    <w:p>
      <w:pPr>
        <w:pStyle w:val="ListParagraph"/>
        <w:numPr>
          <w:ilvl w:val="0"/>
          <w:numId w:val="2"/>
        </w:numPr>
        <w:spacing w:after="60" w:before="30" w:line="280"/>
      </w:pPr>
      <w:r>
        <w:rPr>
          <w:rFonts w:ascii="Calibri" w:cs="Calibri" w:eastAsia="Calibri" w:hAnsi="Calibri"/>
          <w:color w:val="1A1A1A"/>
          <w:sz w:val="22"/>
          <w:szCs w:val="22"/>
        </w:rPr>
        <w:t xml:space="preserve">Composite identity code verification &lt;1 second.</w:t>
      </w:r>
    </w:p>
    <w:p>
      <w:pPr>
        <w:pStyle w:val="ListParagraph"/>
        <w:numPr>
          <w:ilvl w:val="0"/>
          <w:numId w:val="2"/>
        </w:numPr>
        <w:spacing w:after="60" w:before="30" w:line="280"/>
      </w:pPr>
      <w:r>
        <w:rPr>
          <w:rFonts w:ascii="Calibri" w:cs="Calibri" w:eastAsia="Calibri" w:hAnsi="Calibri"/>
          <w:color w:val="1A1A1A"/>
          <w:sz w:val="22"/>
          <w:szCs w:val="22"/>
        </w:rPr>
        <w:t xml:space="preserve">Glow triggers only on the 5 defined events; zero spurious glows during a 24-hour burn-in.</w:t>
      </w:r>
    </w:p>
    <w:p>
      <w:pPr>
        <w:pStyle w:val="ListParagraph"/>
        <w:numPr>
          <w:ilvl w:val="0"/>
          <w:numId w:val="2"/>
        </w:numPr>
        <w:spacing w:after="60" w:before="30" w:line="280"/>
      </w:pPr>
      <w:r>
        <w:rPr>
          <w:rFonts w:ascii="Calibri" w:cs="Calibri" w:eastAsia="Calibri" w:hAnsi="Calibri"/>
          <w:color w:val="1A1A1A"/>
          <w:sz w:val="22"/>
          <w:szCs w:val="22"/>
        </w:rPr>
        <w:t xml:space="preserve">Firmware OTA signature verification cannot be bypassed.</w:t>
      </w:r>
    </w:p>
    <w:p>
      <w:pPr>
        <w:pStyle w:val="Heading2"/>
        <w:spacing w:after="140" w:before="280"/>
      </w:pPr>
      <w:r>
        <w:rPr>
          <w:rFonts w:ascii="Calibri" w:cs="Calibri" w:eastAsia="Calibri" w:hAnsi="Calibri"/>
          <w:b/>
          <w:bCs/>
          <w:color w:val="2E4057"/>
          <w:sz w:val="28"/>
          <w:szCs w:val="28"/>
        </w:rPr>
        <w:t xml:space="preserve">13.8  Rings</w:t>
      </w:r>
    </w:p>
    <w:p>
      <w:pPr>
        <w:pStyle w:val="ListParagraph"/>
        <w:numPr>
          <w:ilvl w:val="0"/>
          <w:numId w:val="2"/>
        </w:numPr>
        <w:spacing w:after="60" w:before="30" w:line="280"/>
      </w:pPr>
      <w:r>
        <w:rPr>
          <w:rFonts w:ascii="Calibri" w:cs="Calibri" w:eastAsia="Calibri" w:hAnsi="Calibri"/>
          <w:color w:val="1A1A1A"/>
          <w:sz w:val="22"/>
          <w:szCs w:val="22"/>
        </w:rPr>
        <w:t xml:space="preserve">Rings visible only to their owner. No API endpoint returns another user’s ring state.</w:t>
      </w:r>
    </w:p>
    <w:p>
      <w:pPr>
        <w:pStyle w:val="ListParagraph"/>
        <w:numPr>
          <w:ilvl w:val="0"/>
          <w:numId w:val="2"/>
        </w:numPr>
        <w:spacing w:after="60" w:before="30" w:line="280"/>
      </w:pPr>
      <w:r>
        <w:rPr>
          <w:rFonts w:ascii="Calibri" w:cs="Calibri" w:eastAsia="Calibri" w:hAnsi="Calibri"/>
          <w:color w:val="1A1A1A"/>
          <w:sz w:val="22"/>
          <w:szCs w:val="22"/>
        </w:rPr>
        <w:t xml:space="preserve">Ring state computed deterministically from the local ledger.</w:t>
      </w:r>
    </w:p>
    <w:p>
      <w:pPr>
        <w:pStyle w:val="ListParagraph"/>
        <w:numPr>
          <w:ilvl w:val="0"/>
          <w:numId w:val="2"/>
        </w:numPr>
        <w:spacing w:after="60" w:before="30" w:line="280"/>
      </w:pPr>
      <w:r>
        <w:rPr>
          <w:rFonts w:ascii="Calibri" w:cs="Calibri" w:eastAsia="Calibri" w:hAnsi="Calibri"/>
          <w:color w:val="1A1A1A"/>
          <w:sz w:val="22"/>
          <w:szCs w:val="22"/>
        </w:rPr>
        <w:t xml:space="preserve">No leaderboard, no ranking query, no comparison UI exists anywhere in the codebase.</w:t>
      </w:r>
    </w:p>
    <w:p>
      <w:r>
        <w:br w:type="page"/>
      </w:r>
    </w:p>
    <w:p>
      <w:pPr>
        <w:pStyle w:val="Heading1"/>
        <w:spacing w:after="180" w:before="360"/>
      </w:pPr>
      <w:r>
        <w:rPr>
          <w:rFonts w:ascii="Calibri" w:cs="Calibri" w:eastAsia="Calibri" w:hAnsi="Calibri"/>
          <w:b/>
          <w:bCs/>
          <w:color w:val="2E4057"/>
          <w:sz w:val="36"/>
          <w:szCs w:val="36"/>
        </w:rPr>
        <w:t xml:space="preserve">14.  Risks and open questions</w:t>
      </w:r>
    </w:p>
    <w:p>
      <w:pPr>
        <w:spacing w:after="120" w:before="60" w:line="300"/>
      </w:pPr>
      <w:r>
        <w:rPr>
          <w:rFonts w:ascii="Calibri" w:cs="Calibri" w:eastAsia="Calibri" w:hAnsi="Calibri"/>
          <w:b w:val="false"/>
          <w:bCs w:val="false"/>
          <w:i w:val="false"/>
          <w:iCs w:val="false"/>
          <w:color w:val="1A1A1A"/>
          <w:sz w:val="22"/>
          <w:szCs w:val="22"/>
        </w:rPr>
        <w:t xml:space="preserve">Surfaced here so they can be decided deliberately, not discovered mid-build.</w:t>
      </w:r>
    </w:p>
    <w:p>
      <w:pPr>
        <w:pStyle w:val="Heading2"/>
        <w:spacing w:after="140" w:before="280"/>
      </w:pPr>
      <w:r>
        <w:rPr>
          <w:rFonts w:ascii="Calibri" w:cs="Calibri" w:eastAsia="Calibri" w:hAnsi="Calibri"/>
          <w:b/>
          <w:bCs/>
          <w:color w:val="2E4057"/>
          <w:sz w:val="28"/>
          <w:szCs w:val="28"/>
        </w:rPr>
        <w:t xml:space="preserve">14.1  Strategic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3760"/>
      </w:tblGrid>
      <w:tr>
        <w:trPr>
          <w:tblHeader/>
        </w:trPr>
        <w:tc>
          <w:tcPr>
            <w:tcW w:type="dxa" w:w="32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Risk</w:t>
            </w:r>
          </w:p>
        </w:tc>
        <w:tc>
          <w:tcPr>
            <w:tcW w:type="dxa" w:w="12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Likelihood</w:t>
            </w:r>
          </w:p>
        </w:tc>
        <w:tc>
          <w:tcPr>
            <w:tcW w:type="dxa" w:w="12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Impact</w:t>
            </w:r>
          </w:p>
        </w:tc>
        <w:tc>
          <w:tcPr>
            <w:tcW w:type="dxa" w:w="376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Mitigation / owner</w:t>
            </w:r>
          </w:p>
        </w:tc>
      </w:tr>
      <w:tr>
        <w:tc>
          <w:tcPr>
            <w:tcW w:type="dxa" w:w="3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Device industrial design slips; Phase 3 stalls.</w:t>
            </w:r>
          </w:p>
        </w:tc>
        <w:tc>
          <w:tcPr>
            <w:tcW w:type="dxa" w:w="1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High</w:t>
            </w:r>
          </w:p>
        </w:tc>
        <w:tc>
          <w:tcPr>
            <w:tcW w:type="dxa" w:w="1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High</w:t>
            </w:r>
          </w:p>
        </w:tc>
        <w:tc>
          <w:tcPr>
            <w:tcW w:type="dxa" w:w="37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Start firmware on dev boards immediately; ship v1 public beta with Virtual Device only if needed. (Founder + firmware lead.)</w:t>
            </w:r>
          </w:p>
        </w:tc>
      </w:tr>
      <w:tr>
        <w:tc>
          <w:tcPr>
            <w:tcW w:type="dxa" w:w="32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vodozemac FFI integration is thornier than estimated (memory safety, build matrix across iOS/Android).</w:t>
            </w:r>
          </w:p>
        </w:tc>
        <w:tc>
          <w:tcPr>
            <w:tcW w:type="dxa" w:w="12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Medium</w:t>
            </w:r>
          </w:p>
        </w:tc>
        <w:tc>
          <w:tcPr>
            <w:tcW w:type="dxa" w:w="12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Medium</w:t>
            </w:r>
          </w:p>
        </w:tc>
        <w:tc>
          <w:tcPr>
            <w:tcW w:type="dxa" w:w="37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Budget 4–6 weeks for FFI bring-up; single-senior-engineer ownership; external crypto review of the wrapper. vodozemac has existing bindings for several languages which should reduce bring-up cost. (Security engineer.)</w:t>
            </w:r>
          </w:p>
        </w:tc>
      </w:tr>
      <w:tr>
        <w:tc>
          <w:tcPr>
            <w:tcW w:type="dxa" w:w="3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iOS silent-push throttling degrades glow-to-read SLO.</w:t>
            </w:r>
          </w:p>
        </w:tc>
        <w:tc>
          <w:tcPr>
            <w:tcW w:type="dxa" w:w="1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Medium</w:t>
            </w:r>
          </w:p>
        </w:tc>
        <w:tc>
          <w:tcPr>
            <w:tcW w:type="dxa" w:w="1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Medium</w:t>
            </w:r>
          </w:p>
        </w:tc>
        <w:tc>
          <w:tcPr>
            <w:tcW w:type="dxa" w:w="37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Design degrades gracefully to in-app arrival notice; publish realistic latency bands; Phase 3 SLO is p95 &lt;5s on Android, p95 &lt;15s on iOS. (Mobile lead.)</w:t>
            </w:r>
          </w:p>
        </w:tc>
      </w:tr>
      <w:tr>
        <w:tc>
          <w:tcPr>
            <w:tcW w:type="dxa" w:w="32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AWS KMS scheduled-deletion minimum is 7 days, not achievable sub-week.</w:t>
            </w:r>
          </w:p>
        </w:tc>
        <w:tc>
          <w:tcPr>
            <w:tcW w:type="dxa" w:w="12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Known constraint</w:t>
            </w:r>
          </w:p>
        </w:tc>
        <w:tc>
          <w:tcPr>
            <w:tcW w:type="dxa" w:w="12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Medium</w:t>
            </w:r>
          </w:p>
        </w:tc>
        <w:tc>
          <w:tcPr>
            <w:tcW w:type="dxa" w:w="37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Use daily-rotated customer-managed data keys wrapped by a long-lived KMS key; confirm in Phase 0. (SRE + security.)</w:t>
            </w:r>
          </w:p>
        </w:tc>
      </w:tr>
      <w:tr>
        <w:tc>
          <w:tcPr>
            <w:tcW w:type="dxa" w:w="3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Regulator interprets E2E + no-ID + unmoderated content as compliance issue in some market (UK OSA, AU TOLA).</w:t>
            </w:r>
          </w:p>
        </w:tc>
        <w:tc>
          <w:tcPr>
            <w:tcW w:type="dxa" w:w="1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Medium</w:t>
            </w:r>
          </w:p>
        </w:tc>
        <w:tc>
          <w:tcPr>
            <w:tcW w:type="dxa" w:w="1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Medium</w:t>
            </w:r>
          </w:p>
        </w:tc>
        <w:tc>
          <w:tcPr>
            <w:tcW w:type="dxa" w:w="37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EU-first launch; market-by-market legal review before expansion; the complaint flow and the Lamp materially strengthen the compliance posture. (Legal + founder.)</w:t>
            </w:r>
          </w:p>
        </w:tc>
      </w:tr>
      <w:tr>
        <w:tc>
          <w:tcPr>
            <w:tcW w:type="dxa" w:w="32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 high-profile Moat becomes a target for scraping or coordinated harm.</w:t>
            </w:r>
          </w:p>
        </w:tc>
        <w:tc>
          <w:tcPr>
            <w:tcW w:type="dxa" w:w="12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Medium</w:t>
            </w:r>
          </w:p>
        </w:tc>
        <w:tc>
          <w:tcPr>
            <w:tcW w:type="dxa" w:w="12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High</w:t>
            </w:r>
          </w:p>
        </w:tc>
        <w:tc>
          <w:tcPr>
            <w:tcW w:type="dxa" w:w="37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Anti-Sybil device requirement + composite code + complaint pipeline + deletion pipeline. (Security + SRE.)</w:t>
            </w:r>
          </w:p>
        </w:tc>
      </w:tr>
      <w:tr>
        <w:tc>
          <w:tcPr>
            <w:tcW w:type="dxa" w:w="3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Founder pressure to add ‘small, harmless’ growth mechanics.</w:t>
            </w:r>
          </w:p>
        </w:tc>
        <w:tc>
          <w:tcPr>
            <w:tcW w:type="dxa" w:w="1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Medium</w:t>
            </w:r>
          </w:p>
        </w:tc>
        <w:tc>
          <w:tcPr>
            <w:tcW w:type="dxa" w:w="1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Existential</w:t>
            </w:r>
          </w:p>
        </w:tc>
        <w:tc>
          <w:tcPr>
            <w:tcW w:type="dxa" w:w="37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Non-negotiable principles section is a governance document. Changes require founder sign-off in public. (Lead + founder.)</w:t>
            </w:r>
          </w:p>
        </w:tc>
      </w:tr>
    </w:tbl>
    <w:p>
      <w:pPr>
        <w:pStyle w:val="Heading2"/>
        <w:spacing w:after="140" w:before="280"/>
      </w:pPr>
      <w:r>
        <w:rPr>
          <w:rFonts w:ascii="Calibri" w:cs="Calibri" w:eastAsia="Calibri" w:hAnsi="Calibri"/>
          <w:b/>
          <w:bCs/>
          <w:color w:val="2E4057"/>
          <w:sz w:val="28"/>
          <w:szCs w:val="28"/>
        </w:rPr>
        <w:t xml:space="preserve">14.2  Open questions for the founder and lead</w:t>
      </w:r>
    </w:p>
    <w:p>
      <w:pPr>
        <w:pStyle w:val="ListParagraph"/>
        <w:numPr>
          <w:ilvl w:val="0"/>
          <w:numId w:val="3"/>
        </w:numPr>
        <w:spacing w:after="60" w:before="30" w:line="280"/>
      </w:pPr>
      <w:r>
        <w:rPr>
          <w:rFonts w:ascii="Calibri" w:cs="Calibri" w:eastAsia="Calibri" w:hAnsi="Calibri"/>
          <w:color w:val="1A1A1A"/>
          <w:sz w:val="22"/>
          <w:szCs w:val="22"/>
        </w:rPr>
        <w:t xml:space="preserve">Device form factor for Premium tier — single object vs. multiple form factors (desk / pocket / wearable)? Affects firmware scope.</w:t>
      </w:r>
    </w:p>
    <w:p>
      <w:pPr>
        <w:pStyle w:val="ListParagraph"/>
        <w:numPr>
          <w:ilvl w:val="0"/>
          <w:numId w:val="3"/>
        </w:numPr>
        <w:spacing w:after="60" w:before="30" w:line="280"/>
      </w:pPr>
      <w:r>
        <w:rPr>
          <w:rFonts w:ascii="Calibri" w:cs="Calibri" w:eastAsia="Calibri" w:hAnsi="Calibri"/>
          <w:color w:val="1A1A1A"/>
          <w:sz w:val="22"/>
          <w:szCs w:val="22"/>
        </w:rPr>
        <w:t xml:space="preserve">Device form factor for Simple tier — button, dial, or press-pad? Affects industrial design cost.</w:t>
      </w:r>
    </w:p>
    <w:p>
      <w:pPr>
        <w:pStyle w:val="ListParagraph"/>
        <w:numPr>
          <w:ilvl w:val="0"/>
          <w:numId w:val="3"/>
        </w:numPr>
        <w:spacing w:after="60" w:before="30" w:line="280"/>
      </w:pPr>
      <w:r>
        <w:rPr>
          <w:rFonts w:ascii="Calibri" w:cs="Calibri" w:eastAsia="Calibri" w:hAnsi="Calibri"/>
          <w:color w:val="1A1A1A"/>
          <w:sz w:val="22"/>
          <w:szCs w:val="22"/>
        </w:rPr>
        <w:t xml:space="preserve">Who manufactures the device and on what lead times? Required before month 2.</w:t>
      </w:r>
    </w:p>
    <w:p>
      <w:pPr>
        <w:pStyle w:val="ListParagraph"/>
        <w:numPr>
          <w:ilvl w:val="0"/>
          <w:numId w:val="3"/>
        </w:numPr>
        <w:spacing w:after="60" w:before="30" w:line="280"/>
      </w:pPr>
      <w:r>
        <w:rPr>
          <w:rFonts w:ascii="Calibri" w:cs="Calibri" w:eastAsia="Calibri" w:hAnsi="Calibri"/>
          <w:color w:val="1A1A1A"/>
          <w:sz w:val="22"/>
          <w:szCs w:val="22"/>
        </w:rPr>
        <w:t xml:space="preserve">Pricing model — tiered device purchase + optional subscription? Affects Stripe scope in Phase 4.</w:t>
      </w:r>
    </w:p>
    <w:p>
      <w:pPr>
        <w:pStyle w:val="ListParagraph"/>
        <w:numPr>
          <w:ilvl w:val="0"/>
          <w:numId w:val="3"/>
        </w:numPr>
        <w:spacing w:after="60" w:before="30" w:line="280"/>
      </w:pPr>
      <w:r>
        <w:rPr>
          <w:rFonts w:ascii="Calibri" w:cs="Calibri" w:eastAsia="Calibri" w:hAnsi="Calibri"/>
          <w:color w:val="1A1A1A"/>
          <w:sz w:val="22"/>
          <w:szCs w:val="22"/>
        </w:rPr>
        <w:t xml:space="preserve">Cost-concession path — self-declared only, or referral-based? Affects fraud risk on the Simple tier.</w:t>
      </w:r>
    </w:p>
    <w:p>
      <w:pPr>
        <w:pStyle w:val="ListParagraph"/>
        <w:numPr>
          <w:ilvl w:val="0"/>
          <w:numId w:val="3"/>
        </w:numPr>
        <w:spacing w:after="60" w:before="30" w:line="280"/>
      </w:pPr>
      <w:r>
        <w:rPr>
          <w:rFonts w:ascii="Calibri" w:cs="Calibri" w:eastAsia="Calibri" w:hAnsi="Calibri"/>
          <w:color w:val="1A1A1A"/>
          <w:sz w:val="22"/>
          <w:szCs w:val="22"/>
        </w:rPr>
        <w:t xml:space="preserve">Journal partner — which stationer? Print run size for launch?</w:t>
      </w:r>
    </w:p>
    <w:p>
      <w:pPr>
        <w:pStyle w:val="ListParagraph"/>
        <w:numPr>
          <w:ilvl w:val="0"/>
          <w:numId w:val="3"/>
        </w:numPr>
        <w:spacing w:after="60" w:before="30" w:line="280"/>
      </w:pPr>
      <w:r>
        <w:rPr>
          <w:rFonts w:ascii="Calibri" w:cs="Calibri" w:eastAsia="Calibri" w:hAnsi="Calibri"/>
          <w:color w:val="1A1A1A"/>
          <w:sz w:val="22"/>
          <w:szCs w:val="22"/>
        </w:rPr>
        <w:t xml:space="preserve">Exact content of the covenant as shipped — any wording differences from the Founding Document?</w:t>
      </w:r>
    </w:p>
    <w:p>
      <w:pPr>
        <w:pStyle w:val="ListParagraph"/>
        <w:numPr>
          <w:ilvl w:val="0"/>
          <w:numId w:val="3"/>
        </w:numPr>
        <w:spacing w:after="60" w:before="30" w:line="280"/>
      </w:pPr>
      <w:r>
        <w:rPr>
          <w:rFonts w:ascii="Calibri" w:cs="Calibri" w:eastAsia="Calibri" w:hAnsi="Calibri"/>
          <w:color w:val="1A1A1A"/>
          <w:sz w:val="22"/>
          <w:szCs w:val="22"/>
        </w:rPr>
        <w:t xml:space="preserve">Platform launch order — iOS first, Android first, or simultaneous? Affects Phase 4 scope.</w:t>
      </w:r>
    </w:p>
    <w:p>
      <w:pPr>
        <w:pStyle w:val="Heading2"/>
        <w:spacing w:after="140" w:before="280"/>
      </w:pPr>
      <w:r>
        <w:rPr>
          <w:rFonts w:ascii="Calibri" w:cs="Calibri" w:eastAsia="Calibri" w:hAnsi="Calibri"/>
          <w:b/>
          <w:bCs/>
          <w:color w:val="2E4057"/>
          <w:sz w:val="28"/>
          <w:szCs w:val="28"/>
        </w:rPr>
        <w:t xml:space="preserve">14.3  Things intentionally left out of v1</w:t>
      </w:r>
    </w:p>
    <w:p>
      <w:pPr>
        <w:pStyle w:val="ListParagraph"/>
        <w:numPr>
          <w:ilvl w:val="0"/>
          <w:numId w:val="2"/>
        </w:numPr>
        <w:spacing w:after="60" w:before="30" w:line="280"/>
      </w:pPr>
      <w:r>
        <w:rPr>
          <w:rFonts w:ascii="Calibri" w:cs="Calibri" w:eastAsia="Calibri" w:hAnsi="Calibri"/>
          <w:color w:val="1A1A1A"/>
          <w:sz w:val="22"/>
          <w:szCs w:val="22"/>
        </w:rPr>
        <w:t xml:space="preserve">The Unity ritual app itself — a separate build. This brief covers only the narrow linkage surface (section 5.3).</w:t>
      </w:r>
    </w:p>
    <w:p>
      <w:pPr>
        <w:pStyle w:val="ListParagraph"/>
        <w:numPr>
          <w:ilvl w:val="0"/>
          <w:numId w:val="2"/>
        </w:numPr>
        <w:spacing w:after="60" w:before="30" w:line="280"/>
      </w:pPr>
      <w:r>
        <w:rPr>
          <w:rFonts w:ascii="Calibri" w:cs="Calibri" w:eastAsia="Calibri" w:hAnsi="Calibri"/>
          <w:color w:val="1A1A1A"/>
          <w:sz w:val="22"/>
          <w:szCs w:val="22"/>
        </w:rPr>
        <w:t xml:space="preserve">Translation / internationalisation. English at launch; localisation in v2. (The Lamp resource list is already country-aware — that ships at v1.)</w:t>
      </w:r>
    </w:p>
    <w:p>
      <w:pPr>
        <w:pStyle w:val="ListParagraph"/>
        <w:numPr>
          <w:ilvl w:val="0"/>
          <w:numId w:val="2"/>
        </w:numPr>
        <w:spacing w:after="60" w:before="30" w:line="280"/>
      </w:pPr>
      <w:r>
        <w:rPr>
          <w:rFonts w:ascii="Calibri" w:cs="Calibri" w:eastAsia="Calibri" w:hAnsi="Calibri"/>
          <w:color w:val="1A1A1A"/>
          <w:sz w:val="22"/>
          <w:szCs w:val="22"/>
        </w:rPr>
        <w:t xml:space="preserve">Attachments (images, audio). Text-only at launch.</w:t>
      </w:r>
    </w:p>
    <w:p>
      <w:pPr>
        <w:pStyle w:val="ListParagraph"/>
        <w:numPr>
          <w:ilvl w:val="0"/>
          <w:numId w:val="2"/>
        </w:numPr>
        <w:spacing w:after="60" w:before="30" w:line="280"/>
      </w:pPr>
      <w:r>
        <w:rPr>
          <w:rFonts w:ascii="Calibri" w:cs="Calibri" w:eastAsia="Calibri" w:hAnsi="Calibri"/>
          <w:color w:val="1A1A1A"/>
          <w:sz w:val="22"/>
          <w:szCs w:val="22"/>
        </w:rPr>
        <w:t xml:space="preserve">Voice or video. Never.</w:t>
      </w:r>
    </w:p>
    <w:p>
      <w:pPr>
        <w:pStyle w:val="ListParagraph"/>
        <w:numPr>
          <w:ilvl w:val="0"/>
          <w:numId w:val="2"/>
        </w:numPr>
        <w:spacing w:after="60" w:before="30" w:line="280"/>
      </w:pPr>
      <w:r>
        <w:rPr>
          <w:rFonts w:ascii="Calibri" w:cs="Calibri" w:eastAsia="Calibri" w:hAnsi="Calibri"/>
          <w:color w:val="1A1A1A"/>
          <w:sz w:val="22"/>
          <w:szCs w:val="22"/>
        </w:rPr>
        <w:t xml:space="preserve">Cross-Moat interaction. Moats are islands. Bridges are a v3 conversation, maybe never.</w:t>
      </w:r>
    </w:p>
    <w:p>
      <w:pPr>
        <w:pStyle w:val="ListParagraph"/>
        <w:numPr>
          <w:ilvl w:val="0"/>
          <w:numId w:val="2"/>
        </w:numPr>
        <w:spacing w:after="60" w:before="30" w:line="280"/>
      </w:pPr>
      <w:r>
        <w:rPr>
          <w:rFonts w:ascii="Calibri" w:cs="Calibri" w:eastAsia="Calibri" w:hAnsi="Calibri"/>
          <w:color w:val="1A1A1A"/>
          <w:sz w:val="22"/>
          <w:szCs w:val="22"/>
        </w:rPr>
        <w:t xml:space="preserve">Any form of directory, search, discover, or explore.</w:t>
      </w:r>
    </w:p>
    <w:p>
      <w:r>
        <w:br w:type="page"/>
      </w:r>
    </w:p>
    <w:p>
      <w:pPr>
        <w:pStyle w:val="Heading1"/>
        <w:spacing w:after="180" w:before="360"/>
      </w:pPr>
      <w:r>
        <w:rPr>
          <w:rFonts w:ascii="Calibri" w:cs="Calibri" w:eastAsia="Calibri" w:hAnsi="Calibri"/>
          <w:b/>
          <w:bCs/>
          <w:color w:val="2E4057"/>
          <w:sz w:val="36"/>
          <w:szCs w:val="36"/>
        </w:rPr>
        <w:t xml:space="preserve">15.  Appendices</w:t>
      </w:r>
    </w:p>
    <w:p>
      <w:pPr>
        <w:pStyle w:val="Heading2"/>
        <w:spacing w:after="140" w:before="280"/>
      </w:pPr>
      <w:r>
        <w:rPr>
          <w:rFonts w:ascii="Calibri" w:cs="Calibri" w:eastAsia="Calibri" w:hAnsi="Calibri"/>
          <w:b/>
          <w:bCs/>
          <w:color w:val="2E4057"/>
          <w:sz w:val="28"/>
          <w:szCs w:val="28"/>
        </w:rPr>
        <w:t xml:space="preserve">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Term</w:t>
            </w:r>
          </w:p>
        </w:tc>
        <w:tc>
          <w:tcPr>
            <w:tcW w:type="dxa" w:w="696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Meaning in Moatly</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Couple</w:t>
            </w:r>
          </w:p>
        </w:tc>
        <w:tc>
          <w:tcPr>
            <w:tcW w:type="dxa" w:w="69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 host pairing the user selects at the start of a ritual playthrough. Owned by the Unity ritual app, not this codebase.</w:t>
            </w:r>
          </w:p>
        </w:tc>
      </w:tr>
      <w:tr>
        <w:tc>
          <w:tcPr>
            <w:tcW w:type="dxa" w:w="2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Covenant</w:t>
            </w:r>
          </w:p>
        </w:tc>
        <w:tc>
          <w:tcPr>
            <w:tcW w:type="dxa" w:w="69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three-clause agreement accepted at onboarding (Speak from the I. Witness without agenda. Keep what is said here inside.)</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Composite identity code</w:t>
            </w:r>
          </w:p>
        </w:tc>
        <w:tc>
          <w:tcPr>
            <w:tcW w:type="dxa" w:w="69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 per-session hash of hardware attestation + behavioural fingerprint + server nonce, used to answer ‘is this the same person?’ without persistent identification.</w:t>
            </w:r>
          </w:p>
        </w:tc>
      </w:tr>
      <w:tr>
        <w:tc>
          <w:tcPr>
            <w:tcW w:type="dxa" w:w="2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Complaint</w:t>
            </w:r>
          </w:p>
        </w:tc>
        <w:tc>
          <w:tcPr>
            <w:tcW w:type="dxa" w:w="69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 structured, encrypted flag filed by one Moat member against another’s conduct. Server never reads content; acts only on metadata thresholds.</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Cycle</w:t>
            </w:r>
          </w:p>
        </w:tc>
        <w:tc>
          <w:tcPr>
            <w:tcW w:type="dxa" w:w="69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 7-day period. Cycles begin and end simultaneously for all members of a Moat.</w:t>
            </w:r>
          </w:p>
        </w:tc>
      </w:tr>
      <w:tr>
        <w:tc>
          <w:tcPr>
            <w:tcW w:type="dxa" w:w="2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Device (Premium / Simple / Virtual)</w:t>
            </w:r>
          </w:p>
        </w:tc>
        <w:tc>
          <w:tcPr>
            <w:tcW w:type="dxa" w:w="69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physical or software authentication object with the glow. Three tiers exist so that cost is not a barrier.</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Fire scar</w:t>
            </w:r>
          </w:p>
        </w:tc>
        <w:tc>
          <w:tcPr>
            <w:tcW w:type="dxa" w:w="69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An arc colour on the rings marking a difficult cycle stayed through rather than fled.</w:t>
            </w:r>
          </w:p>
        </w:tc>
      </w:tr>
      <w:tr>
        <w:tc>
          <w:tcPr>
            <w:tcW w:type="dxa" w:w="2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Glow</w:t>
            </w:r>
          </w:p>
        </w:tc>
        <w:tc>
          <w:tcPr>
            <w:tcW w:type="dxa" w:w="69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physical light signal emitted by the device when a Major Statement is posted.</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Lamp</w:t>
            </w:r>
          </w:p>
        </w:tc>
        <w:tc>
          <w:tcPr>
            <w:tcW w:type="dxa" w:w="69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persistent in-app safety surface offering one-tap access to crisis resources in the user’s locale. Always visible. Never logged.</w:t>
            </w:r>
          </w:p>
        </w:tc>
      </w:tr>
      <w:tr>
        <w:tc>
          <w:tcPr>
            <w:tcW w:type="dxa" w:w="2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Linkage</w:t>
            </w:r>
          </w:p>
        </w:tc>
        <w:tc>
          <w:tcPr>
            <w:tcW w:type="dxa" w:w="69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narrow integration surface between this Moat app and the separate Unity ritual app: shared account ID, email relay, shared design tokens. Nothing else.</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Major Statement</w:t>
            </w:r>
          </w:p>
        </w:tc>
        <w:tc>
          <w:tcPr>
            <w:tcW w:type="dxa" w:w="69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 structured, six-field honest reflection post. At most one per user per cycle. Triggers glow events on other members’ devices.</w:t>
            </w:r>
          </w:p>
        </w:tc>
      </w:tr>
      <w:tr>
        <w:tc>
          <w:tcPr>
            <w:tcW w:type="dxa" w:w="2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Moat</w:t>
            </w:r>
          </w:p>
        </w:tc>
        <w:tc>
          <w:tcPr>
            <w:tcW w:type="dxa" w:w="69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 group of 8–12 anonymous practitioners in shared cycle.</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Pseudonym</w:t>
            </w:r>
          </w:p>
        </w:tc>
        <w:tc>
          <w:tcPr>
            <w:tcW w:type="dxa" w:w="69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 short, in-Moat handle (e.g. ‘Obsidian’, ‘Crane’). Not an account identifier.</w:t>
            </w:r>
          </w:p>
        </w:tc>
      </w:tr>
      <w:tr>
        <w:tc>
          <w:tcPr>
            <w:tcW w:type="dxa" w:w="2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Reassignment</w:t>
            </w:r>
          </w:p>
        </w:tc>
        <w:tc>
          <w:tcPr>
            <w:tcW w:type="dxa" w:w="69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Silent movement of a member from one Moat to another following threshold-breach complaints. No reason is given to the reassigned member.</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Ring</w:t>
            </w:r>
          </w:p>
        </w:tc>
        <w:tc>
          <w:tcPr>
            <w:tcW w:type="dxa" w:w="69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visible record of one cycle of practice. Rings accrue over years. Private to the user.</w:t>
            </w:r>
          </w:p>
        </w:tc>
      </w:tr>
      <w:tr>
        <w:tc>
          <w:tcPr>
            <w:tcW w:type="dxa" w:w="2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Ritual</w:t>
            </w:r>
          </w:p>
        </w:tc>
        <w:tc>
          <w:tcPr>
            <w:tcW w:type="dxa" w:w="69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animated experience in the Unity app that culminates in a prescription. Not built here.</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Seed phrase</w:t>
            </w:r>
          </w:p>
        </w:tc>
        <w:tc>
          <w:tcPr>
            <w:tcW w:type="dxa" w:w="69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24-word BIP-39 phrase that derives the user’s local encryption keys. Handwritten in the journal. Never leaves the device.</w:t>
            </w:r>
          </w:p>
        </w:tc>
      </w:tr>
      <w:tr>
        <w:tc>
          <w:tcPr>
            <w:tcW w:type="dxa" w:w="2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Megolm session</w:t>
            </w:r>
          </w:p>
        </w:tc>
        <w:tc>
          <w:tcPr>
            <w:tcW w:type="dxa" w:w="69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per-group symmetric keying material used to encrypt group messages within a session window. Rotated at every cycle boundary and on any membership change. The Megolm/Olm equivalent of Signal's Sender Keys.</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Olm / Megolm</w:t>
            </w:r>
          </w:p>
        </w:tc>
        <w:tc>
          <w:tcPr>
            <w:tcW w:type="dxa" w:w="69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open-source cryptographic protocol family developed by the Matrix project. Olm handles 1-to-1 key exchange (Signal-Protocol-derived); Megolm handles group messaging. Apache 2.0 licensed. Implemented for us by the vodozemac Rust library.</w:t>
            </w:r>
          </w:p>
        </w:tc>
      </w:tr>
      <w:tr>
        <w:tc>
          <w:tcPr>
            <w:tcW w:type="dxa" w:w="2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Session (Megolm)</w:t>
            </w:r>
          </w:p>
        </w:tc>
        <w:tc>
          <w:tcPr>
            <w:tcW w:type="dxa" w:w="69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 period between Megolm session rotations. Conceptually analogous to an MLS epoch.</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vodozemac</w:t>
            </w:r>
          </w:p>
        </w:tc>
        <w:tc>
          <w:tcPr>
            <w:tcW w:type="dxa" w:w="69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Matrix Foundation's modern Rust implementation of Olm/Megolm. The library we use. Audited by Least Authority in 2022.</w:t>
            </w:r>
          </w:p>
        </w:tc>
      </w:tr>
      <w:tr>
        <w:tc>
          <w:tcPr>
            <w:tcW w:type="dxa" w:w="2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Two Questions</w:t>
            </w:r>
          </w:p>
        </w:tc>
        <w:tc>
          <w:tcPr>
            <w:tcW w:type="dxa" w:w="69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‘What do you want to fix?’ and ‘Why? For whom? To what end?’ — asked at onboarding and each cycle.</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Whisper</w:t>
            </w:r>
          </w:p>
        </w:tc>
        <w:tc>
          <w:tcPr>
            <w:tcW w:type="dxa" w:w="69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 short message in the Moat. The default message type.</w:t>
            </w:r>
          </w:p>
        </w:tc>
      </w:tr>
      <w:tr>
        <w:tc>
          <w:tcPr>
            <w:tcW w:type="dxa" w:w="2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Witness</w:t>
            </w:r>
          </w:p>
        </w:tc>
        <w:tc>
          <w:tcPr>
            <w:tcW w:type="dxa" w:w="69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 reply to another member’s whisper or major statement, posted ‘from the I’.</w:t>
            </w:r>
          </w:p>
        </w:tc>
      </w:tr>
    </w:tbl>
    <w:p>
      <w:pPr>
        <w:pStyle w:val="Heading2"/>
        <w:spacing w:after="140" w:before="280"/>
      </w:pPr>
      <w:r>
        <w:rPr>
          <w:rFonts w:ascii="Calibri" w:cs="Calibri" w:eastAsia="Calibri" w:hAnsi="Calibri"/>
          <w:b/>
          <w:bCs/>
          <w:color w:val="2E4057"/>
          <w:sz w:val="28"/>
          <w:szCs w:val="28"/>
        </w:rPr>
        <w:t xml:space="preserve">B.  Sample payloads</w:t>
      </w:r>
    </w:p>
    <w:p>
      <w:pPr>
        <w:pStyle w:val="Heading3"/>
        <w:spacing w:after="100" w:before="220"/>
      </w:pPr>
      <w:r>
        <w:rPr>
          <w:rFonts w:ascii="Calibri" w:cs="Calibri" w:eastAsia="Calibri" w:hAnsi="Calibri"/>
          <w:b/>
          <w:bCs/>
          <w:color w:val="1A1A1A"/>
          <w:sz w:val="24"/>
          <w:szCs w:val="24"/>
        </w:rPr>
        <w:t xml:space="preserve">B.1  Covenant acceptance</w:t>
      </w:r>
    </w:p>
    <w:p>
      <w:pPr>
        <w:shd w:fill="F2F2F2" w:color="auto" w:val="clear"/>
        <w:spacing w:after="120" w:before="120" w:line="260"/>
        <w:ind w:left="180" w:right="180"/>
      </w:pPr>
      <w:r>
        <w:rPr>
          <w:rFonts w:ascii="Consolas" w:cs="Consolas" w:eastAsia="Consolas" w:hAnsi="Consolas"/>
          <w:color w:val="1A1A1A"/>
          <w:sz w:val="20"/>
          <w:szCs w:val="20"/>
        </w:rPr>
        <w:t xml:space="preserve">POST /v1/accounts</w:t>
      </w:r>
      <w:r>
        <w:br/>
      </w:r>
      <w:r>
        <w:rPr>
          <w:rFonts w:ascii="Consolas" w:cs="Consolas" w:eastAsia="Consolas" w:hAnsi="Consolas"/>
          <w:color w:val="1A1A1A"/>
          <w:sz w:val="20"/>
          <w:szCs w:val="20"/>
        </w:rPr>
        <w:t xml:space="preserve">Content-Type: application/json</w:t>
      </w:r>
      <w:r>
        <w:br/>
      </w:r>
      <w:r>
        <w:rPr>
          <w:rFonts w:ascii="Consolas" w:cs="Consolas" w:eastAsia="Consolas" w:hAnsi="Consolas"/>
          <w:color w:val="1A1A1A"/>
          <w:sz w:val="20"/>
          <w:szCs w:val="20"/>
        </w:rPr>
        <w:t xml:space="preserve"/>
      </w:r>
      <w:r>
        <w:br/>
      </w:r>
      <w:r>
        <w:rPr>
          <w:rFonts w:ascii="Consolas" w:cs="Consolas" w:eastAsia="Consolas" w:hAnsi="Consolas"/>
          <w:color w:val="1A1A1A"/>
          <w:sz w:val="20"/>
          <w:szCs w:val="20"/>
        </w:rPr>
        <w:t xml:space="preserve">{</w:t>
      </w:r>
      <w:r>
        <w:br/>
      </w:r>
      <w:r>
        <w:rPr>
          <w:rFonts w:ascii="Consolas" w:cs="Consolas" w:eastAsia="Consolas" w:hAnsi="Consolas"/>
          <w:color w:val="1A1A1A"/>
          <w:sz w:val="20"/>
          <w:szCs w:val="20"/>
        </w:rPr>
        <w:t xml:space="preserve">  "covenant_hash": "9f2c8a…",     // sha256 of covenant text v1</w:t>
      </w:r>
      <w:r>
        <w:br/>
      </w:r>
      <w:r>
        <w:rPr>
          <w:rFonts w:ascii="Consolas" w:cs="Consolas" w:eastAsia="Consolas" w:hAnsi="Consolas"/>
          <w:color w:val="1A1A1A"/>
          <w:sz w:val="20"/>
          <w:szCs w:val="20"/>
        </w:rPr>
        <w:t xml:space="preserve">  "device_attestation": {</w:t>
      </w:r>
      <w:r>
        <w:br/>
      </w:r>
      <w:r>
        <w:rPr>
          <w:rFonts w:ascii="Consolas" w:cs="Consolas" w:eastAsia="Consolas" w:hAnsi="Consolas"/>
          <w:color w:val="1A1A1A"/>
          <w:sz w:val="20"/>
          <w:szCs w:val="20"/>
        </w:rPr>
        <w:t xml:space="preserve">    "hw_pubkey": "base64…",</w:t>
      </w:r>
      <w:r>
        <w:br/>
      </w:r>
      <w:r>
        <w:rPr>
          <w:rFonts w:ascii="Consolas" w:cs="Consolas" w:eastAsia="Consolas" w:hAnsi="Consolas"/>
          <w:color w:val="1A1A1A"/>
          <w:sz w:val="20"/>
          <w:szCs w:val="20"/>
        </w:rPr>
        <w:t xml:space="preserve">    "signature": "base64…"</w:t>
      </w:r>
      <w:r>
        <w:br/>
      </w:r>
      <w:r>
        <w:rPr>
          <w:rFonts w:ascii="Consolas" w:cs="Consolas" w:eastAsia="Consolas" w:hAnsi="Consolas"/>
          <w:color w:val="1A1A1A"/>
          <w:sz w:val="20"/>
          <w:szCs w:val="20"/>
        </w:rPr>
        <w:t xml:space="preserve">  },</w:t>
      </w:r>
      <w:r>
        <w:br/>
      </w:r>
      <w:r>
        <w:rPr>
          <w:rFonts w:ascii="Consolas" w:cs="Consolas" w:eastAsia="Consolas" w:hAnsi="Consolas"/>
          <w:color w:val="1A1A1A"/>
          <w:sz w:val="20"/>
          <w:szCs w:val="20"/>
        </w:rPr>
        <w:t xml:space="preserve">  "client_version": "ios-0.1.0"</w:t>
      </w:r>
      <w:r>
        <w:br/>
      </w:r>
      <w:r>
        <w:rPr>
          <w:rFonts w:ascii="Consolas" w:cs="Consolas" w:eastAsia="Consolas" w:hAnsi="Consolas"/>
          <w:color w:val="1A1A1A"/>
          <w:sz w:val="20"/>
          <w:szCs w:val="20"/>
        </w:rPr>
        <w:t xml:space="preserve">}</w:t>
      </w:r>
      <w:r>
        <w:br/>
      </w:r>
      <w:r>
        <w:rPr>
          <w:rFonts w:ascii="Consolas" w:cs="Consolas" w:eastAsia="Consolas" w:hAnsi="Consolas"/>
          <w:color w:val="1A1A1A"/>
          <w:sz w:val="20"/>
          <w:szCs w:val="20"/>
        </w:rPr>
        <w:t xml:space="preserve"/>
      </w:r>
      <w:r>
        <w:br/>
      </w:r>
      <w:r>
        <w:rPr>
          <w:rFonts w:ascii="Consolas" w:cs="Consolas" w:eastAsia="Consolas" w:hAnsi="Consolas"/>
          <w:color w:val="1A1A1A"/>
          <w:sz w:val="20"/>
          <w:szCs w:val="20"/>
        </w:rPr>
        <w:t xml:space="preserve">-- Response --</w:t>
      </w:r>
      <w:r>
        <w:br/>
      </w:r>
      <w:r>
        <w:rPr>
          <w:rFonts w:ascii="Consolas" w:cs="Consolas" w:eastAsia="Consolas" w:hAnsi="Consolas"/>
          <w:color w:val="1A1A1A"/>
          <w:sz w:val="20"/>
          <w:szCs w:val="20"/>
        </w:rPr>
        <w:t xml:space="preserve">201 Created</w:t>
      </w:r>
      <w:r>
        <w:br/>
      </w:r>
      <w:r>
        <w:rPr>
          <w:rFonts w:ascii="Consolas" w:cs="Consolas" w:eastAsia="Consolas" w:hAnsi="Consolas"/>
          <w:color w:val="1A1A1A"/>
          <w:sz w:val="20"/>
          <w:szCs w:val="20"/>
        </w:rPr>
        <w:t xml:space="preserve">{ "account_id": "b6f0…", "token": "eyJ…" }</w:t>
      </w:r>
    </w:p>
    <w:p>
      <w:pPr>
        <w:pStyle w:val="Heading3"/>
        <w:spacing w:after="100" w:before="220"/>
      </w:pPr>
      <w:r>
        <w:rPr>
          <w:rFonts w:ascii="Calibri" w:cs="Calibri" w:eastAsia="Calibri" w:hAnsi="Calibri"/>
          <w:b/>
          <w:bCs/>
          <w:color w:val="1A1A1A"/>
          <w:sz w:val="24"/>
          <w:szCs w:val="24"/>
        </w:rPr>
        <w:t xml:space="preserve">B.2  A Major Statement, before encryption</w:t>
      </w:r>
    </w:p>
    <w:p>
      <w:pPr>
        <w:shd w:fill="F2F2F2" w:color="auto" w:val="clear"/>
        <w:spacing w:after="120" w:before="120" w:line="260"/>
        <w:ind w:left="180" w:right="180"/>
      </w:pPr>
      <w:r>
        <w:rPr>
          <w:rFonts w:ascii="Consolas" w:cs="Consolas" w:eastAsia="Consolas" w:hAnsi="Consolas"/>
          <w:color w:val="1A1A1A"/>
          <w:sz w:val="20"/>
          <w:szCs w:val="20"/>
        </w:rPr>
        <w:t xml:space="preserve">{</w:t>
      </w:r>
      <w:r>
        <w:br/>
      </w:r>
      <w:r>
        <w:rPr>
          <w:rFonts w:ascii="Consolas" w:cs="Consolas" w:eastAsia="Consolas" w:hAnsi="Consolas"/>
          <w:color w:val="1A1A1A"/>
          <w:sz w:val="20"/>
          <w:szCs w:val="20"/>
        </w:rPr>
        <w:t xml:space="preserve">  "type": "major_statement",</w:t>
      </w:r>
      <w:r>
        <w:br/>
      </w:r>
      <w:r>
        <w:rPr>
          <w:rFonts w:ascii="Consolas" w:cs="Consolas" w:eastAsia="Consolas" w:hAnsi="Consolas"/>
          <w:color w:val="1A1A1A"/>
          <w:sz w:val="20"/>
          <w:szCs w:val="20"/>
        </w:rPr>
        <w:t xml:space="preserve">  "v": 1,</w:t>
      </w:r>
      <w:r>
        <w:br/>
      </w:r>
      <w:r>
        <w:rPr>
          <w:rFonts w:ascii="Consolas" w:cs="Consolas" w:eastAsia="Consolas" w:hAnsi="Consolas"/>
          <w:color w:val="1A1A1A"/>
          <w:sz w:val="20"/>
          <w:szCs w:val="20"/>
        </w:rPr>
        <w:t xml:space="preserve">  "fields": {</w:t>
      </w:r>
      <w:r>
        <w:br/>
      </w:r>
      <w:r>
        <w:rPr>
          <w:rFonts w:ascii="Consolas" w:cs="Consolas" w:eastAsia="Consolas" w:hAnsi="Consolas"/>
          <w:color w:val="1A1A1A"/>
          <w:sz w:val="20"/>
          <w:szCs w:val="20"/>
        </w:rPr>
        <w:t xml:space="preserve">    "role":           "the fixer",</w:t>
      </w:r>
      <w:r>
        <w:br/>
      </w:r>
      <w:r>
        <w:rPr>
          <w:rFonts w:ascii="Consolas" w:cs="Consolas" w:eastAsia="Consolas" w:hAnsi="Consolas"/>
          <w:color w:val="1A1A1A"/>
          <w:sz w:val="20"/>
          <w:szCs w:val="20"/>
        </w:rPr>
        <w:t xml:space="preserve">    "field":          "Monday morning stand-up",</w:t>
      </w:r>
      <w:r>
        <w:br/>
      </w:r>
      <w:r>
        <w:rPr>
          <w:rFonts w:ascii="Consolas" w:cs="Consolas" w:eastAsia="Consolas" w:hAnsi="Consolas"/>
          <w:color w:val="1A1A1A"/>
          <w:sz w:val="20"/>
          <w:szCs w:val="20"/>
        </w:rPr>
        <w:t xml:space="preserve">    "conflict":       "I volunteer for things I cannot deliver",</w:t>
      </w:r>
      <w:r>
        <w:br/>
      </w:r>
      <w:r>
        <w:rPr>
          <w:rFonts w:ascii="Consolas" w:cs="Consolas" w:eastAsia="Consolas" w:hAnsi="Consolas"/>
          <w:color w:val="1A1A1A"/>
          <w:sz w:val="20"/>
          <w:szCs w:val="20"/>
        </w:rPr>
        <w:t xml:space="preserve">    "judge":          "a manager from three jobs ago",</w:t>
      </w:r>
      <w:r>
        <w:br/>
      </w:r>
      <w:r>
        <w:rPr>
          <w:rFonts w:ascii="Consolas" w:cs="Consolas" w:eastAsia="Consolas" w:hAnsi="Consolas"/>
          <w:color w:val="1A1A1A"/>
          <w:sz w:val="20"/>
          <w:szCs w:val="20"/>
        </w:rPr>
        <w:t xml:space="preserve">    "which_question": "fix",</w:t>
      </w:r>
      <w:r>
        <w:br/>
      </w:r>
      <w:r>
        <w:rPr>
          <w:rFonts w:ascii="Consolas" w:cs="Consolas" w:eastAsia="Consolas" w:hAnsi="Consolas"/>
          <w:color w:val="1A1A1A"/>
          <w:sz w:val="20"/>
          <w:szCs w:val="20"/>
        </w:rPr>
        <w:t xml:space="preserve">    "spiral_position":"toward"</w:t>
      </w:r>
      <w:r>
        <w:br/>
      </w:r>
      <w:r>
        <w:rPr>
          <w:rFonts w:ascii="Consolas" w:cs="Consolas" w:eastAsia="Consolas" w:hAnsi="Consolas"/>
          <w:color w:val="1A1A1A"/>
          <w:sz w:val="20"/>
          <w:szCs w:val="20"/>
        </w:rPr>
        <w:t xml:space="preserve">  },</w:t>
      </w:r>
      <w:r>
        <w:br/>
      </w:r>
      <w:r>
        <w:rPr>
          <w:rFonts w:ascii="Consolas" w:cs="Consolas" w:eastAsia="Consolas" w:hAnsi="Consolas"/>
          <w:color w:val="1A1A1A"/>
          <w:sz w:val="20"/>
          <w:szCs w:val="20"/>
        </w:rPr>
        <w:t xml:space="preserve">  "body": "I said yes again, before I had even heard the end of the sentence."</w:t>
      </w:r>
      <w:r>
        <w:br/>
      </w:r>
      <w:r>
        <w:rPr>
          <w:rFonts w:ascii="Consolas" w:cs="Consolas" w:eastAsia="Consolas" w:hAnsi="Consolas"/>
          <w:color w:val="1A1A1A"/>
          <w:sz w:val="20"/>
          <w:szCs w:val="20"/>
        </w:rPr>
        <w:t xml:space="preserve">}</w:t>
      </w:r>
    </w:p>
    <w:p>
      <w:pPr>
        <w:pStyle w:val="Heading3"/>
        <w:spacing w:after="100" w:before="220"/>
      </w:pPr>
      <w:r>
        <w:rPr>
          <w:rFonts w:ascii="Calibri" w:cs="Calibri" w:eastAsia="Calibri" w:hAnsi="Calibri"/>
          <w:b/>
          <w:bCs/>
          <w:color w:val="1A1A1A"/>
          <w:sz w:val="24"/>
          <w:szCs w:val="24"/>
        </w:rPr>
        <w:t xml:space="preserve">B.3  A transparency report entry</w:t>
      </w:r>
    </w:p>
    <w:p>
      <w:pPr>
        <w:shd w:fill="F2F2F2" w:color="auto" w:val="clear"/>
        <w:spacing w:after="120" w:before="120" w:line="260"/>
        <w:ind w:left="180" w:right="180"/>
      </w:pPr>
      <w:r>
        <w:rPr>
          <w:rFonts w:ascii="Consolas" w:cs="Consolas" w:eastAsia="Consolas" w:hAnsi="Consolas"/>
          <w:color w:val="1A1A1A"/>
          <w:sz w:val="20"/>
          <w:szCs w:val="20"/>
        </w:rPr>
        <w:t xml:space="preserve">{</w:t>
      </w:r>
      <w:r>
        <w:br/>
      </w:r>
      <w:r>
        <w:rPr>
          <w:rFonts w:ascii="Consolas" w:cs="Consolas" w:eastAsia="Consolas" w:hAnsi="Consolas"/>
          <w:color w:val="1A1A1A"/>
          <w:sz w:val="20"/>
          <w:szCs w:val="20"/>
        </w:rPr>
        <w:t xml:space="preserve">  "period": "2026-Q2",</w:t>
      </w:r>
      <w:r>
        <w:br/>
      </w:r>
      <w:r>
        <w:rPr>
          <w:rFonts w:ascii="Consolas" w:cs="Consolas" w:eastAsia="Consolas" w:hAnsi="Consolas"/>
          <w:color w:val="1A1A1A"/>
          <w:sz w:val="20"/>
          <w:szCs w:val="20"/>
        </w:rPr>
        <w:t xml:space="preserve">  "deletion": {</w:t>
      </w:r>
      <w:r>
        <w:br/>
      </w:r>
      <w:r>
        <w:rPr>
          <w:rFonts w:ascii="Consolas" w:cs="Consolas" w:eastAsia="Consolas" w:hAnsi="Consolas"/>
          <w:color w:val="1A1A1A"/>
          <w:sz w:val="20"/>
          <w:szCs w:val="20"/>
        </w:rPr>
        <w:t xml:space="preserve">    "cycles_completed": 13,</w:t>
      </w:r>
      <w:r>
        <w:br/>
      </w:r>
      <w:r>
        <w:rPr>
          <w:rFonts w:ascii="Consolas" w:cs="Consolas" w:eastAsia="Consolas" w:hAnsi="Consolas"/>
          <w:color w:val="1A1A1A"/>
          <w:sz w:val="20"/>
          <w:szCs w:val="20"/>
        </w:rPr>
        <w:t xml:space="preserve">    "messages_expired": 184721,</w:t>
      </w:r>
      <w:r>
        <w:br/>
      </w:r>
      <w:r>
        <w:rPr>
          <w:rFonts w:ascii="Consolas" w:cs="Consolas" w:eastAsia="Consolas" w:hAnsi="Consolas"/>
          <w:color w:val="1A1A1A"/>
          <w:sz w:val="20"/>
          <w:szCs w:val="20"/>
        </w:rPr>
        <w:t xml:space="preserve">    "deletion_job_success_rate": 0.99994,</w:t>
      </w:r>
      <w:r>
        <w:br/>
      </w:r>
      <w:r>
        <w:rPr>
          <w:rFonts w:ascii="Consolas" w:cs="Consolas" w:eastAsia="Consolas" w:hAnsi="Consolas"/>
          <w:color w:val="1A1A1A"/>
          <w:sz w:val="20"/>
          <w:szCs w:val="20"/>
        </w:rPr>
        <w:t xml:space="preserve">    "failed_runs": [],</w:t>
      </w:r>
      <w:r>
        <w:br/>
      </w:r>
      <w:r>
        <w:rPr>
          <w:rFonts w:ascii="Consolas" w:cs="Consolas" w:eastAsia="Consolas" w:hAnsi="Consolas"/>
          <w:color w:val="1A1A1A"/>
          <w:sz w:val="20"/>
          <w:szCs w:val="20"/>
        </w:rPr>
        <w:t xml:space="preserve">    "kms_key_expiries_confirmed": 91</w:t>
      </w:r>
      <w:r>
        <w:br/>
      </w:r>
      <w:r>
        <w:rPr>
          <w:rFonts w:ascii="Consolas" w:cs="Consolas" w:eastAsia="Consolas" w:hAnsi="Consolas"/>
          <w:color w:val="1A1A1A"/>
          <w:sz w:val="20"/>
          <w:szCs w:val="20"/>
        </w:rPr>
        <w:t xml:space="preserve">  },</w:t>
      </w:r>
      <w:r>
        <w:br/>
      </w:r>
      <w:r>
        <w:rPr>
          <w:rFonts w:ascii="Consolas" w:cs="Consolas" w:eastAsia="Consolas" w:hAnsi="Consolas"/>
          <w:color w:val="1A1A1A"/>
          <w:sz w:val="20"/>
          <w:szCs w:val="20"/>
        </w:rPr>
        <w:t xml:space="preserve">  "lawful_orders": {</w:t>
      </w:r>
      <w:r>
        <w:br/>
      </w:r>
      <w:r>
        <w:rPr>
          <w:rFonts w:ascii="Consolas" w:cs="Consolas" w:eastAsia="Consolas" w:hAnsi="Consolas"/>
          <w:color w:val="1A1A1A"/>
          <w:sz w:val="20"/>
          <w:szCs w:val="20"/>
        </w:rPr>
        <w:t xml:space="preserve">    "received": 2,</w:t>
      </w:r>
      <w:r>
        <w:br/>
      </w:r>
      <w:r>
        <w:rPr>
          <w:rFonts w:ascii="Consolas" w:cs="Consolas" w:eastAsia="Consolas" w:hAnsi="Consolas"/>
          <w:color w:val="1A1A1A"/>
          <w:sz w:val="20"/>
          <w:szCs w:val="20"/>
        </w:rPr>
        <w:t xml:space="preserve">    "complied_with_metadata": 2,</w:t>
      </w:r>
      <w:r>
        <w:br/>
      </w:r>
      <w:r>
        <w:rPr>
          <w:rFonts w:ascii="Consolas" w:cs="Consolas" w:eastAsia="Consolas" w:hAnsi="Consolas"/>
          <w:color w:val="1A1A1A"/>
          <w:sz w:val="20"/>
          <w:szCs w:val="20"/>
        </w:rPr>
        <w:t xml:space="preserve">    "complied_with_content": 0,</w:t>
      </w:r>
      <w:r>
        <w:br/>
      </w:r>
      <w:r>
        <w:rPr>
          <w:rFonts w:ascii="Consolas" w:cs="Consolas" w:eastAsia="Consolas" w:hAnsi="Consolas"/>
          <w:color w:val="1A1A1A"/>
          <w:sz w:val="20"/>
          <w:szCs w:val="20"/>
        </w:rPr>
        <w:t xml:space="preserve">    "comment": "Content cannot be provided: the architecture ensures we do not hold it."</w:t>
      </w:r>
      <w:r>
        <w:br/>
      </w:r>
      <w:r>
        <w:rPr>
          <w:rFonts w:ascii="Consolas" w:cs="Consolas" w:eastAsia="Consolas" w:hAnsi="Consolas"/>
          <w:color w:val="1A1A1A"/>
          <w:sz w:val="20"/>
          <w:szCs w:val="20"/>
        </w:rPr>
        <w:t xml:space="preserve">  }</w:t>
      </w:r>
      <w:r>
        <w:br/>
      </w:r>
      <w:r>
        <w:rPr>
          <w:rFonts w:ascii="Consolas" w:cs="Consolas" w:eastAsia="Consolas" w:hAnsi="Consolas"/>
          <w:color w:val="1A1A1A"/>
          <w:sz w:val="20"/>
          <w:szCs w:val="20"/>
        </w:rPr>
        <w:t xml:space="preserve">}</w:t>
      </w:r>
    </w:p>
    <w:p>
      <w:pPr>
        <w:pStyle w:val="Heading2"/>
        <w:spacing w:after="140" w:before="280"/>
      </w:pPr>
      <w:r>
        <w:rPr>
          <w:rFonts w:ascii="Calibri" w:cs="Calibri" w:eastAsia="Calibri" w:hAnsi="Calibri"/>
          <w:b/>
          <w:bCs/>
          <w:color w:val="2E4057"/>
          <w:sz w:val="28"/>
          <w:szCs w:val="28"/>
        </w:rPr>
        <w:t xml:space="preserve">C.  Recommended ADRs for Phase 0</w:t>
      </w:r>
    </w:p>
    <w:p>
      <w:pPr>
        <w:pStyle w:val="ListParagraph"/>
        <w:numPr>
          <w:ilvl w:val="0"/>
          <w:numId w:val="3"/>
        </w:numPr>
        <w:spacing w:after="60" w:before="30" w:line="280"/>
      </w:pPr>
      <w:r>
        <w:rPr>
          <w:rFonts w:ascii="Calibri" w:cs="Calibri" w:eastAsia="Calibri" w:hAnsi="Calibri"/>
          <w:color w:val="1A1A1A"/>
          <w:sz w:val="22"/>
          <w:szCs w:val="22"/>
        </w:rPr>
        <w:t xml:space="preserve">ADR-001  Use Olm/Megolm via vodozemac (Apache 2.0, matches ADR-007) over libsignal (AGPL-3.0) or MLS (newer, less mature library ecosystem) for group messaging.</w:t>
      </w:r>
    </w:p>
    <w:p>
      <w:pPr>
        <w:pStyle w:val="ListParagraph"/>
        <w:numPr>
          <w:ilvl w:val="0"/>
          <w:numId w:val="3"/>
        </w:numPr>
        <w:spacing w:after="60" w:before="30" w:line="280"/>
      </w:pPr>
      <w:r>
        <w:rPr>
          <w:rFonts w:ascii="Calibri" w:cs="Calibri" w:eastAsia="Calibri" w:hAnsi="Calibri"/>
          <w:color w:val="1A1A1A"/>
          <w:sz w:val="22"/>
          <w:szCs w:val="22"/>
        </w:rPr>
        <w:t xml:space="preserve">ADR-002  Go for Moat service; Go or Node for account/linkage service.</w:t>
      </w:r>
    </w:p>
    <w:p>
      <w:pPr>
        <w:pStyle w:val="ListParagraph"/>
        <w:numPr>
          <w:ilvl w:val="0"/>
          <w:numId w:val="3"/>
        </w:numPr>
        <w:spacing w:after="60" w:before="30" w:line="280"/>
      </w:pPr>
      <w:r>
        <w:rPr>
          <w:rFonts w:ascii="Calibri" w:cs="Calibri" w:eastAsia="Calibri" w:hAnsi="Calibri"/>
          <w:color w:val="1A1A1A"/>
          <w:sz w:val="22"/>
          <w:szCs w:val="22"/>
        </w:rPr>
        <w:t xml:space="preserve">ADR-003  Use React Native (or Flutter — decision required) for mobile.</w:t>
      </w:r>
    </w:p>
    <w:p>
      <w:pPr>
        <w:pStyle w:val="ListParagraph"/>
        <w:numPr>
          <w:ilvl w:val="0"/>
          <w:numId w:val="3"/>
        </w:numPr>
        <w:spacing w:after="60" w:before="30" w:line="280"/>
      </w:pPr>
      <w:r>
        <w:rPr>
          <w:rFonts w:ascii="Calibri" w:cs="Calibri" w:eastAsia="Calibri" w:hAnsi="Calibri"/>
          <w:color w:val="1A1A1A"/>
          <w:sz w:val="22"/>
          <w:szCs w:val="22"/>
        </w:rPr>
        <w:t xml:space="preserve">ADR-004  Use nRF52840/nRF5340 for the device, single firmware image across Premium and Simple tiers.</w:t>
      </w:r>
    </w:p>
    <w:p>
      <w:pPr>
        <w:pStyle w:val="ListParagraph"/>
        <w:numPr>
          <w:ilvl w:val="0"/>
          <w:numId w:val="3"/>
        </w:numPr>
        <w:spacing w:after="60" w:before="30" w:line="280"/>
      </w:pPr>
      <w:r>
        <w:rPr>
          <w:rFonts w:ascii="Calibri" w:cs="Calibri" w:eastAsia="Calibri" w:hAnsi="Calibri"/>
          <w:color w:val="1A1A1A"/>
          <w:sz w:val="22"/>
          <w:szCs w:val="22"/>
        </w:rPr>
        <w:t xml:space="preserve">ADR-005  Postgres + Temporal for backend; no NoSQL.</w:t>
      </w:r>
    </w:p>
    <w:p>
      <w:pPr>
        <w:pStyle w:val="ListParagraph"/>
        <w:numPr>
          <w:ilvl w:val="0"/>
          <w:numId w:val="3"/>
        </w:numPr>
        <w:spacing w:after="60" w:before="30" w:line="280"/>
      </w:pPr>
      <w:r>
        <w:rPr>
          <w:rFonts w:ascii="Calibri" w:cs="Calibri" w:eastAsia="Calibri" w:hAnsi="Calibri"/>
          <w:color w:val="1A1A1A"/>
          <w:sz w:val="22"/>
          <w:szCs w:val="22"/>
        </w:rPr>
        <w:t xml:space="preserve">ADR-006  AWS EU-Frankfurt primary; Dublin failover.</w:t>
      </w:r>
    </w:p>
    <w:p>
      <w:pPr>
        <w:pStyle w:val="ListParagraph"/>
        <w:numPr>
          <w:ilvl w:val="0"/>
          <w:numId w:val="3"/>
        </w:numPr>
        <w:spacing w:after="60" w:before="30" w:line="280"/>
      </w:pPr>
      <w:r>
        <w:rPr>
          <w:rFonts w:ascii="Calibri" w:cs="Calibri" w:eastAsia="Calibri" w:hAnsi="Calibri"/>
          <w:color w:val="1A1A1A"/>
          <w:sz w:val="22"/>
          <w:szCs w:val="22"/>
        </w:rPr>
        <w:t xml:space="preserve">ADR-007  Apache 2.0 + Commons Clause for code; CC BY-NC-ND for content.</w:t>
      </w:r>
    </w:p>
    <w:p>
      <w:pPr>
        <w:pStyle w:val="ListParagraph"/>
        <w:numPr>
          <w:ilvl w:val="0"/>
          <w:numId w:val="3"/>
        </w:numPr>
        <w:spacing w:after="60" w:before="30" w:line="280"/>
      </w:pPr>
      <w:r>
        <w:rPr>
          <w:rFonts w:ascii="Calibri" w:cs="Calibri" w:eastAsia="Calibri" w:hAnsi="Calibri"/>
          <w:color w:val="1A1A1A"/>
          <w:sz w:val="22"/>
          <w:szCs w:val="22"/>
        </w:rPr>
        <w:t xml:space="preserve">ADR-008  Daily-rotated data encryption keys with 8-day life, wrapped by long-lived KMS root (works within KMS’s 7-day minimum scheduled-deletion).</w:t>
      </w:r>
    </w:p>
    <w:p>
      <w:pPr>
        <w:pStyle w:val="ListParagraph"/>
        <w:numPr>
          <w:ilvl w:val="0"/>
          <w:numId w:val="3"/>
        </w:numPr>
        <w:spacing w:after="60" w:before="30" w:line="280"/>
      </w:pPr>
      <w:r>
        <w:rPr>
          <w:rFonts w:ascii="Calibri" w:cs="Calibri" w:eastAsia="Calibri" w:hAnsi="Calibri"/>
          <w:color w:val="1A1A1A"/>
          <w:sz w:val="22"/>
          <w:szCs w:val="22"/>
        </w:rPr>
        <w:t xml:space="preserve">ADR-009  No third-party analytics SDKs — ever.</w:t>
      </w:r>
    </w:p>
    <w:p>
      <w:pPr>
        <w:pStyle w:val="ListParagraph"/>
        <w:numPr>
          <w:ilvl w:val="0"/>
          <w:numId w:val="3"/>
        </w:numPr>
        <w:spacing w:after="60" w:before="30" w:line="280"/>
      </w:pPr>
      <w:r>
        <w:rPr>
          <w:rFonts w:ascii="Calibri" w:cs="Calibri" w:eastAsia="Calibri" w:hAnsi="Calibri"/>
          <w:color w:val="1A1A1A"/>
          <w:sz w:val="22"/>
          <w:szCs w:val="22"/>
        </w:rPr>
        <w:t xml:space="preserve">ADR-010  Device + combination + composite identity as the sole production auth path, with three cost-tiered device options.</w:t>
      </w:r>
    </w:p>
    <w:p>
      <w:pPr>
        <w:pStyle w:val="ListParagraph"/>
        <w:numPr>
          <w:ilvl w:val="0"/>
          <w:numId w:val="3"/>
        </w:numPr>
        <w:spacing w:after="60" w:before="30" w:line="280"/>
      </w:pPr>
      <w:r>
        <w:rPr>
          <w:rFonts w:ascii="Calibri" w:cs="Calibri" w:eastAsia="Calibri" w:hAnsi="Calibri"/>
          <w:color w:val="1A1A1A"/>
          <w:sz w:val="22"/>
          <w:szCs w:val="22"/>
        </w:rPr>
        <w:t xml:space="preserve">ADR-011  Unity ritual app is a sibling application linked only via opaque account ID, email relay, and shared design tokens. No content ingress into our backend.</w:t>
      </w:r>
    </w:p>
    <w:p>
      <w:pPr>
        <w:pStyle w:val="ListParagraph"/>
        <w:numPr>
          <w:ilvl w:val="0"/>
          <w:numId w:val="3"/>
        </w:numPr>
        <w:spacing w:after="60" w:before="30" w:line="280"/>
      </w:pPr>
      <w:r>
        <w:rPr>
          <w:rFonts w:ascii="Calibri" w:cs="Calibri" w:eastAsia="Calibri" w:hAnsi="Calibri"/>
          <w:color w:val="1A1A1A"/>
          <w:sz w:val="22"/>
          <w:szCs w:val="22"/>
        </w:rPr>
        <w:t xml:space="preserve">ADR-012  The Lamp ships in every version from MVP onward, with an in-bundle resource list reviewed quarterly.</w:t>
      </w:r>
    </w:p>
    <w:p>
      <w:pPr>
        <w:pStyle w:val="ListParagraph"/>
        <w:numPr>
          <w:ilvl w:val="0"/>
          <w:numId w:val="3"/>
        </w:numPr>
        <w:spacing w:after="60" w:before="30" w:line="280"/>
      </w:pPr>
      <w:r>
        <w:rPr>
          <w:rFonts w:ascii="Calibri" w:cs="Calibri" w:eastAsia="Calibri" w:hAnsi="Calibri"/>
          <w:color w:val="1A1A1A"/>
          <w:sz w:val="22"/>
          <w:szCs w:val="22"/>
        </w:rPr>
        <w:t xml:space="preserve">ADR-013  Complaint and reassignment flow operates on metadata only; a content-reading moderation pathway is explicitly prohibited.</w:t>
      </w:r>
    </w:p>
    <w:p>
      <w:pPr>
        <w:pStyle w:val="Heading2"/>
        <w:spacing w:after="140" w:before="280"/>
      </w:pPr>
      <w:r>
        <w:rPr>
          <w:rFonts w:ascii="Calibri" w:cs="Calibri" w:eastAsia="Calibri" w:hAnsi="Calibri"/>
          <w:b/>
          <w:bCs/>
          <w:color w:val="2E4057"/>
          <w:sz w:val="28"/>
          <w:szCs w:val="28"/>
        </w:rPr>
        <w:t xml:space="preserve">D.  Closing note</w:t>
      </w:r>
    </w:p>
    <w:p>
      <w:pPr>
        <w:spacing w:after="120" w:before="60" w:line="300"/>
      </w:pPr>
      <w:r>
        <w:rPr>
          <w:rFonts w:ascii="Calibri" w:cs="Calibri" w:eastAsia="Calibri" w:hAnsi="Calibri"/>
          <w:b w:val="false"/>
          <w:bCs w:val="false"/>
          <w:i w:val="false"/>
          <w:iCs w:val="false"/>
          <w:color w:val="1A1A1A"/>
          <w:sz w:val="22"/>
          <w:szCs w:val="22"/>
        </w:rPr>
        <w:t xml:space="preserve">Everything about Moatly is an attempt to build a digital product that does not colonise the people who use it. The engineering choices in this brief — Megolm group messaging, seven-day cryptographic deletion, device-bound auth, open source, no analytics, no profiles — are not aesthetic preferences. They are the load-bearing commitments of a product that takes its users’ inner lives seriously.</w:t>
      </w:r>
    </w:p>
    <w:p>
      <w:pPr>
        <w:spacing w:after="120" w:before="60" w:line="300"/>
      </w:pPr>
      <w:r>
        <w:rPr>
          <w:rFonts w:ascii="Calibri" w:cs="Calibri" w:eastAsia="Calibri" w:hAnsi="Calibri"/>
          <w:b w:val="false"/>
          <w:bCs w:val="false"/>
          <w:i w:val="false"/>
          <w:iCs w:val="false"/>
          <w:color w:val="1A1A1A"/>
          <w:sz w:val="22"/>
          <w:szCs w:val="22"/>
        </w:rPr>
        <w:t xml:space="preserve">If a decision ever arises that tests these commitments against a commercial or engineering convenience, the commitments win. That is the contract. Everything else is implementation detail.</w:t>
      </w:r>
    </w:p>
    <w:p>
      <w:pPr>
        <w:spacing w:after="240" w:before="240"/>
      </w:pPr>
      <w:r>
        <w:t xml:space="preserve"/>
      </w:r>
    </w:p>
    <w:p>
      <w:pPr>
        <w:spacing w:after="120" w:before="240"/>
        <w:jc w:val="center"/>
      </w:pPr>
      <w:r>
        <w:rPr>
          <w:rFonts w:ascii="Calibri" w:cs="Calibri" w:eastAsia="Calibri" w:hAnsi="Calibri"/>
          <w:i/>
          <w:iCs/>
          <w:color w:val="4A4A4A"/>
          <w:sz w:val="22"/>
          <w:szCs w:val="22"/>
        </w:rPr>
        <w:t xml:space="preserve">— End of Build Brief —</w:t>
      </w:r>
    </w:p>
    <w:p>
      <w:pPr>
        <w:spacing w:after="0" w:before="80"/>
        <w:jc w:val="center"/>
      </w:pPr>
      <w:r>
        <w:rPr>
          <w:rFonts w:ascii="Calibri" w:cs="Calibri" w:eastAsia="Calibri" w:hAnsi="Calibri"/>
          <w:color w:val="4A4A4A"/>
          <w:sz w:val="20"/>
          <w:szCs w:val="20"/>
        </w:rPr>
        <w:t xml:space="preserve">Moatly  ·  April 2026  ·  Version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2E4057"/>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4057"/>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1A1A1A"/>
      <w:sz w:val="24"/>
      <w:szCs w:val="24"/>
    </w:rPr>
  </w:style>
  <w:style w:type="paragraph" w:styleId="Heading4">
    <w:name w:val="Heading 4"/>
    <w:basedOn w:val="Normal"/>
    <w:next w:val="Normal"/>
    <w:qFormat/>
    <w:pPr>
      <w:spacing w:after="80" w:before="180"/>
      <w:outlineLvl w:val="3"/>
    </w:pPr>
    <w:rPr>
      <w:rFonts w:ascii="Calibri" w:cs="Calibri" w:eastAsia="Calibri" w:hAnsi="Calibri"/>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Moatly — Developer Build Brief</dc:title>
  <dc:creator>Moatly</dc:creator>
  <dc:description>Complete engineering brief for the Moatly platform, device, and rollout.</dc:description>
  <cp:lastModifiedBy>Un-named</cp:lastModifiedBy>
  <cp:revision>1</cp:revision>
  <dcterms:created xsi:type="dcterms:W3CDTF">2026-04-20T02:38:02.067Z</dcterms:created>
  <dcterms:modified xsi:type="dcterms:W3CDTF">2026-04-20T02:38:02.069Z</dcterms:modified>
</cp:coreProperties>
</file>

<file path=docProps/custom.xml><?xml version="1.0" encoding="utf-8"?>
<Properties xmlns="http://schemas.openxmlformats.org/officeDocument/2006/custom-properties" xmlns:vt="http://schemas.openxmlformats.org/officeDocument/2006/docPropsVTypes"/>
</file>