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200" w:before="0"/>
        <w:jc w:val="center"/>
      </w:pPr>
      <w:r>
        <w:rPr>
          <w:rFonts w:ascii="Calibri" w:cs="Calibri" w:eastAsia="Calibri" w:hAnsi="Calibri"/>
          <w:b/>
          <w:bCs/>
          <w:color w:val="2E4057"/>
          <w:spacing w:val="40"/>
          <w:sz w:val="88"/>
          <w:szCs w:val="88"/>
        </w:rPr>
        <w:t xml:space="preserve">MOATLY &amp; MOATS</w:t>
      </w:r>
    </w:p>
    <w:p>
      <w:pPr>
        <w:spacing w:after="180" w:before="0"/>
        <w:jc w:val="center"/>
      </w:pPr>
      <w:r>
        <w:rPr>
          <w:rFonts w:ascii="Calibri" w:cs="Calibri" w:eastAsia="Calibri" w:hAnsi="Calibri"/>
          <w:color w:val="1A1A1A"/>
          <w:sz w:val="40"/>
          <w:szCs w:val="40"/>
        </w:rPr>
        <w:t xml:space="preserve">Business Plan and System of Change</w:t>
      </w:r>
    </w:p>
    <w:p>
      <w:pPr>
        <w:spacing w:after="600" w:before="0"/>
        <w:jc w:val="center"/>
      </w:pPr>
      <w:r>
        <w:rPr>
          <w:rFonts w:ascii="Calibri" w:cs="Calibri" w:eastAsia="Calibri" w:hAnsi="Calibri"/>
          <w:i/>
          <w:iCs/>
          <w:color w:val="4A4A4A"/>
          <w:sz w:val="24"/>
          <w:szCs w:val="24"/>
        </w:rPr>
        <w:t xml:space="preserve">How the two apps work together, what they cost, and how they change people.</w:t>
      </w:r>
    </w:p>
    <w:p>
      <w:pPr>
        <w:pBdr>
          <w:bottom w:val="single" w:color="2E4057" w:sz="6" w:space="1"/>
        </w:pBdr>
        <w:spacing w:after="240" w:before="0"/>
        <w:jc w:val="center"/>
      </w:pPr>
      <w:r>
        <w:t xml:space="preserve"/>
      </w:r>
    </w:p>
    <w:p>
      <w:pPr>
        <w:spacing w:after="120" w:before="0"/>
        <w:jc w:val="center"/>
      </w:pPr>
      <w:r>
        <w:rPr>
          <w:rFonts w:ascii="Calibri" w:cs="Calibri" w:eastAsia="Calibri" w:hAnsi="Calibri"/>
          <w:sz w:val="22"/>
          <w:szCs w:val="22"/>
        </w:rPr>
        <w:t xml:space="preserve">Prepared for:  Founder, co-founders, operating partners</w:t>
      </w:r>
    </w:p>
    <w:p>
      <w:pPr>
        <w:spacing w:after="120" w:before="0"/>
        <w:jc w:val="center"/>
      </w:pPr>
      <w:r>
        <w:rPr>
          <w:rFonts w:ascii="Calibri" w:cs="Calibri" w:eastAsia="Calibri" w:hAnsi="Calibri"/>
          <w:sz w:val="22"/>
          <w:szCs w:val="22"/>
        </w:rPr>
        <w:t xml:space="preserve">Document version:  1.0   ·   Status:  Draft for review</w:t>
      </w:r>
    </w:p>
    <w:p>
      <w:pPr>
        <w:spacing w:after="120" w:before="0"/>
        <w:jc w:val="center"/>
      </w:pPr>
      <w:r>
        <w:rPr>
          <w:rFonts w:ascii="Calibri" w:cs="Calibri" w:eastAsia="Calibri" w:hAnsi="Calibri"/>
          <w:sz w:val="22"/>
          <w:szCs w:val="22"/>
        </w:rPr>
        <w:t xml:space="preserve">Date:  April 2026</w:t>
      </w:r>
    </w:p>
    <w:p>
      <w:r>
        <w:br w:type="page"/>
      </w:r>
    </w:p>
    <w:p>
      <w:pPr>
        <w:pStyle w:val="Heading1"/>
        <w:spacing w:after="180" w:before="360"/>
      </w:pPr>
      <w:r>
        <w:rPr>
          <w:rFonts w:ascii="Calibri" w:cs="Calibri" w:eastAsia="Calibri" w:hAnsi="Calibri"/>
          <w:b/>
          <w:bCs/>
          <w:color w:val="2E4057"/>
          <w:sz w:val="36"/>
          <w:szCs w:val="36"/>
        </w:rPr>
        <w:t xml:space="preserve">0.  How to read this document</w:t>
      </w:r>
    </w:p>
    <w:p>
      <w:pPr>
        <w:spacing w:after="120" w:before="60" w:line="300"/>
      </w:pPr>
      <w:r>
        <w:rPr>
          <w:rFonts w:ascii="Calibri" w:cs="Calibri" w:eastAsia="Calibri" w:hAnsi="Calibri"/>
          <w:b w:val="false"/>
          <w:bCs w:val="false"/>
          <w:i w:val="false"/>
          <w:iCs w:val="false"/>
          <w:color w:val="1A1A1A"/>
          <w:sz w:val="22"/>
          <w:szCs w:val="22"/>
        </w:rPr>
        <w:t xml:space="preserve">This is the business plan and theory-of-change document for Moatly. It sits alongside the Developer Build Brief (which specifies the engineering for MOATS, the practice app) and together they describe the complete product system: two apps, one vision, a sustainable small business model, and a clear account of what changes inside a user who uses both over time.</w:t>
      </w:r>
    </w:p>
    <w:p>
      <w:pPr>
        <w:spacing w:after="120" w:before="60" w:line="300"/>
      </w:pPr>
      <w:r>
        <w:rPr>
          <w:rFonts w:ascii="Calibri" w:cs="Calibri" w:eastAsia="Calibri" w:hAnsi="Calibri"/>
          <w:b w:val="false"/>
          <w:bCs w:val="false"/>
          <w:i w:val="false"/>
          <w:iCs w:val="false"/>
          <w:color w:val="1A1A1A"/>
          <w:sz w:val="22"/>
          <w:szCs w:val="22"/>
        </w:rPr>
        <w:t xml:space="preserve">The document takes positions. Where the founder has asked open questions — which apps belong on which devices, where to place the Two Questions, how to price gifting packages — this brief commits to a recommendation and explains the reasoning, so the recommendation can be argued with. Where genuine uncertainty remains, it is named.</w:t>
      </w:r>
    </w:p>
    <w:p>
      <w:pPr>
        <w:spacing w:after="120" w:before="60" w:line="300"/>
      </w:pPr>
      <w:r>
        <w:rPr>
          <w:rFonts w:ascii="Calibri" w:cs="Calibri" w:eastAsia="Calibri" w:hAnsi="Calibri"/>
          <w:b w:val="false"/>
          <w:bCs w:val="false"/>
          <w:i w:val="false"/>
          <w:iCs w:val="false"/>
          <w:color w:val="1A1A1A"/>
          <w:sz w:val="22"/>
          <w:szCs w:val="22"/>
        </w:rPr>
        <w:t xml:space="preserve">The tone throughout is that of a co-founder thinking in the room with you. Not a pitch deck. Not a PR document. A working paper.</w:t>
      </w:r>
    </w:p>
    <w:p>
      <w:pPr>
        <w:pStyle w:val="Heading2"/>
        <w:spacing w:after="140" w:before="280"/>
      </w:pPr>
      <w:r>
        <w:rPr>
          <w:rFonts w:ascii="Calibri" w:cs="Calibri" w:eastAsia="Calibri" w:hAnsi="Calibri"/>
          <w:b/>
          <w:bCs/>
          <w:color w:val="2E4057"/>
          <w:sz w:val="28"/>
          <w:szCs w:val="28"/>
        </w:rPr>
        <w:t xml:space="preserve">Document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Section</w:t>
            </w:r>
          </w:p>
        </w:tc>
        <w:tc>
          <w:tcPr>
            <w:tcW w:type="dxa" w:w="69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What it contains</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 Executive summary</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One-page account of the product, the business, and the numbers.</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 The vision</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What we are building and why it is different from the rest of the market.</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3. The two apps</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MOATLY (ritual, Unity, complete) and MOATS (practice, React Native, in build). How they relate commercially and experientially.</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 The system of change</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psychological and philosophical engine. What actually transforms a user over months and years.</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5. The user journey</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fictional user walked through 90 days of practice, day by day.</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6. Platform strategy</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Which app belongs on which device, and why screen size is a design decision about posture.</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7. Placing the Two Questions</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Recommendation on when in the flow to ask the Two Questions, and how it is implemented across two apps.</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8. Packaging and pricing</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Three gift-ready tiers with concrete prices, contents, and rationale.</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9. E-commerce architecture</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How the purchase → provisioning → delivery flow works across physical goods and digital access.</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10. Unit economics</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Per-user costs, revenue, margins, LTV, and the CAC ceiling this enables.</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11. Financial projections</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Three-year revenue and cost model, capital requirements (crowdfund + seed), and scenario sensitivity.</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12. Go-to-market</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How we reach the first 10,000 users without violating any principle in the founding documents.</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13. Risks to the business</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Distinct from the engineering risks in the build brief. Commercial, cultural, and strategic.</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14. Roadmap</w:t>
            </w:r>
          </w:p>
        </w:tc>
        <w:tc>
          <w:tcPr>
            <w:tcW w:type="dxa" w:w="6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Commercial milestones tied to the engineering phases in the build brief.</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15. Appendices</w:t>
            </w:r>
          </w:p>
        </w:tc>
        <w:tc>
          <w:tcPr>
            <w:tcW w:type="dxa" w:w="6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Glossary, assumptions, open questions.</w:t>
            </w:r>
          </w:p>
        </w:tc>
      </w:tr>
    </w:tbl>
    <w:p>
      <w:r>
        <w:br w:type="page"/>
      </w:r>
    </w:p>
    <w:p>
      <w:pPr>
        <w:pStyle w:val="Heading1"/>
        <w:spacing w:after="180" w:before="360"/>
      </w:pPr>
      <w:r>
        <w:rPr>
          <w:rFonts w:ascii="Calibri" w:cs="Calibri" w:eastAsia="Calibri" w:hAnsi="Calibri"/>
          <w:b/>
          <w:bCs/>
          <w:color w:val="2E4057"/>
          <w:sz w:val="36"/>
          <w:szCs w:val="36"/>
        </w:rPr>
        <w:t xml:space="preserve">1.  Executive summary</w:t>
      </w:r>
    </w:p>
    <w:p>
      <w:pPr>
        <w:pStyle w:val="Heading2"/>
        <w:spacing w:after="140" w:before="280"/>
      </w:pPr>
      <w:r>
        <w:rPr>
          <w:rFonts w:ascii="Calibri" w:cs="Calibri" w:eastAsia="Calibri" w:hAnsi="Calibri"/>
          <w:b/>
          <w:bCs/>
          <w:color w:val="2E4057"/>
          <w:sz w:val="28"/>
          <w:szCs w:val="28"/>
        </w:rPr>
        <w:t xml:space="preserve">1.1  In one paragraph</w:t>
      </w:r>
    </w:p>
    <w:p>
      <w:pPr>
        <w:spacing w:after="120" w:before="60" w:line="300"/>
      </w:pPr>
      <w:r>
        <w:rPr>
          <w:rFonts w:ascii="Calibri" w:cs="Calibri" w:eastAsia="Calibri" w:hAnsi="Calibri"/>
          <w:b w:val="false"/>
          <w:bCs w:val="false"/>
          <w:i w:val="false"/>
          <w:iCs w:val="false"/>
          <w:color w:val="1A1A1A"/>
          <w:sz w:val="22"/>
          <w:szCs w:val="22"/>
        </w:rPr>
        <w:t xml:space="preserve">Moatly is two apps that work together to produce a kind of change that neither produces alone. MOATLY is a twelve-minute archetypal ritual on the big screen — a tea-leaf reading with a host couple the user identifies with, ending in a prescription delivered by email. MOATS is a quiet, anonymous, encrypted witnessing chamber on the phone — a small group of eight to twelve people who meet across a seven-day cycle to bear witness to each other's practice. MOATLY generates revenue (subscription, gifting packages, hardware, tea). MOATS generates retention and transformation. The business is designed to be small, loyal, and sustainably profitable at fifty to two hundred thousand active subscribers — not optimised for venture-scale exits.</w:t>
      </w:r>
    </w:p>
    <w:p>
      <w:pPr>
        <w:pStyle w:val="Heading2"/>
        <w:spacing w:after="140" w:before="280"/>
      </w:pPr>
      <w:r>
        <w:rPr>
          <w:rFonts w:ascii="Calibri" w:cs="Calibri" w:eastAsia="Calibri" w:hAnsi="Calibri"/>
          <w:b/>
          <w:bCs/>
          <w:color w:val="2E4057"/>
          <w:sz w:val="28"/>
          <w:szCs w:val="28"/>
        </w:rPr>
        <w:t xml:space="preserve">1.2  The funnel</w:t>
      </w:r>
    </w:p>
    <w:p>
      <w:pPr>
        <w:spacing w:after="120" w:before="60" w:line="300"/>
      </w:pPr>
      <w:r>
        <w:rPr>
          <w:rFonts w:ascii="Calibri" w:cs="Calibri" w:eastAsia="Calibri" w:hAnsi="Calibri"/>
          <w:b w:val="false"/>
          <w:bCs w:val="false"/>
          <w:i w:val="false"/>
          <w:iCs w:val="false"/>
          <w:color w:val="1A1A1A"/>
          <w:sz w:val="22"/>
          <w:szCs w:val="22"/>
        </w:rPr>
        <w:t xml:space="preserve">A gift is the primary acquisition channel. A person buys a Keeper's Gift for someone they love. The recipient opens the journal, writes down a seed phrase, loads MOATLY on a larger screen, sits through the first ritual. The prescription lands in their inbox. They attempt the task in the world that day or the next. They open MOATS on their phone, enter the Moat, are met by strangers who have done the same, write their first whisper. A week later they return to MOATLY. The spiral has begun.</w:t>
      </w:r>
    </w:p>
    <w:p>
      <w:pPr>
        <w:pStyle w:val="Heading2"/>
        <w:spacing w:after="140" w:before="280"/>
      </w:pPr>
      <w:r>
        <w:rPr>
          <w:rFonts w:ascii="Calibri" w:cs="Calibri" w:eastAsia="Calibri" w:hAnsi="Calibri"/>
          <w:b/>
          <w:bCs/>
          <w:color w:val="2E4057"/>
          <w:sz w:val="28"/>
          <w:szCs w:val="28"/>
        </w:rPr>
        <w:t xml:space="preserve">1.3  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3360"/>
      </w:tblGrid>
      <w:tr>
        <w:trPr>
          <w:tblHeader/>
        </w:trPr>
        <w:tc>
          <w:tcPr>
            <w:tcW w:type="dxa" w:w="26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Metric</w:t>
            </w:r>
          </w:p>
        </w:tc>
        <w:tc>
          <w:tcPr>
            <w:tcW w:type="dxa" w:w="17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Year 1</w:t>
            </w:r>
          </w:p>
        </w:tc>
        <w:tc>
          <w:tcPr>
            <w:tcW w:type="dxa" w:w="17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Year 2</w:t>
            </w:r>
          </w:p>
        </w:tc>
        <w:tc>
          <w:tcPr>
            <w:tcW w:type="dxa" w:w="33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Year 3</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Active paying subscribers</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3,500</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15,000</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45,000</w:t>
            </w:r>
          </w:p>
        </w:tc>
      </w:tr>
      <w:tr>
        <w:tc>
          <w:tcPr>
            <w:tcW w:type="dxa" w:w="2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Markets open</w:t>
            </w:r>
          </w:p>
        </w:tc>
        <w:tc>
          <w:tcPr>
            <w:tcW w:type="dxa" w:w="17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 + NZ</w:t>
            </w:r>
          </w:p>
        </w:tc>
        <w:tc>
          <w:tcPr>
            <w:tcW w:type="dxa" w:w="17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 UK</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 US, SG, selective EU</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Revenue (approx)</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$900k</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$4.5M</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$13M</w:t>
            </w:r>
          </w:p>
        </w:tc>
      </w:tr>
      <w:tr>
        <w:tc>
          <w:tcPr>
            <w:tcW w:type="dxa" w:w="2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Gross margin</w:t>
            </w:r>
          </w:p>
        </w:tc>
        <w:tc>
          <w:tcPr>
            <w:tcW w:type="dxa" w:w="17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48%</w:t>
            </w:r>
          </w:p>
        </w:tc>
        <w:tc>
          <w:tcPr>
            <w:tcW w:type="dxa" w:w="17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66%</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69%</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EBITDA</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$1.4M)</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(~breakeven)</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$4.4M</w:t>
            </w:r>
          </w:p>
        </w:tc>
      </w:tr>
      <w:tr>
        <w:tc>
          <w:tcPr>
            <w:tcW w:type="dxa" w:w="2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Team size (FTE)</w:t>
            </w:r>
          </w:p>
        </w:tc>
        <w:tc>
          <w:tcPr>
            <w:tcW w:type="dxa" w:w="17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10</w:t>
            </w:r>
          </w:p>
        </w:tc>
        <w:tc>
          <w:tcPr>
            <w:tcW w:type="dxa" w:w="17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12</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14</w:t>
            </w:r>
          </w:p>
        </w:tc>
      </w:tr>
    </w:tbl>
    <w:p>
      <w:pPr>
        <w:spacing w:after="120" w:before="60" w:line="300"/>
      </w:pPr>
      <w:r>
        <w:rPr>
          <w:rFonts w:ascii="Calibri" w:cs="Calibri" w:eastAsia="Calibri" w:hAnsi="Calibri"/>
          <w:b w:val="false"/>
          <w:bCs w:val="false"/>
          <w:i w:val="false"/>
          <w:iCs w:val="false"/>
          <w:color w:val="1A1A1A"/>
          <w:sz w:val="22"/>
          <w:szCs w:val="22"/>
        </w:rPr>
        <w:t xml:space="preserve">Year 1 runs at a loss (the build year plus a soft launch in Australia and New Zealand). Year 2 adds the United Kingdom and reaches near-breakeven. Year 3 adds the United States, Singapore, and selective European markets, and turns strongly profitable. Plateau, reached around Year 5, is 100,000–250,000 subscribers globally and AUD $22–55M annual revenue. Profitable, small, genuinely loved. Not venture-scale. Deliberately.</w:t>
      </w:r>
    </w:p>
    <w:p>
      <w:pPr>
        <w:spacing w:after="120" w:before="60" w:line="300"/>
      </w:pPr>
      <w:r>
        <w:rPr>
          <w:rFonts w:ascii="Calibri" w:cs="Calibri" w:eastAsia="Calibri" w:hAnsi="Calibri"/>
          <w:b w:val="false"/>
          <w:bCs w:val="false"/>
          <w:i w:val="false"/>
          <w:iCs w:val="false"/>
          <w:color w:val="1A1A1A"/>
          <w:sz w:val="22"/>
          <w:szCs w:val="22"/>
        </w:rPr>
        <w:t xml:space="preserve">The first round of funding is a crowdfunding campaign in month 4–6, targeted at AUD $400k gross (stretch AUD $800k). The crowdfund replaces a conventional pre-seed equity round. A subsequent seed round of AUD $2.0M in month 10–12 funds inventory scaling and UK market entry. See sections 11.2 and 11.3 for detail.</w:t>
      </w:r>
    </w:p>
    <w:p>
      <w:pPr>
        <w:pStyle w:val="Heading2"/>
        <w:spacing w:after="140" w:before="280"/>
      </w:pPr>
      <w:r>
        <w:rPr>
          <w:rFonts w:ascii="Calibri" w:cs="Calibri" w:eastAsia="Calibri" w:hAnsi="Calibri"/>
          <w:b/>
          <w:bCs/>
          <w:color w:val="2E4057"/>
          <w:sz w:val="28"/>
          <w:szCs w:val="28"/>
        </w:rPr>
        <w:t xml:space="preserve">1.4  What makes this unusual</w:t>
      </w:r>
    </w:p>
    <w:p>
      <w:pPr>
        <w:spacing w:after="120" w:before="60" w:line="300"/>
      </w:pPr>
      <w:r>
        <w:rPr>
          <w:rFonts w:ascii="Calibri" w:cs="Calibri" w:eastAsia="Calibri" w:hAnsi="Calibri"/>
          <w:b w:val="false"/>
          <w:bCs w:val="false"/>
          <w:i w:val="false"/>
          <w:iCs w:val="false"/>
          <w:color w:val="1A1A1A"/>
          <w:sz w:val="22"/>
          <w:szCs w:val="22"/>
        </w:rPr>
        <w:t xml:space="preserve">Most consumer wellness apps at this scale are sustained by paid digital advertising, engagement-maximising mechanics, and data monetisation. Moatly refuses all three. That would normally be a business-killing handicap. In this specific case it is our primary competitive advantage.</w:t>
      </w:r>
    </w:p>
    <w:p>
      <w:pPr>
        <w:pStyle w:val="ListParagraph"/>
        <w:numPr>
          <w:ilvl w:val="0"/>
          <w:numId w:val="2"/>
        </w:numPr>
        <w:spacing w:after="60" w:before="30" w:line="280"/>
      </w:pPr>
      <w:r>
        <w:rPr>
          <w:rFonts w:ascii="Calibri" w:cs="Calibri" w:eastAsia="Calibri" w:hAnsi="Calibri"/>
          <w:color w:val="1A1A1A"/>
          <w:sz w:val="22"/>
          <w:szCs w:val="22"/>
        </w:rPr>
        <w:t xml:space="preserve">We are defensible because any competitor who copies the Moat concept has to copy the privacy commitments too — and they can’t, because they are funded by the things they would have to give up.</w:t>
      </w:r>
    </w:p>
    <w:p>
      <w:pPr>
        <w:pStyle w:val="ListParagraph"/>
        <w:numPr>
          <w:ilvl w:val="0"/>
          <w:numId w:val="2"/>
        </w:numPr>
        <w:spacing w:after="60" w:before="30" w:line="280"/>
      </w:pPr>
      <w:r>
        <w:rPr>
          <w:rFonts w:ascii="Calibri" w:cs="Calibri" w:eastAsia="Calibri" w:hAnsi="Calibri"/>
          <w:color w:val="1A1A1A"/>
          <w:sz w:val="22"/>
          <w:szCs w:val="22"/>
        </w:rPr>
        <w:t xml:space="preserve">Our retention will be structurally higher than apps whose users feel surveilled. People stay where they can be honest.</w:t>
      </w:r>
    </w:p>
    <w:p>
      <w:pPr>
        <w:pStyle w:val="ListParagraph"/>
        <w:numPr>
          <w:ilvl w:val="0"/>
          <w:numId w:val="2"/>
        </w:numPr>
        <w:spacing w:after="60" w:before="30" w:line="280"/>
      </w:pPr>
      <w:r>
        <w:rPr>
          <w:rFonts w:ascii="Calibri" w:cs="Calibri" w:eastAsia="Calibri" w:hAnsi="Calibri"/>
          <w:color w:val="1A1A1A"/>
          <w:sz w:val="22"/>
          <w:szCs w:val="22"/>
        </w:rPr>
        <w:t xml:space="preserve">Our gifting channel converts the absence of paid advertising into social-proof-at-purchase — every new user arrives endorsed by someone who loves them.</w:t>
      </w:r>
    </w:p>
    <w:p>
      <w:pPr>
        <w:pStyle w:val="ListParagraph"/>
        <w:numPr>
          <w:ilvl w:val="0"/>
          <w:numId w:val="2"/>
        </w:numPr>
        <w:spacing w:after="60" w:before="30" w:line="280"/>
      </w:pPr>
      <w:r>
        <w:rPr>
          <w:rFonts w:ascii="Calibri" w:cs="Calibri" w:eastAsia="Calibri" w:hAnsi="Calibri"/>
          <w:color w:val="1A1A1A"/>
          <w:sz w:val="22"/>
          <w:szCs w:val="22"/>
        </w:rPr>
        <w:t xml:space="preserve">Our word-of-mouth is engineered — the product is genuinely describable (‘my daughter gave me this thing; it’s strange and I can’t stop thinking about it’).</w:t>
      </w:r>
    </w:p>
    <w:p>
      <w:r>
        <w:br w:type="page"/>
      </w:r>
    </w:p>
    <w:p>
      <w:pPr>
        <w:pStyle w:val="Heading1"/>
        <w:spacing w:after="180" w:before="360"/>
      </w:pPr>
      <w:r>
        <w:rPr>
          <w:rFonts w:ascii="Calibri" w:cs="Calibri" w:eastAsia="Calibri" w:hAnsi="Calibri"/>
          <w:b/>
          <w:bCs/>
          <w:color w:val="2E4057"/>
          <w:sz w:val="36"/>
          <w:szCs w:val="36"/>
        </w:rPr>
        <w:t xml:space="preserve">2.  The vision</w:t>
      </w:r>
    </w:p>
    <w:p>
      <w:pPr>
        <w:spacing w:after="120" w:before="60" w:line="300"/>
      </w:pPr>
      <w:r>
        <w:rPr>
          <w:rFonts w:ascii="Calibri" w:cs="Calibri" w:eastAsia="Calibri" w:hAnsi="Calibri"/>
          <w:b w:val="false"/>
          <w:bCs w:val="false"/>
          <w:i w:val="false"/>
          <w:iCs w:val="false"/>
          <w:color w:val="1A1A1A"/>
          <w:sz w:val="22"/>
          <w:szCs w:val="22"/>
        </w:rPr>
        <w:t xml:space="preserve">The founding Declaration of Inner Rights makes the case at length. The business language is simpler: we are building the digital infrastructure for becoming more fully oneself.</w:t>
      </w:r>
    </w:p>
    <w:p>
      <w:pPr>
        <w:spacing w:after="120" w:before="60" w:line="300"/>
      </w:pPr>
      <w:r>
        <w:rPr>
          <w:rFonts w:ascii="Calibri" w:cs="Calibri" w:eastAsia="Calibri" w:hAnsi="Calibri"/>
          <w:b w:val="false"/>
          <w:bCs w:val="false"/>
          <w:i w:val="false"/>
          <w:iCs w:val="false"/>
          <w:color w:val="1A1A1A"/>
          <w:sz w:val="22"/>
          <w:szCs w:val="22"/>
        </w:rPr>
        <w:t xml:space="preserve">Most people in the developed world now spend more waking hours with their devices than with any single human relationship. Those devices are mostly extractive. They harvest attention, shape desire, interrupt thought, and monetise the cognitive residue. Even the nominally ‘wellness-oriented’ ones — meditation apps, journaling apps, therapy apps — operate inside the same business model and therefore cannot be what they claim to be.</w:t>
      </w:r>
    </w:p>
    <w:p>
      <w:pPr>
        <w:spacing w:after="120" w:before="60" w:line="300"/>
      </w:pPr>
      <w:r>
        <w:rPr>
          <w:rFonts w:ascii="Calibri" w:cs="Calibri" w:eastAsia="Calibri" w:hAnsi="Calibri"/>
          <w:b w:val="false"/>
          <w:bCs w:val="false"/>
          <w:i w:val="false"/>
          <w:iCs w:val="false"/>
          <w:color w:val="1A1A1A"/>
          <w:sz w:val="22"/>
          <w:szCs w:val="22"/>
        </w:rPr>
        <w:t xml:space="preserve">There is a market of people who have noticed this. Not everyone. Not most people. But enough people — in Australia and New Zealand probably 250,000 to 500,000 adults; globally, tens of millions — who would pay for a product that treats their inner life as sacred rather than as inventory.</w:t>
      </w:r>
    </w:p>
    <w:p>
      <w:pPr>
        <w:spacing w:after="120" w:before="60" w:line="300"/>
      </w:pPr>
      <w:r>
        <w:rPr>
          <w:rFonts w:ascii="Calibri" w:cs="Calibri" w:eastAsia="Calibri" w:hAnsi="Calibri"/>
          <w:b w:val="false"/>
          <w:bCs w:val="false"/>
          <w:i w:val="false"/>
          <w:iCs w:val="false"/>
          <w:color w:val="1A1A1A"/>
          <w:sz w:val="22"/>
          <w:szCs w:val="22"/>
        </w:rPr>
        <w:t xml:space="preserve">Moatly is that product. It is deliberately narrow in appeal. A typical user is someone in mid-life (30–65), comfortable with technology but increasingly suspicious of it, who has had enough therapy or practice or reading to know that something in them wants to be done differently but hasn't yet found the container for doing it. They are often a gift-giver of this kind of thing — the friend who buys a journal for everyone's birthday, the person who gives books.</w:t>
      </w:r>
    </w:p>
    <w:p>
      <w:pPr>
        <w:pStyle w:val="Heading2"/>
        <w:spacing w:after="140" w:before="280"/>
      </w:pPr>
      <w:r>
        <w:rPr>
          <w:rFonts w:ascii="Calibri" w:cs="Calibri" w:eastAsia="Calibri" w:hAnsi="Calibri"/>
          <w:b/>
          <w:bCs/>
          <w:color w:val="2E4057"/>
          <w:sz w:val="28"/>
          <w:szCs w:val="28"/>
        </w:rPr>
        <w:t xml:space="preserve">2.1  Launching from Australia — a clear-eyed acknowledgement</w:t>
      </w:r>
    </w:p>
    <w:p>
      <w:pPr>
        <w:spacing w:after="120" w:before="60" w:line="300"/>
      </w:pPr>
      <w:r>
        <w:rPr>
          <w:rFonts w:ascii="Calibri" w:cs="Calibri" w:eastAsia="Calibri" w:hAnsi="Calibri"/>
          <w:b w:val="false"/>
          <w:bCs w:val="false"/>
          <w:i w:val="false"/>
          <w:iCs w:val="false"/>
          <w:color w:val="1A1A1A"/>
          <w:sz w:val="22"/>
          <w:szCs w:val="22"/>
        </w:rPr>
        <w:t xml:space="preserve">Australia is not the easiest country in which to launch an end-to-end encrypted service. The Telecommunications and Other Legislation Amendment (Assistance and Access) Act 2018 — the TOLA Act — allows Australian authorities to compel technical assistance from providers, including in ways that could theoretically require us to weaken future builds. No equivalent law exists in New Zealand, the European Union, or (with caveats) the United Kingdom.</w:t>
      </w:r>
    </w:p>
    <w:p>
      <w:pPr>
        <w:spacing w:after="120" w:before="60" w:line="300"/>
      </w:pPr>
      <w:r>
        <w:rPr>
          <w:rFonts w:ascii="Calibri" w:cs="Calibri" w:eastAsia="Calibri" w:hAnsi="Calibri"/>
          <w:b w:val="false"/>
          <w:bCs w:val="false"/>
          <w:i w:val="false"/>
          <w:iCs w:val="false"/>
          <w:color w:val="1A1A1A"/>
          <w:sz w:val="22"/>
          <w:szCs w:val="22"/>
        </w:rPr>
        <w:t xml:space="preserve">We intend to launch in Australia anyway, for two reasons. The product team is Australian; the founding insight comes from here; serving this market first is honest. And the architecture itself provides substantial protection against the most likely TOLA use: we cannot decrypt past messages because the architecture does not store the keys, so a compelled content-disclosure notice has nothing to comply with.</w:t>
      </w:r>
    </w:p>
    <w:p>
      <w:pPr>
        <w:spacing w:after="120" w:before="60" w:line="300"/>
      </w:pPr>
      <w:r>
        <w:rPr>
          <w:rFonts w:ascii="Calibri" w:cs="Calibri" w:eastAsia="Calibri" w:hAnsi="Calibri"/>
          <w:b w:val="false"/>
          <w:bCs w:val="false"/>
          <w:i w:val="false"/>
          <w:iCs w:val="false"/>
          <w:color w:val="1A1A1A"/>
          <w:sz w:val="22"/>
          <w:szCs w:val="22"/>
        </w:rPr>
        <w:t xml:space="preserve">What we cannot protect against without deliberate jurisdictional structuring is a notice that compels us to ship a weakened future build. The mitigation, detailed in section 9.4, is to structure the company and its infrastructure across multiple jurisdictions so that compelled cooperation from any single one is insufficient to compromise the system. Legal counsel must be engaged before Phase 0 closes. This is the single most important early legal workstream.</w:t>
      </w:r>
    </w:p>
    <w:p>
      <w:pPr>
        <w:pStyle w:val="Heading2"/>
        <w:spacing w:after="140" w:before="280"/>
      </w:pPr>
      <w:r>
        <w:rPr>
          <w:rFonts w:ascii="Calibri" w:cs="Calibri" w:eastAsia="Calibri" w:hAnsi="Calibri"/>
          <w:b/>
          <w:bCs/>
          <w:color w:val="2E4057"/>
          <w:sz w:val="28"/>
          <w:szCs w:val="28"/>
        </w:rPr>
        <w:t xml:space="preserve">2.2  What we refuse to do</w:t>
      </w:r>
    </w:p>
    <w:p>
      <w:pPr>
        <w:spacing w:after="120" w:before="60" w:line="300"/>
      </w:pPr>
      <w:r>
        <w:rPr>
          <w:rFonts w:ascii="Calibri" w:cs="Calibri" w:eastAsia="Calibri" w:hAnsi="Calibri"/>
          <w:b w:val="false"/>
          <w:bCs w:val="false"/>
          <w:i w:val="false"/>
          <w:iCs w:val="false"/>
          <w:color w:val="1A1A1A"/>
          <w:sz w:val="22"/>
          <w:szCs w:val="22"/>
        </w:rPr>
        <w:t xml:space="preserve">These refusals are the product. They are restated here in business terms:</w:t>
      </w:r>
    </w:p>
    <w:p>
      <w:pPr>
        <w:pStyle w:val="ListParagraph"/>
        <w:numPr>
          <w:ilvl w:val="0"/>
          <w:numId w:val="2"/>
        </w:numPr>
        <w:spacing w:after="60" w:before="30" w:line="280"/>
      </w:pPr>
      <w:r>
        <w:rPr>
          <w:rFonts w:ascii="Calibri" w:cs="Calibri" w:eastAsia="Calibri" w:hAnsi="Calibri"/>
          <w:color w:val="1A1A1A"/>
          <w:sz w:val="22"/>
          <w:szCs w:val="22"/>
        </w:rPr>
        <w:t xml:space="preserve">No advertising. No sponsored content. No affiliate links. No paid digital advertising as a customer acquisition channel.</w:t>
      </w:r>
    </w:p>
    <w:p>
      <w:pPr>
        <w:pStyle w:val="ListParagraph"/>
        <w:numPr>
          <w:ilvl w:val="0"/>
          <w:numId w:val="2"/>
        </w:numPr>
        <w:spacing w:after="60" w:before="30" w:line="280"/>
      </w:pPr>
      <w:r>
        <w:rPr>
          <w:rFonts w:ascii="Calibri" w:cs="Calibri" w:eastAsia="Calibri" w:hAnsi="Calibri"/>
          <w:color w:val="1A1A1A"/>
          <w:sz w:val="22"/>
          <w:szCs w:val="22"/>
        </w:rPr>
        <w:t xml:space="preserve">No analytics that observes the user inside either app. No third-party SDKs that do.</w:t>
      </w:r>
    </w:p>
    <w:p>
      <w:pPr>
        <w:pStyle w:val="ListParagraph"/>
        <w:numPr>
          <w:ilvl w:val="0"/>
          <w:numId w:val="2"/>
        </w:numPr>
        <w:spacing w:after="60" w:before="30" w:line="280"/>
      </w:pPr>
      <w:r>
        <w:rPr>
          <w:rFonts w:ascii="Calibri" w:cs="Calibri" w:eastAsia="Calibri" w:hAnsi="Calibri"/>
          <w:color w:val="1A1A1A"/>
          <w:sz w:val="22"/>
          <w:szCs w:val="22"/>
        </w:rPr>
        <w:t xml:space="preserve">No ranking, curation, or algorithmic ordering. Content in MOATS is chronological in a single Moat; content in MOATLY follows authored archetypal paths.</w:t>
      </w:r>
    </w:p>
    <w:p>
      <w:pPr>
        <w:pStyle w:val="ListParagraph"/>
        <w:numPr>
          <w:ilvl w:val="0"/>
          <w:numId w:val="2"/>
        </w:numPr>
        <w:spacing w:after="60" w:before="30" w:line="280"/>
      </w:pPr>
      <w:r>
        <w:rPr>
          <w:rFonts w:ascii="Calibri" w:cs="Calibri" w:eastAsia="Calibri" w:hAnsi="Calibri"/>
          <w:color w:val="1A1A1A"/>
          <w:sz w:val="22"/>
          <w:szCs w:val="22"/>
        </w:rPr>
        <w:t xml:space="preserve">No data monetisation, even in aggregate, even with consent.</w:t>
      </w:r>
    </w:p>
    <w:p>
      <w:pPr>
        <w:pStyle w:val="ListParagraph"/>
        <w:numPr>
          <w:ilvl w:val="0"/>
          <w:numId w:val="2"/>
        </w:numPr>
        <w:spacing w:after="60" w:before="30" w:line="280"/>
      </w:pPr>
      <w:r>
        <w:rPr>
          <w:rFonts w:ascii="Calibri" w:cs="Calibri" w:eastAsia="Calibri" w:hAnsi="Calibri"/>
          <w:color w:val="1A1A1A"/>
          <w:sz w:val="22"/>
          <w:szCs w:val="22"/>
        </w:rPr>
        <w:t xml:space="preserve">No engagement-maximising mechanics. No streak pressure. No push notifications for re-engagement. No dark patterns.</w:t>
      </w:r>
    </w:p>
    <w:p>
      <w:pPr>
        <w:spacing w:after="120" w:before="60" w:line="300"/>
      </w:pPr>
      <w:r>
        <w:rPr>
          <w:rFonts w:ascii="Calibri" w:cs="Calibri" w:eastAsia="Calibri" w:hAnsi="Calibri"/>
          <w:b w:val="false"/>
          <w:bCs w:val="false"/>
          <w:i w:val="false"/>
          <w:iCs w:val="false"/>
          <w:color w:val="1A1A1A"/>
          <w:sz w:val="22"/>
          <w:szCs w:val="22"/>
        </w:rPr>
        <w:t xml:space="preserve">Every one of these refusals costs us revenue. In total they cost us the ability to look like a normal consumer tech company. In exchange we get something most consumer tech companies cannot buy: a product that people actually trust.</w:t>
      </w:r>
    </w:p>
    <w:p>
      <w:pPr>
        <w:pStyle w:val="Heading2"/>
        <w:spacing w:after="140" w:before="280"/>
      </w:pPr>
      <w:r>
        <w:rPr>
          <w:rFonts w:ascii="Calibri" w:cs="Calibri" w:eastAsia="Calibri" w:hAnsi="Calibri"/>
          <w:b/>
          <w:bCs/>
          <w:color w:val="2E4057"/>
          <w:sz w:val="28"/>
          <w:szCs w:val="28"/>
        </w:rPr>
        <w:t xml:space="preserve">2.3  Who this is for</w:t>
      </w:r>
    </w:p>
    <w:p>
      <w:pPr>
        <w:spacing w:after="120" w:before="60" w:line="300"/>
      </w:pPr>
      <w:r>
        <w:rPr>
          <w:rFonts w:ascii="Calibri" w:cs="Calibri" w:eastAsia="Calibri" w:hAnsi="Calibri"/>
          <w:b w:val="false"/>
          <w:bCs w:val="false"/>
          <w:i w:val="false"/>
          <w:iCs w:val="false"/>
          <w:color w:val="1A1A1A"/>
          <w:sz w:val="22"/>
          <w:szCs w:val="22"/>
        </w:rPr>
        <w:t xml:space="preserve">Three concentric audiences:</w:t>
      </w:r>
    </w:p>
    <w:p>
      <w:pPr>
        <w:pStyle w:val="Heading3"/>
        <w:spacing w:after="100" w:before="220"/>
      </w:pPr>
      <w:r>
        <w:rPr>
          <w:rFonts w:ascii="Calibri" w:cs="Calibri" w:eastAsia="Calibri" w:hAnsi="Calibri"/>
          <w:b/>
          <w:bCs/>
          <w:color w:val="1A1A1A"/>
          <w:sz w:val="24"/>
          <w:szCs w:val="24"/>
        </w:rPr>
        <w:t xml:space="preserve">Ring 1 — The seekers (~1% of the adult population in our launch markets)</w:t>
      </w:r>
    </w:p>
    <w:p>
      <w:pPr>
        <w:spacing w:after="120" w:before="60" w:line="300"/>
      </w:pPr>
      <w:r>
        <w:rPr>
          <w:rFonts w:ascii="Calibri" w:cs="Calibri" w:eastAsia="Calibri" w:hAnsi="Calibri"/>
          <w:b w:val="false"/>
          <w:bCs w:val="false"/>
          <w:i w:val="false"/>
          <w:iCs w:val="false"/>
          <w:color w:val="1A1A1A"/>
          <w:sz w:val="22"/>
          <w:szCs w:val="22"/>
        </w:rPr>
        <w:t xml:space="preserve">People who are actively looking for deeper practice. They read Jung, Hollis, Brené Brown, bell hooks, Weil, Helen Garner, Hugh Mackay. They have done therapy. They have tried meditation apps and been disappointed. In Australia plus New Zealand this is approximately 200,000 adults; in the Year-2 addition of the United Kingdom approximately another 500,000; in the Year-3 addition of the United States another 2 million. They are our founding cohort and our most durable subscribers.</w:t>
      </w:r>
    </w:p>
    <w:p>
      <w:pPr>
        <w:pStyle w:val="Heading3"/>
        <w:spacing w:after="100" w:before="220"/>
      </w:pPr>
      <w:r>
        <w:rPr>
          <w:rFonts w:ascii="Calibri" w:cs="Calibri" w:eastAsia="Calibri" w:hAnsi="Calibri"/>
          <w:b/>
          <w:bCs/>
          <w:color w:val="1A1A1A"/>
          <w:sz w:val="24"/>
          <w:szCs w:val="24"/>
        </w:rPr>
        <w:t xml:space="preserve">Ring 2 — The gifted (~5–10% of the adult population)</w:t>
      </w:r>
    </w:p>
    <w:p>
      <w:pPr>
        <w:spacing w:after="120" w:before="60" w:line="300"/>
      </w:pPr>
      <w:r>
        <w:rPr>
          <w:rFonts w:ascii="Calibri" w:cs="Calibri" w:eastAsia="Calibri" w:hAnsi="Calibri"/>
          <w:b w:val="false"/>
          <w:bCs w:val="false"/>
          <w:i w:val="false"/>
          <w:iCs w:val="false"/>
          <w:color w:val="1A1A1A"/>
          <w:sz w:val="22"/>
          <w:szCs w:val="22"/>
        </w:rPr>
        <w:t xml:space="preserve">People who would not have sought Moatly out themselves, but who receive it from someone in Ring 1 who loves them. This is our primary growth engine. A Ring 1 gifter creates roughly two to five Ring 2 recipients per year over time.</w:t>
      </w:r>
    </w:p>
    <w:p>
      <w:pPr>
        <w:pStyle w:val="Heading3"/>
        <w:spacing w:after="100" w:before="220"/>
      </w:pPr>
      <w:r>
        <w:rPr>
          <w:rFonts w:ascii="Calibri" w:cs="Calibri" w:eastAsia="Calibri" w:hAnsi="Calibri"/>
          <w:b/>
          <w:bCs/>
          <w:color w:val="1A1A1A"/>
          <w:sz w:val="24"/>
          <w:szCs w:val="24"/>
        </w:rPr>
        <w:t xml:space="preserve">Ring 3 — The culture-influenced (much larger, but reach-limited)</w:t>
      </w:r>
    </w:p>
    <w:p>
      <w:pPr>
        <w:spacing w:after="120" w:before="60" w:line="300"/>
      </w:pPr>
      <w:r>
        <w:rPr>
          <w:rFonts w:ascii="Calibri" w:cs="Calibri" w:eastAsia="Calibri" w:hAnsi="Calibri"/>
          <w:b w:val="false"/>
          <w:bCs w:val="false"/>
          <w:i w:val="false"/>
          <w:iCs w:val="false"/>
          <w:color w:val="1A1A1A"/>
          <w:sz w:val="22"/>
          <w:szCs w:val="22"/>
        </w:rPr>
        <w:t xml:space="preserve">People who encounter Moatly through editorial coverage, a podcast, a conference talk. Conversion from Ring 3 is lower than from Rings 1 and 2, but the ring is larger and contributes meaningfully once the product is culturally legible. In Australia the editorial entry points are named in section 12.</w:t>
      </w:r>
    </w:p>
    <w:p>
      <w:r>
        <w:br w:type="page"/>
      </w:r>
    </w:p>
    <w:p>
      <w:pPr>
        <w:pStyle w:val="Heading1"/>
        <w:spacing w:after="180" w:before="360"/>
      </w:pPr>
      <w:r>
        <w:rPr>
          <w:rFonts w:ascii="Calibri" w:cs="Calibri" w:eastAsia="Calibri" w:hAnsi="Calibri"/>
          <w:b/>
          <w:bCs/>
          <w:color w:val="2E4057"/>
          <w:sz w:val="36"/>
          <w:szCs w:val="36"/>
        </w:rPr>
        <w:t xml:space="preserve">3.  The two apps</w:t>
      </w:r>
    </w:p>
    <w:p>
      <w:pPr>
        <w:spacing w:after="120" w:before="60" w:line="300"/>
      </w:pPr>
      <w:r>
        <w:rPr>
          <w:rFonts w:ascii="Calibri" w:cs="Calibri" w:eastAsia="Calibri" w:hAnsi="Calibri"/>
          <w:b w:val="false"/>
          <w:bCs w:val="false"/>
          <w:i w:val="false"/>
          <w:iCs w:val="false"/>
          <w:color w:val="1A1A1A"/>
          <w:sz w:val="22"/>
          <w:szCs w:val="22"/>
        </w:rPr>
        <w:t xml:space="preserve">MOATLY and MOATS are distinct products with distinct commercial roles. A clear articulation of the difference is prerequisite to every downstream decision — pricing, platform strategy, content roadmap, marketing voice, everything.</w:t>
      </w:r>
    </w:p>
    <w:p>
      <w:pPr>
        <w:pStyle w:val="Heading2"/>
        <w:spacing w:after="140" w:before="280"/>
      </w:pPr>
      <w:r>
        <w:rPr>
          <w:rFonts w:ascii="Calibri" w:cs="Calibri" w:eastAsia="Calibri" w:hAnsi="Calibri"/>
          <w:b/>
          <w:bCs/>
          <w:color w:val="2E4057"/>
          <w:sz w:val="28"/>
          <w:szCs w:val="28"/>
        </w:rPr>
        <w:t xml:space="preserve">3.1  The comparison, line by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Dimension</w:t>
            </w:r>
          </w:p>
        </w:tc>
        <w:tc>
          <w:tcPr>
            <w:tcW w:type="dxa" w:w="378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MOATLY</w:t>
            </w:r>
          </w:p>
        </w:tc>
        <w:tc>
          <w:tcPr>
            <w:tcW w:type="dxa" w:w="378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MOATS</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What it is</w:t>
            </w:r>
          </w:p>
        </w:tc>
        <w:tc>
          <w:tcPr>
            <w:tcW w:type="dxa" w:w="37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twelve-minute archetypal ritual. A tea-leaf reading with a host couple.</w:t>
            </w:r>
          </w:p>
        </w:tc>
        <w:tc>
          <w:tcPr>
            <w:tcW w:type="dxa" w:w="37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small anonymous group of strangers witnessing each other across a seven-day cycle.</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Format</w:t>
            </w:r>
          </w:p>
        </w:tc>
        <w:tc>
          <w:tcPr>
            <w:tcW w:type="dxa" w:w="37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Animated, voiced, cinematic.</w:t>
            </w:r>
          </w:p>
        </w:tc>
        <w:tc>
          <w:tcPr>
            <w:tcW w:type="dxa" w:w="37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Text-only, quiet, encrypted.</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Length of a single use</w:t>
            </w:r>
          </w:p>
        </w:tc>
        <w:tc>
          <w:tcPr>
            <w:tcW w:type="dxa" w:w="37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10–12 minutes. Uninterrupted.</w:t>
            </w:r>
          </w:p>
        </w:tc>
        <w:tc>
          <w:tcPr>
            <w:tcW w:type="dxa" w:w="37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Ambient. A minute here, five minutes there, over seven days.</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Natural cadence</w:t>
            </w:r>
          </w:p>
        </w:tc>
        <w:tc>
          <w:tcPr>
            <w:tcW w:type="dxa" w:w="37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Once a week.</w:t>
            </w:r>
          </w:p>
        </w:tc>
        <w:tc>
          <w:tcPr>
            <w:tcW w:type="dxa" w:w="37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Every day or two.</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Device</w:t>
            </w:r>
          </w:p>
        </w:tc>
        <w:tc>
          <w:tcPr>
            <w:tcW w:type="dxa" w:w="37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Big screen — tablet, computer, TV.</w:t>
            </w:r>
          </w:p>
        </w:tc>
        <w:tc>
          <w:tcPr>
            <w:tcW w:type="dxa" w:w="37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Phone, in the pocket.</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Posture</w:t>
            </w:r>
          </w:p>
        </w:tc>
        <w:tc>
          <w:tcPr>
            <w:tcW w:type="dxa" w:w="37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Sat back. Lights low. Ritual.</w:t>
            </w:r>
          </w:p>
        </w:tc>
        <w:tc>
          <w:tcPr>
            <w:tcW w:type="dxa" w:w="37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Leaning in. Intimate. Private.</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Tone</w:t>
            </w:r>
          </w:p>
        </w:tc>
        <w:tc>
          <w:tcPr>
            <w:tcW w:type="dxa" w:w="37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Ceremonial. Mysterious. Dramatic.</w:t>
            </w:r>
          </w:p>
        </w:tc>
        <w:tc>
          <w:tcPr>
            <w:tcW w:type="dxa" w:w="37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Quiet. Held. Unhurried.</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Content model</w:t>
            </w:r>
          </w:p>
        </w:tc>
        <w:tc>
          <w:tcPr>
            <w:tcW w:type="dxa" w:w="37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Authored prescriptions; combinatorial path through an archetype library.</w:t>
            </w:r>
          </w:p>
        </w:tc>
        <w:tc>
          <w:tcPr>
            <w:tcW w:type="dxa" w:w="37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Peer witnessing; content is the user's own life.</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What the user pays for</w:t>
            </w:r>
          </w:p>
        </w:tc>
        <w:tc>
          <w:tcPr>
            <w:tcW w:type="dxa" w:w="37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ritual itself and its prescriptions.</w:t>
            </w:r>
          </w:p>
        </w:tc>
        <w:tc>
          <w:tcPr>
            <w:tcW w:type="dxa" w:w="37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Access to the witnessing chamber. Mostly bundled.</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Commercial role</w:t>
            </w:r>
          </w:p>
        </w:tc>
        <w:tc>
          <w:tcPr>
            <w:tcW w:type="dxa" w:w="37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Acquisition, gifting, monetisation.</w:t>
            </w:r>
          </w:p>
        </w:tc>
        <w:tc>
          <w:tcPr>
            <w:tcW w:type="dxa" w:w="37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Retention, transformation, word-of-mouth.</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Technical platform</w:t>
            </w:r>
          </w:p>
        </w:tc>
        <w:tc>
          <w:tcPr>
            <w:tcW w:type="dxa" w:w="37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Unity. Built. Shipping.</w:t>
            </w:r>
          </w:p>
        </w:tc>
        <w:tc>
          <w:tcPr>
            <w:tcW w:type="dxa" w:w="37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React Native (or Flutter). Building, per the Build Brief.</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Privacy model</w:t>
            </w:r>
          </w:p>
        </w:tc>
        <w:tc>
          <w:tcPr>
            <w:tcW w:type="dxa" w:w="37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Transactional. Account, ritual choices, email. Low PII.</w:t>
            </w:r>
          </w:p>
        </w:tc>
        <w:tc>
          <w:tcPr>
            <w:tcW w:type="dxa" w:w="37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E2E encrypted. Zero-knowledge server. Seven-day deletion.</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Who made it</w:t>
            </w:r>
          </w:p>
        </w:tc>
        <w:tc>
          <w:tcPr>
            <w:tcW w:type="dxa" w:w="37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Unity team, already delivered.</w:t>
            </w:r>
          </w:p>
        </w:tc>
        <w:tc>
          <w:tcPr>
            <w:tcW w:type="dxa" w:w="37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engineering team described in the Build Brief.</w:t>
            </w:r>
          </w:p>
        </w:tc>
      </w:tr>
    </w:tbl>
    <w:p>
      <w:pPr>
        <w:pStyle w:val="Heading2"/>
        <w:spacing w:after="140" w:before="280"/>
      </w:pPr>
      <w:r>
        <w:rPr>
          <w:rFonts w:ascii="Calibri" w:cs="Calibri" w:eastAsia="Calibri" w:hAnsi="Calibri"/>
          <w:b/>
          <w:bCs/>
          <w:color w:val="2E4057"/>
          <w:sz w:val="28"/>
          <w:szCs w:val="28"/>
        </w:rPr>
        <w:t xml:space="preserve">3.2  How they relate</w:t>
      </w:r>
    </w:p>
    <w:p>
      <w:pPr>
        <w:spacing w:after="120" w:before="60" w:line="300"/>
      </w:pPr>
      <w:r>
        <w:rPr>
          <w:rFonts w:ascii="Calibri" w:cs="Calibri" w:eastAsia="Calibri" w:hAnsi="Calibri"/>
          <w:b w:val="false"/>
          <w:bCs w:val="false"/>
          <w:i w:val="false"/>
          <w:iCs w:val="false"/>
          <w:color w:val="1A1A1A"/>
          <w:sz w:val="22"/>
          <w:szCs w:val="22"/>
        </w:rPr>
        <w:t xml:space="preserve">The commercial logic is a front-door / home model. MOATLY is the front door — the place where a new user first encounters the product, where the felt quality of the experience is highest, where the money is paid. MOATS is the home — the place where practice happens, where retention lives, where transformation accumulates.</w:t>
      </w:r>
    </w:p>
    <w:p>
      <w:pPr>
        <w:spacing w:after="120" w:before="60" w:line="300"/>
      </w:pPr>
      <w:r>
        <w:rPr>
          <w:rFonts w:ascii="Calibri" w:cs="Calibri" w:eastAsia="Calibri" w:hAnsi="Calibri"/>
          <w:b w:val="false"/>
          <w:bCs w:val="false"/>
          <w:i w:val="false"/>
          <w:iCs w:val="false"/>
          <w:color w:val="1A1A1A"/>
          <w:sz w:val="22"/>
          <w:szCs w:val="22"/>
        </w:rPr>
        <w:t xml:space="preserve">People pay for novelty and drama and ritual. They do not, typically, pay for quiet rooms. But they stay, for years, in quiet rooms that work. MOATLY monetises what people will pay for. MOATS delivers what they actually need. Each makes the other possible.</w:t>
      </w:r>
    </w:p>
    <w:p>
      <w:pPr>
        <w:pStyle w:val="Heading3"/>
        <w:spacing w:after="100" w:before="220"/>
      </w:pPr>
      <w:r>
        <w:rPr>
          <w:rFonts w:ascii="Calibri" w:cs="Calibri" w:eastAsia="Calibri" w:hAnsi="Calibri"/>
          <w:b/>
          <w:bCs/>
          <w:color w:val="1A1A1A"/>
          <w:sz w:val="24"/>
          <w:szCs w:val="24"/>
        </w:rPr>
        <w:t xml:space="preserve">3.2.1  The loop</w:t>
      </w:r>
    </w:p>
    <w:p>
      <w:pPr>
        <w:pStyle w:val="ListParagraph"/>
        <w:numPr>
          <w:ilvl w:val="0"/>
          <w:numId w:val="3"/>
        </w:numPr>
        <w:spacing w:after="60" w:before="30" w:line="280"/>
      </w:pPr>
      <w:r>
        <w:rPr>
          <w:rFonts w:ascii="Calibri" w:cs="Calibri" w:eastAsia="Calibri" w:hAnsi="Calibri"/>
          <w:color w:val="1A1A1A"/>
          <w:sz w:val="22"/>
          <w:szCs w:val="22"/>
        </w:rPr>
        <w:t xml:space="preserve">The user opens MOATLY on a larger screen. Twelve minutes of ritual. Host couple, cups, reading, archetype.</w:t>
      </w:r>
    </w:p>
    <w:p>
      <w:pPr>
        <w:pStyle w:val="ListParagraph"/>
        <w:numPr>
          <w:ilvl w:val="0"/>
          <w:numId w:val="3"/>
        </w:numPr>
        <w:spacing w:after="60" w:before="30" w:line="280"/>
      </w:pPr>
      <w:r>
        <w:rPr>
          <w:rFonts w:ascii="Calibri" w:cs="Calibri" w:eastAsia="Calibri" w:hAnsi="Calibri"/>
          <w:color w:val="1A1A1A"/>
          <w:sz w:val="22"/>
          <w:szCs w:val="22"/>
        </w:rPr>
        <w:t xml:space="preserve">An email arrives within minutes. Prescription: a focus quote, a real-world action or task, a mantra.</w:t>
      </w:r>
    </w:p>
    <w:p>
      <w:pPr>
        <w:pStyle w:val="ListParagraph"/>
        <w:numPr>
          <w:ilvl w:val="0"/>
          <w:numId w:val="3"/>
        </w:numPr>
        <w:spacing w:after="60" w:before="30" w:line="280"/>
      </w:pPr>
      <w:r>
        <w:rPr>
          <w:rFonts w:ascii="Calibri" w:cs="Calibri" w:eastAsia="Calibri" w:hAnsi="Calibri"/>
          <w:color w:val="1A1A1A"/>
          <w:sz w:val="22"/>
          <w:szCs w:val="22"/>
        </w:rPr>
        <w:t xml:space="preserve">Over the next 24–72 hours, the user attempts the task in their life. Imperfectly. They write about the attempt in their paper journal (which has prompts structured around the four-part framework — role, field, conflict, judge).</w:t>
      </w:r>
    </w:p>
    <w:p>
      <w:pPr>
        <w:pStyle w:val="ListParagraph"/>
        <w:numPr>
          <w:ilvl w:val="0"/>
          <w:numId w:val="3"/>
        </w:numPr>
        <w:spacing w:after="60" w:before="30" w:line="280"/>
      </w:pPr>
      <w:r>
        <w:rPr>
          <w:rFonts w:ascii="Calibri" w:cs="Calibri" w:eastAsia="Calibri" w:hAnsi="Calibri"/>
          <w:color w:val="1A1A1A"/>
          <w:sz w:val="22"/>
          <w:szCs w:val="22"/>
        </w:rPr>
        <w:t xml:space="preserve">The user opens MOATS on their phone. They share a whisper or, if the moment is big enough, a Major Statement. Other members witness them. They witness others.</w:t>
      </w:r>
    </w:p>
    <w:p>
      <w:pPr>
        <w:pStyle w:val="ListParagraph"/>
        <w:numPr>
          <w:ilvl w:val="0"/>
          <w:numId w:val="3"/>
        </w:numPr>
        <w:spacing w:after="60" w:before="30" w:line="280"/>
      </w:pPr>
      <w:r>
        <w:rPr>
          <w:rFonts w:ascii="Calibri" w:cs="Calibri" w:eastAsia="Calibri" w:hAnsi="Calibri"/>
          <w:color w:val="1A1A1A"/>
          <w:sz w:val="22"/>
          <w:szCs w:val="22"/>
        </w:rPr>
        <w:t xml:space="preserve">A week later the user returns to MOATLY, this time having done real work. The second reading lands on different soil. The prescriptions get more specific, more true. The cycle deepens.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Why both are needed</w:t>
            </w:r>
          </w:p>
          <w:p>
            <w:pPr>
              <w:spacing w:after="60" w:before="0" w:line="280"/>
            </w:pPr>
            <w:r>
              <w:rPr>
                <w:rFonts w:ascii="Calibri" w:cs="Calibri" w:eastAsia="Calibri" w:hAnsi="Calibri"/>
                <w:color w:val="1A1A1A"/>
                <w:sz w:val="22"/>
                <w:szCs w:val="22"/>
              </w:rPr>
              <w:t xml:space="preserve">MOATLY alone would be entertainment — a beautiful oracle that briefly moves someone, like a good novel, before fading. MOATS alone would be too demanding — a witnessing practice with no ritual to prompt the work and no prescription to direct it. Together they form an initiation structure: the ritual names the work, the practice does the work, the ritual names the next layer of the work, and so on for as many years as the user wants.</w:t>
            </w:r>
          </w:p>
        </w:tc>
      </w:tr>
    </w:tbl>
    <w:p>
      <w:pPr>
        <w:pStyle w:val="Heading2"/>
        <w:spacing w:after="140" w:before="280"/>
      </w:pPr>
      <w:r>
        <w:rPr>
          <w:rFonts w:ascii="Calibri" w:cs="Calibri" w:eastAsia="Calibri" w:hAnsi="Calibri"/>
          <w:b/>
          <w:bCs/>
          <w:color w:val="2E4057"/>
          <w:sz w:val="28"/>
          <w:szCs w:val="28"/>
        </w:rPr>
        <w:t xml:space="preserve">3.3  The gifting bundle as the commercial unit</w:t>
      </w:r>
    </w:p>
    <w:p>
      <w:pPr>
        <w:spacing w:after="120" w:before="60" w:line="300"/>
      </w:pPr>
      <w:r>
        <w:rPr>
          <w:rFonts w:ascii="Calibri" w:cs="Calibri" w:eastAsia="Calibri" w:hAnsi="Calibri"/>
          <w:b w:val="false"/>
          <w:bCs w:val="false"/>
          <w:i w:val="false"/>
          <w:iCs w:val="false"/>
          <w:color w:val="1A1A1A"/>
          <w:sz w:val="22"/>
          <w:szCs w:val="22"/>
        </w:rPr>
        <w:t xml:space="preserve">The central commercial insight of this business plan is that the natural purchase unit is a gift package, not a subscription. Three reasons:</w:t>
      </w:r>
    </w:p>
    <w:p>
      <w:pPr>
        <w:pStyle w:val="ListParagraph"/>
        <w:numPr>
          <w:ilvl w:val="0"/>
          <w:numId w:val="2"/>
        </w:numPr>
        <w:spacing w:after="60" w:before="30" w:line="280"/>
      </w:pPr>
      <w:r>
        <w:rPr>
          <w:rFonts w:ascii="Calibri" w:cs="Calibri" w:eastAsia="Calibri" w:hAnsi="Calibri"/>
          <w:color w:val="1A1A1A"/>
          <w:sz w:val="22"/>
          <w:szCs w:val="22"/>
        </w:rPr>
        <w:t xml:space="preserve">Gifting routes around the primary marketing constraint. We do not and will not do paid advertising; a gift-giver IS the advertising.</w:t>
      </w:r>
    </w:p>
    <w:p>
      <w:pPr>
        <w:pStyle w:val="ListParagraph"/>
        <w:numPr>
          <w:ilvl w:val="0"/>
          <w:numId w:val="2"/>
        </w:numPr>
        <w:spacing w:after="60" w:before="30" w:line="280"/>
      </w:pPr>
      <w:r>
        <w:rPr>
          <w:rFonts w:ascii="Calibri" w:cs="Calibri" w:eastAsia="Calibri" w:hAnsi="Calibri"/>
          <w:color w:val="1A1A1A"/>
          <w:sz w:val="22"/>
          <w:szCs w:val="22"/>
        </w:rPr>
        <w:t xml:space="preserve">Gift recipients have much higher first-month engagement than self-acquired users. Someone who loves them wants them to use this. The social contract is different.</w:t>
      </w:r>
    </w:p>
    <w:p>
      <w:pPr>
        <w:pStyle w:val="ListParagraph"/>
        <w:numPr>
          <w:ilvl w:val="0"/>
          <w:numId w:val="2"/>
        </w:numPr>
        <w:spacing w:after="60" w:before="30" w:line="280"/>
      </w:pPr>
      <w:r>
        <w:rPr>
          <w:rFonts w:ascii="Calibri" w:cs="Calibri" w:eastAsia="Calibri" w:hAnsi="Calibri"/>
          <w:color w:val="1A1A1A"/>
          <w:sz w:val="22"/>
          <w:szCs w:val="22"/>
        </w:rPr>
        <w:t xml:space="preserve">Gift buyers have much higher willingness to pay. Average order value on a gift purchase is routinely 2–5x the equivalent self-purchase, because people buy gifts at the price point that signals care.</w:t>
      </w:r>
    </w:p>
    <w:p>
      <w:pPr>
        <w:spacing w:after="120" w:before="60" w:line="300"/>
      </w:pPr>
      <w:r>
        <w:rPr>
          <w:rFonts w:ascii="Calibri" w:cs="Calibri" w:eastAsia="Calibri" w:hAnsi="Calibri"/>
          <w:b w:val="false"/>
          <w:bCs w:val="false"/>
          <w:i w:val="false"/>
          <w:iCs w:val="false"/>
          <w:color w:val="1A1A1A"/>
          <w:sz w:val="22"/>
          <w:szCs w:val="22"/>
        </w:rPr>
        <w:t xml:space="preserve">The funnel we build around this is described in sections 8 and 9.</w:t>
      </w:r>
    </w:p>
    <w:p>
      <w:r>
        <w:br w:type="page"/>
      </w:r>
    </w:p>
    <w:p>
      <w:pPr>
        <w:pStyle w:val="Heading1"/>
        <w:spacing w:after="180" w:before="360"/>
      </w:pPr>
      <w:r>
        <w:rPr>
          <w:rFonts w:ascii="Calibri" w:cs="Calibri" w:eastAsia="Calibri" w:hAnsi="Calibri"/>
          <w:b/>
          <w:bCs/>
          <w:color w:val="2E4057"/>
          <w:sz w:val="36"/>
          <w:szCs w:val="36"/>
        </w:rPr>
        <w:t xml:space="preserve">4.  The system of change</w:t>
      </w:r>
    </w:p>
    <w:p>
      <w:pPr>
        <w:spacing w:after="120" w:before="60" w:line="300"/>
      </w:pPr>
      <w:r>
        <w:rPr>
          <w:rFonts w:ascii="Calibri" w:cs="Calibri" w:eastAsia="Calibri" w:hAnsi="Calibri"/>
          <w:b w:val="false"/>
          <w:bCs w:val="false"/>
          <w:i w:val="false"/>
          <w:iCs w:val="false"/>
          <w:color w:val="1A1A1A"/>
          <w:sz w:val="22"/>
          <w:szCs w:val="22"/>
        </w:rPr>
        <w:t xml:space="preserve">This section describes the psychological engine that makes the two apps produce change in people. The founding documents name the pieces; this section assembles them into a single mechanism and makes specific claims about what it does and when.</w:t>
      </w:r>
    </w:p>
    <w:p>
      <w:pPr>
        <w:pStyle w:val="Heading2"/>
        <w:spacing w:after="140" w:before="280"/>
      </w:pPr>
      <w:r>
        <w:rPr>
          <w:rFonts w:ascii="Calibri" w:cs="Calibri" w:eastAsia="Calibri" w:hAnsi="Calibri"/>
          <w:b/>
          <w:bCs/>
          <w:color w:val="2E4057"/>
          <w:sz w:val="28"/>
          <w:szCs w:val="28"/>
        </w:rPr>
        <w:t xml:space="preserve">4.1  The premise</w:t>
      </w:r>
    </w:p>
    <w:p>
      <w:pPr>
        <w:spacing w:after="120" w:before="60" w:line="300"/>
      </w:pPr>
      <w:r>
        <w:rPr>
          <w:rFonts w:ascii="Calibri" w:cs="Calibri" w:eastAsia="Calibri" w:hAnsi="Calibri"/>
          <w:b w:val="false"/>
          <w:bCs w:val="false"/>
          <w:i w:val="false"/>
          <w:iCs w:val="false"/>
          <w:color w:val="1A1A1A"/>
          <w:sz w:val="22"/>
          <w:szCs w:val="22"/>
        </w:rPr>
        <w:t xml:space="preserve">The premise is inherited from a long philosophical tradition, restated in contemporary terms: a human being becomes more fully themselves through an ongoing cycle of (a) honest naming of what is not yet right, (b) attempted action in the direction of what would be right, (c) being witnessed in the attempt by people with no agenda in the outcome, (d) reflection that digests the attempt into self-knowledge, and (e) a deeper naming that starts the cycle again.</w:t>
      </w:r>
    </w:p>
    <w:p>
      <w:pPr>
        <w:spacing w:after="120" w:before="60" w:line="300"/>
      </w:pPr>
      <w:r>
        <w:rPr>
          <w:rFonts w:ascii="Calibri" w:cs="Calibri" w:eastAsia="Calibri" w:hAnsi="Calibri"/>
          <w:b w:val="false"/>
          <w:bCs w:val="false"/>
          <w:i w:val="false"/>
          <w:iCs w:val="false"/>
          <w:color w:val="1A1A1A"/>
          <w:sz w:val="22"/>
          <w:szCs w:val="22"/>
        </w:rPr>
        <w:t xml:space="preserve">This pattern has names in many traditions. Aristotle calls it eudaimonia. Jung calls it individuation. Weil names it rootedness. The Vedic tradition names it self-realisation. Jefferson, choosing his words with full philosophical intent, called it the pursuit of happiness. Different traditions, the same foundational structure.</w:t>
      </w:r>
    </w:p>
    <w:p>
      <w:pPr>
        <w:spacing w:after="120" w:before="60" w:line="300"/>
      </w:pPr>
      <w:r>
        <w:rPr>
          <w:rFonts w:ascii="Calibri" w:cs="Calibri" w:eastAsia="Calibri" w:hAnsi="Calibri"/>
          <w:b w:val="false"/>
          <w:bCs w:val="false"/>
          <w:i w:val="false"/>
          <w:iCs w:val="false"/>
          <w:color w:val="1A1A1A"/>
          <w:sz w:val="22"/>
          <w:szCs w:val="22"/>
        </w:rPr>
        <w:t xml:space="preserve">The structure cannot be completed alone. It requires a container. Therapy is one kind of container; membership in a religious community is another; a close friendship that lasts decades is a third. These containers are scarce. The ambition of Moatly is to build a scalable container that can do some, though not all, of what those ancient containers did.</w:t>
      </w:r>
    </w:p>
    <w:p>
      <w:pPr>
        <w:pStyle w:val="Heading2"/>
        <w:spacing w:after="140" w:before="280"/>
      </w:pPr>
      <w:r>
        <w:rPr>
          <w:rFonts w:ascii="Calibri" w:cs="Calibri" w:eastAsia="Calibri" w:hAnsi="Calibri"/>
          <w:b/>
          <w:bCs/>
          <w:color w:val="2E4057"/>
          <w:sz w:val="28"/>
          <w:szCs w:val="28"/>
        </w:rPr>
        <w:t xml:space="preserve">4.2  The four elements</w:t>
      </w:r>
    </w:p>
    <w:p>
      <w:pPr>
        <w:spacing w:after="120" w:before="60" w:line="300"/>
      </w:pPr>
      <w:r>
        <w:rPr>
          <w:rFonts w:ascii="Calibri" w:cs="Calibri" w:eastAsia="Calibri" w:hAnsi="Calibri"/>
          <w:b w:val="false"/>
          <w:bCs w:val="false"/>
          <w:i w:val="false"/>
          <w:iCs w:val="false"/>
          <w:color w:val="1A1A1A"/>
          <w:sz w:val="22"/>
          <w:szCs w:val="22"/>
        </w:rPr>
        <w:t xml:space="preserve">Four elements, working together, make up the change mechanism. Each corresponds to a specific surface in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tblHeader/>
        </w:trPr>
        <w:tc>
          <w:tcPr>
            <w:tcW w:type="dxa" w:w="1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Element</w:t>
            </w:r>
          </w:p>
        </w:tc>
        <w:tc>
          <w:tcPr>
            <w:tcW w:type="dxa" w:w="5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What it does</w:t>
            </w:r>
          </w:p>
        </w:tc>
        <w:tc>
          <w:tcPr>
            <w:tcW w:type="dxa" w:w="25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Where it lives</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Prescription</w:t>
            </w:r>
          </w:p>
        </w:tc>
        <w:tc>
          <w:tcPr>
            <w:tcW w:type="dxa" w:w="5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Names the work of the week. Translates archetypal insight into a real-world action small enough to be attempted.</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MOATLY → email to the user.</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Attempt</w:t>
            </w:r>
          </w:p>
        </w:tc>
        <w:tc>
          <w:tcPr>
            <w:tcW w:type="dxa" w:w="5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action in the user's actual life. Often failed. Always informative.</w:t>
            </w:r>
          </w:p>
        </w:tc>
        <w:tc>
          <w:tcPr>
            <w:tcW w:type="dxa" w:w="2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user's life. We do not observe it.</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Journal</w:t>
            </w:r>
          </w:p>
        </w:tc>
        <w:tc>
          <w:tcPr>
            <w:tcW w:type="dxa" w:w="5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Digests the attempt. The four-part framework (role, field, conflict, judge) turns a diffuse feeling into a legible map.</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Paper notebook. Offline.</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Witness</w:t>
            </w:r>
          </w:p>
        </w:tc>
        <w:tc>
          <w:tcPr>
            <w:tcW w:type="dxa" w:w="5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Someone outside the user's story sees the attempt clearly and reflects it back. This is what the user cannot do alone.</w:t>
            </w:r>
          </w:p>
        </w:tc>
        <w:tc>
          <w:tcPr>
            <w:tcW w:type="dxa" w:w="2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MOATS → the user's Moat.</w:t>
            </w:r>
          </w:p>
        </w:tc>
      </w:tr>
    </w:tbl>
    <w:p>
      <w:pPr>
        <w:spacing w:after="120" w:before="60" w:line="300"/>
      </w:pPr>
      <w:r>
        <w:rPr>
          <w:rFonts w:ascii="Calibri" w:cs="Calibri" w:eastAsia="Calibri" w:hAnsi="Calibri"/>
          <w:b w:val="false"/>
          <w:bCs w:val="false"/>
          <w:i w:val="false"/>
          <w:iCs w:val="false"/>
          <w:color w:val="1A1A1A"/>
          <w:sz w:val="22"/>
          <w:szCs w:val="22"/>
        </w:rPr>
        <w:t xml:space="preserve">Remove any one element and the system collapses into something less. Prescription without attempt is entertainment. Attempt without journal is forgotten by Tuesday. Journal without witness is private circling. Witness without prescription is support group without direction. All four together: a system.</w:t>
      </w:r>
    </w:p>
    <w:p>
      <w:pPr>
        <w:pStyle w:val="Heading2"/>
        <w:spacing w:after="140" w:before="280"/>
      </w:pPr>
      <w:r>
        <w:rPr>
          <w:rFonts w:ascii="Calibri" w:cs="Calibri" w:eastAsia="Calibri" w:hAnsi="Calibri"/>
          <w:b/>
          <w:bCs/>
          <w:color w:val="2E4057"/>
          <w:sz w:val="28"/>
          <w:szCs w:val="28"/>
        </w:rPr>
        <w:t xml:space="preserve">4.3  The Two Questions as the compass</w:t>
      </w:r>
    </w:p>
    <w:p>
      <w:pPr>
        <w:spacing w:after="120" w:before="60" w:line="300"/>
      </w:pPr>
      <w:r>
        <w:rPr>
          <w:rFonts w:ascii="Calibri" w:cs="Calibri" w:eastAsia="Calibri" w:hAnsi="Calibri"/>
          <w:b w:val="false"/>
          <w:bCs w:val="false"/>
          <w:i w:val="false"/>
          <w:iCs w:val="false"/>
          <w:color w:val="1A1A1A"/>
          <w:sz w:val="22"/>
          <w:szCs w:val="22"/>
        </w:rPr>
        <w:t xml:space="preserve">Inside the four-element cycle runs a pair of questions that the user is asked at signup and re-asked each week.</w:t>
      </w:r>
    </w:p>
    <w:p>
      <w:pPr>
        <w:pStyle w:val="Heading3"/>
        <w:spacing w:after="100" w:before="220"/>
      </w:pPr>
      <w:r>
        <w:rPr>
          <w:rFonts w:ascii="Calibri" w:cs="Calibri" w:eastAsia="Calibri" w:hAnsi="Calibri"/>
          <w:b/>
          <w:bCs/>
          <w:color w:val="1A1A1A"/>
          <w:sz w:val="24"/>
          <w:szCs w:val="24"/>
        </w:rPr>
        <w:t xml:space="preserve">What do you want to fix?</w:t>
      </w:r>
    </w:p>
    <w:p>
      <w:pPr>
        <w:spacing w:after="120" w:before="60" w:line="300"/>
      </w:pPr>
      <w:r>
        <w:rPr>
          <w:rFonts w:ascii="Calibri" w:cs="Calibri" w:eastAsia="Calibri" w:hAnsi="Calibri"/>
          <w:b w:val="false"/>
          <w:bCs w:val="false"/>
          <w:i w:val="false"/>
          <w:iCs w:val="false"/>
          <w:color w:val="1A1A1A"/>
          <w:sz w:val="22"/>
          <w:szCs w:val="22"/>
        </w:rPr>
        <w:t xml:space="preserve">This is the question of the wound. Not what you aspire to, not who you want to become, but what in your life is actively not working. The word ‘fix’ is doing precise work — it presupposes damage, which is grounded in the real, and it presupposes capability, which is grounded in agency. It harnesses the part of the user that already knows. Most users can answer this question immediately; they have been saying it to themselves for years.</w:t>
      </w:r>
    </w:p>
    <w:p>
      <w:pPr>
        <w:pStyle w:val="Heading3"/>
        <w:spacing w:after="100" w:before="220"/>
      </w:pPr>
      <w:r>
        <w:rPr>
          <w:rFonts w:ascii="Calibri" w:cs="Calibri" w:eastAsia="Calibri" w:hAnsi="Calibri"/>
          <w:b/>
          <w:bCs/>
          <w:color w:val="1A1A1A"/>
          <w:sz w:val="24"/>
          <w:szCs w:val="24"/>
        </w:rPr>
        <w:t xml:space="preserve">Why? For whom? To what end?</w:t>
      </w:r>
    </w:p>
    <w:p>
      <w:pPr>
        <w:spacing w:after="120" w:before="60" w:line="300"/>
      </w:pPr>
      <w:r>
        <w:rPr>
          <w:rFonts w:ascii="Calibri" w:cs="Calibri" w:eastAsia="Calibri" w:hAnsi="Calibri"/>
          <w:b w:val="false"/>
          <w:bCs w:val="false"/>
          <w:i w:val="false"/>
          <w:iCs w:val="false"/>
          <w:color w:val="1A1A1A"/>
          <w:sz w:val="22"/>
          <w:szCs w:val="22"/>
        </w:rPr>
        <w:t xml:space="preserve">This is the question of meaning. It prevents the practice from collapsing into self-absorption. The wound is always in service of something — a child, a calling, a body of work, a relationship, a change in the world. The user who cannot answer this question has more work to do on the first one. When the answer arrives, the drive that was compulsive becomes purposeful. Same energy. Different direction.</w:t>
      </w:r>
    </w:p>
    <w:p>
      <w:pPr>
        <w:spacing w:after="120" w:before="60" w:line="300"/>
      </w:pPr>
      <w:r>
        <w:rPr>
          <w:rFonts w:ascii="Calibri" w:cs="Calibri" w:eastAsia="Calibri" w:hAnsi="Calibri"/>
          <w:b w:val="false"/>
          <w:bCs w:val="false"/>
          <w:i w:val="false"/>
          <w:iCs w:val="false"/>
          <w:color w:val="1A1A1A"/>
          <w:sz w:val="22"/>
          <w:szCs w:val="22"/>
        </w:rPr>
        <w:t xml:space="preserve">The Two Questions together form a compass. The four elements (prescription, attempt, journal, witness) form the engine. The compass gives direction; the engine provides motion; the spiral outward is what you get when both are running.</w:t>
      </w:r>
    </w:p>
    <w:p>
      <w:pPr>
        <w:pStyle w:val="Heading2"/>
        <w:spacing w:after="140" w:before="280"/>
      </w:pPr>
      <w:r>
        <w:rPr>
          <w:rFonts w:ascii="Calibri" w:cs="Calibri" w:eastAsia="Calibri" w:hAnsi="Calibri"/>
          <w:b/>
          <w:bCs/>
          <w:color w:val="2E4057"/>
          <w:sz w:val="28"/>
          <w:szCs w:val="28"/>
        </w:rPr>
        <w:t xml:space="preserve">4.4  The four horizons</w:t>
      </w:r>
    </w:p>
    <w:p>
      <w:pPr>
        <w:spacing w:after="120" w:before="60" w:line="300"/>
      </w:pPr>
      <w:r>
        <w:rPr>
          <w:rFonts w:ascii="Calibri" w:cs="Calibri" w:eastAsia="Calibri" w:hAnsi="Calibri"/>
          <w:b w:val="false"/>
          <w:bCs w:val="false"/>
          <w:i w:val="false"/>
          <w:iCs w:val="false"/>
          <w:color w:val="1A1A1A"/>
          <w:sz w:val="22"/>
          <w:szCs w:val="22"/>
        </w:rPr>
        <w:t xml:space="preserve">Change on this model is neither linear nor fast. A realistic account of what the system produces over time:</w:t>
      </w:r>
    </w:p>
    <w:p>
      <w:pPr>
        <w:pStyle w:val="Heading3"/>
        <w:spacing w:after="100" w:before="220"/>
      </w:pPr>
      <w:r>
        <w:rPr>
          <w:rFonts w:ascii="Calibri" w:cs="Calibri" w:eastAsia="Calibri" w:hAnsi="Calibri"/>
          <w:b/>
          <w:bCs/>
          <w:color w:val="1A1A1A"/>
          <w:sz w:val="24"/>
          <w:szCs w:val="24"/>
        </w:rPr>
        <w:t xml:space="preserve">First session — the threshold</w:t>
      </w:r>
    </w:p>
    <w:p>
      <w:pPr>
        <w:spacing w:after="120" w:before="60" w:line="300"/>
      </w:pPr>
      <w:r>
        <w:rPr>
          <w:rFonts w:ascii="Calibri" w:cs="Calibri" w:eastAsia="Calibri" w:hAnsi="Calibri"/>
          <w:b w:val="false"/>
          <w:bCs w:val="false"/>
          <w:i w:val="false"/>
          <w:iCs w:val="false"/>
          <w:color w:val="1A1A1A"/>
          <w:sz w:val="22"/>
          <w:szCs w:val="22"/>
        </w:rPr>
        <w:t xml:space="preserve">The user feels something. Probably more than they expected. They are slightly rattled and also slightly relieved. They open MOATS and are surprised by how welcoming and strange it is. They write their first whisper. They do not yet know what to do with any of it.</w:t>
      </w:r>
    </w:p>
    <w:p>
      <w:pPr>
        <w:pStyle w:val="Heading3"/>
        <w:spacing w:after="100" w:before="220"/>
      </w:pPr>
      <w:r>
        <w:rPr>
          <w:rFonts w:ascii="Calibri" w:cs="Calibri" w:eastAsia="Calibri" w:hAnsi="Calibri"/>
          <w:b/>
          <w:bCs/>
          <w:color w:val="1A1A1A"/>
          <w:sz w:val="24"/>
          <w:szCs w:val="24"/>
        </w:rPr>
        <w:t xml:space="preserve">First month — the pattern becomes visible</w:t>
      </w:r>
    </w:p>
    <w:p>
      <w:pPr>
        <w:spacing w:after="120" w:before="60" w:line="300"/>
      </w:pPr>
      <w:r>
        <w:rPr>
          <w:rFonts w:ascii="Calibri" w:cs="Calibri" w:eastAsia="Calibri" w:hAnsi="Calibri"/>
          <w:b w:val="false"/>
          <w:bCs w:val="false"/>
          <w:i w:val="false"/>
          <w:iCs w:val="false"/>
          <w:color w:val="1A1A1A"/>
          <w:sz w:val="22"/>
          <w:szCs w:val="22"/>
        </w:rPr>
        <w:t xml:space="preserve">Four rituals. Four prescriptions. Four journal entries. Several Moat exchanges. The user begins to notice that the same judge is showing up in different scenes. They begin to recognise their role. The language of the four-part framework becomes second nature — they are using it in conversations outside the app.</w:t>
      </w:r>
    </w:p>
    <w:p>
      <w:pPr>
        <w:pStyle w:val="Heading3"/>
        <w:spacing w:after="100" w:before="220"/>
      </w:pPr>
      <w:r>
        <w:rPr>
          <w:rFonts w:ascii="Calibri" w:cs="Calibri" w:eastAsia="Calibri" w:hAnsi="Calibri"/>
          <w:b/>
          <w:bCs/>
          <w:color w:val="1A1A1A"/>
          <w:sz w:val="24"/>
          <w:szCs w:val="24"/>
        </w:rPr>
        <w:t xml:space="preserve">First year — the spiral begins</w:t>
      </w:r>
    </w:p>
    <w:p>
      <w:pPr>
        <w:spacing w:after="120" w:before="60" w:line="300"/>
      </w:pPr>
      <w:r>
        <w:rPr>
          <w:rFonts w:ascii="Calibri" w:cs="Calibri" w:eastAsia="Calibri" w:hAnsi="Calibri"/>
          <w:b w:val="false"/>
          <w:bCs w:val="false"/>
          <w:i w:val="false"/>
          <w:iCs w:val="false"/>
          <w:color w:val="1A1A1A"/>
          <w:sz w:val="22"/>
          <w:szCs w:val="22"/>
        </w:rPr>
        <w:t xml:space="preserve">Fifty rituals. A hundred-plus journal entries. A Moat that has now seen them through something real. The user has attempted a specific change in a specific relationship or habit or belief, and the change is partial but genuine. The first answer they gave to ‘what do you want to fix?’ is no longer the answer they would give today. The wound has not gone; it has become smaller and more precisely located.</w:t>
      </w:r>
    </w:p>
    <w:p>
      <w:pPr>
        <w:pStyle w:val="Heading3"/>
        <w:spacing w:after="100" w:before="220"/>
      </w:pPr>
      <w:r>
        <w:rPr>
          <w:rFonts w:ascii="Calibri" w:cs="Calibri" w:eastAsia="Calibri" w:hAnsi="Calibri"/>
          <w:b/>
          <w:bCs/>
          <w:color w:val="1A1A1A"/>
          <w:sz w:val="24"/>
          <w:szCs w:val="24"/>
        </w:rPr>
        <w:t xml:space="preserve">First three years — the person is recognisably different</w:t>
      </w:r>
    </w:p>
    <w:p>
      <w:pPr>
        <w:spacing w:after="120" w:before="60" w:line="300"/>
      </w:pPr>
      <w:r>
        <w:rPr>
          <w:rFonts w:ascii="Calibri" w:cs="Calibri" w:eastAsia="Calibri" w:hAnsi="Calibri"/>
          <w:b w:val="false"/>
          <w:bCs w:val="false"/>
          <w:i w:val="false"/>
          <w:iCs w:val="false"/>
          <w:color w:val="1A1A1A"/>
          <w:sz w:val="22"/>
          <w:szCs w:val="22"/>
        </w:rPr>
        <w:t xml:space="preserve">The cumulative effect at this horizon is what justifies the entire enterprise. The user is quieter, more present, more specifically themselves. They describe their life in the language of the four-part framework without noticing they are doing it. They introduce friends to Moatly not to share the app but to share what the app helped them become. This user is ours for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The unit of value</w:t>
            </w:r>
          </w:p>
          <w:p>
            <w:pPr>
              <w:spacing w:after="60" w:before="0" w:line="280"/>
            </w:pPr>
            <w:r>
              <w:rPr>
                <w:rFonts w:ascii="Calibri" w:cs="Calibri" w:eastAsia="Calibri" w:hAnsi="Calibri"/>
                <w:color w:val="1A1A1A"/>
                <w:sz w:val="22"/>
                <w:szCs w:val="22"/>
              </w:rPr>
              <w:t xml:space="preserve">A business reducing this to a metric might call it a ‘three-year retained user’. That person alone, if the product serves them well, is worth far more than any engagement metric can capture — in subscription revenue, in referrals, in cultural credibility. Everything in the business model points at making more of them.</w:t>
            </w:r>
          </w:p>
        </w:tc>
      </w:tr>
    </w:tbl>
    <w:p>
      <w:r>
        <w:br w:type="page"/>
      </w:r>
    </w:p>
    <w:p>
      <w:pPr>
        <w:pStyle w:val="Heading1"/>
        <w:spacing w:after="180" w:before="360"/>
      </w:pPr>
      <w:r>
        <w:rPr>
          <w:rFonts w:ascii="Calibri" w:cs="Calibri" w:eastAsia="Calibri" w:hAnsi="Calibri"/>
          <w:b/>
          <w:bCs/>
          <w:color w:val="2E4057"/>
          <w:sz w:val="36"/>
          <w:szCs w:val="36"/>
        </w:rPr>
        <w:t xml:space="preserve">5.  The user journey — 90 days of practice</w:t>
      </w:r>
    </w:p>
    <w:p>
      <w:pPr>
        <w:spacing w:after="120" w:before="60" w:line="300"/>
      </w:pPr>
      <w:r>
        <w:rPr>
          <w:rFonts w:ascii="Calibri" w:cs="Calibri" w:eastAsia="Calibri" w:hAnsi="Calibri"/>
          <w:b w:val="false"/>
          <w:bCs w:val="false"/>
          <w:i w:val="false"/>
          <w:iCs w:val="false"/>
          <w:color w:val="1A1A1A"/>
          <w:sz w:val="22"/>
          <w:szCs w:val="22"/>
        </w:rPr>
        <w:t xml:space="preserve">To make the abstract concrete. The following is a fictional but representative user journey. Where specific details are suggested (names, quotes, prescriptions) they are illustrative — the Unity team owns the actual content.</w:t>
      </w:r>
    </w:p>
    <w:p>
      <w:pPr>
        <w:pStyle w:val="Heading2"/>
        <w:spacing w:after="140" w:before="280"/>
      </w:pPr>
      <w:r>
        <w:rPr>
          <w:rFonts w:ascii="Calibri" w:cs="Calibri" w:eastAsia="Calibri" w:hAnsi="Calibri"/>
          <w:b/>
          <w:bCs/>
          <w:color w:val="2E4057"/>
          <w:sz w:val="28"/>
          <w:szCs w:val="28"/>
        </w:rPr>
        <w:t xml:space="preserve">5.1  The user</w:t>
      </w:r>
    </w:p>
    <w:p>
      <w:pPr>
        <w:spacing w:after="120" w:before="60" w:line="300"/>
      </w:pPr>
      <w:r>
        <w:rPr>
          <w:rFonts w:ascii="Calibri" w:cs="Calibri" w:eastAsia="Calibri" w:hAnsi="Calibri"/>
          <w:b w:val="false"/>
          <w:bCs w:val="false"/>
          <w:i w:val="false"/>
          <w:iCs w:val="false"/>
          <w:color w:val="1A1A1A"/>
          <w:sz w:val="22"/>
          <w:szCs w:val="22"/>
        </w:rPr>
        <w:t xml:space="preserve">Helena, 47. Senior manager at a mid-sized design agency. Recently divorced. One child, 14, who lives with her week-on, week-off. Reads. Has been in and out of therapy for a decade. Her older sister gave her Moatly for her birthday — a Full Rite package in a wooden box.</w:t>
      </w:r>
    </w:p>
    <w:p>
      <w:pPr>
        <w:pStyle w:val="Heading2"/>
        <w:spacing w:after="140" w:before="280"/>
      </w:pPr>
      <w:r>
        <w:rPr>
          <w:rFonts w:ascii="Calibri" w:cs="Calibri" w:eastAsia="Calibri" w:hAnsi="Calibri"/>
          <w:b/>
          <w:bCs/>
          <w:color w:val="2E4057"/>
          <w:sz w:val="28"/>
          <w:szCs w:val="28"/>
        </w:rPr>
        <w:t xml:space="preserve">5.2  Day 0 — The gift arrives</w:t>
      </w:r>
    </w:p>
    <w:p>
      <w:pPr>
        <w:spacing w:after="120" w:before="60" w:line="300"/>
      </w:pPr>
      <w:r>
        <w:rPr>
          <w:rFonts w:ascii="Calibri" w:cs="Calibri" w:eastAsia="Calibri" w:hAnsi="Calibri"/>
          <w:b w:val="false"/>
          <w:bCs w:val="false"/>
          <w:i w:val="false"/>
          <w:iCs w:val="false"/>
          <w:color w:val="1A1A1A"/>
          <w:sz w:val="22"/>
          <w:szCs w:val="22"/>
        </w:rPr>
        <w:t xml:space="preserve">A wooden box. Inside: a linen-bound journal, a small ceramic caddy of loose tea, a quiet object that is somehow both a speaker and a lamp (the Device), and a folded card with a handwritten note from her sister.</w:t>
      </w:r>
    </w:p>
    <w:p>
      <w:pPr>
        <w:spacing w:after="120" w:before="60" w:line="300"/>
      </w:pPr>
      <w:r>
        <w:rPr>
          <w:rFonts w:ascii="Calibri" w:cs="Calibri" w:eastAsia="Calibri" w:hAnsi="Calibri"/>
          <w:b w:val="false"/>
          <w:bCs w:val="false"/>
          <w:i w:val="false"/>
          <w:iCs w:val="false"/>
          <w:color w:val="1A1A1A"/>
          <w:sz w:val="22"/>
          <w:szCs w:val="22"/>
        </w:rPr>
        <w:t xml:space="preserve">She opens the journal first. The first page has a 24-slot grid labelled ‘your key’ and a single sentence at the top: ‘Write this down. Keep it. Don't photograph it.’ There is a URL. She does not use it yet. She puts the journal on her bedside table and puts the box in the corner of the living room.</w:t>
      </w:r>
    </w:p>
    <w:p>
      <w:pPr>
        <w:pStyle w:val="Heading2"/>
        <w:spacing w:after="140" w:before="280"/>
      </w:pPr>
      <w:r>
        <w:rPr>
          <w:rFonts w:ascii="Calibri" w:cs="Calibri" w:eastAsia="Calibri" w:hAnsi="Calibri"/>
          <w:b/>
          <w:bCs/>
          <w:color w:val="2E4057"/>
          <w:sz w:val="28"/>
          <w:szCs w:val="28"/>
        </w:rPr>
        <w:t xml:space="preserve">5.3  Day 3 — First use</w:t>
      </w:r>
    </w:p>
    <w:p>
      <w:pPr>
        <w:spacing w:after="120" w:before="60" w:line="300"/>
      </w:pPr>
      <w:r>
        <w:rPr>
          <w:rFonts w:ascii="Calibri" w:cs="Calibri" w:eastAsia="Calibri" w:hAnsi="Calibri"/>
          <w:b w:val="false"/>
          <w:bCs w:val="false"/>
          <w:i w:val="false"/>
          <w:iCs w:val="false"/>
          <w:color w:val="1A1A1A"/>
          <w:sz w:val="22"/>
          <w:szCs w:val="22"/>
        </w:rPr>
        <w:t xml:space="preserve">Sunday evening. Child is at the father's. She makes the tea, takes it to the sofa, and opens the laptop. The welcome page is quieter than she expected. No marketing copy. Just: ‘You are welcome here. Before you begin, a covenant.’</w:t>
      </w:r>
    </w:p>
    <w:p>
      <w:pPr>
        <w:spacing w:after="120" w:before="60" w:line="300"/>
      </w:pPr>
      <w:r>
        <w:rPr>
          <w:rFonts w:ascii="Calibri" w:cs="Calibri" w:eastAsia="Calibri" w:hAnsi="Calibri"/>
          <w:b w:val="false"/>
          <w:bCs w:val="false"/>
          <w:i w:val="false"/>
          <w:iCs w:val="false"/>
          <w:color w:val="1A1A1A"/>
          <w:sz w:val="22"/>
          <w:szCs w:val="22"/>
        </w:rPr>
        <w:t xml:space="preserve">The covenant takes two minutes. She tap-and-holds each of the three clauses. Then: two questions. She types, slowly, what she wants to fix. ‘I disappear in relationships. I always have.’ Then the second: why does it matter, for whom, to what end. She writes: ‘For my daughter. So she grows up knowing what a woman who shows up looks like.’</w:t>
      </w:r>
    </w:p>
    <w:p>
      <w:pPr>
        <w:spacing w:after="120" w:before="60" w:line="300"/>
      </w:pPr>
      <w:r>
        <w:rPr>
          <w:rFonts w:ascii="Calibri" w:cs="Calibri" w:eastAsia="Calibri" w:hAnsi="Calibri"/>
          <w:b w:val="false"/>
          <w:bCs w:val="false"/>
          <w:i w:val="false"/>
          <w:iCs w:val="false"/>
          <w:color w:val="1A1A1A"/>
          <w:sz w:val="22"/>
          <w:szCs w:val="22"/>
        </w:rPr>
        <w:t xml:space="preserve">The screen holds her answers for a moment, then dims them. She chooses a host couple — an older woman and a younger man, described as being from the southern coast of India; something about the ease in their faces feels right. The tea-leaf reading begins.</w:t>
      </w:r>
    </w:p>
    <w:p>
      <w:pPr>
        <w:spacing w:after="120" w:before="60" w:line="300"/>
      </w:pPr>
      <w:r>
        <w:rPr>
          <w:rFonts w:ascii="Calibri" w:cs="Calibri" w:eastAsia="Calibri" w:hAnsi="Calibri"/>
          <w:b w:val="false"/>
          <w:bCs w:val="false"/>
          <w:i w:val="false"/>
          <w:iCs w:val="false"/>
          <w:color w:val="1A1A1A"/>
          <w:sz w:val="22"/>
          <w:szCs w:val="22"/>
        </w:rPr>
        <w:t xml:space="preserve">Twelve minutes later she is crying quietly, not unhappily, and an email has arrived on her phone. It reads in the voice of the younger host. A quote — she does not recognise it. An action for the next three days: ‘Say the word no, exactly once, in a situation where you would normally say yes.’ A mantra: ‘I am allowed to take up the space I take up.’</w:t>
      </w:r>
    </w:p>
    <w:p>
      <w:pPr>
        <w:pStyle w:val="Heading2"/>
        <w:spacing w:after="140" w:before="280"/>
      </w:pPr>
      <w:r>
        <w:rPr>
          <w:rFonts w:ascii="Calibri" w:cs="Calibri" w:eastAsia="Calibri" w:hAnsi="Calibri"/>
          <w:b/>
          <w:bCs/>
          <w:color w:val="2E4057"/>
          <w:sz w:val="28"/>
          <w:szCs w:val="28"/>
        </w:rPr>
        <w:t xml:space="preserve">5.4  Days 4–6 — The attempt</w:t>
      </w:r>
    </w:p>
    <w:p>
      <w:pPr>
        <w:spacing w:after="120" w:before="60" w:line="300"/>
      </w:pPr>
      <w:r>
        <w:rPr>
          <w:rFonts w:ascii="Calibri" w:cs="Calibri" w:eastAsia="Calibri" w:hAnsi="Calibri"/>
          <w:b w:val="false"/>
          <w:bCs w:val="false"/>
          <w:i w:val="false"/>
          <w:iCs w:val="false"/>
          <w:color w:val="1A1A1A"/>
          <w:sz w:val="22"/>
          <w:szCs w:val="22"/>
        </w:rPr>
        <w:t xml:space="preserve">Tuesday afternoon. A colleague asks her to take a presentation that isn't hers, because he has ‘a lot on.’ She hears herself about to say yes. She doesn't say yes. She says, ‘No, I can't take that on this week.’ The colleague is annoyed but not catastrophically so. She is shaken for the rest of the day.</w:t>
      </w:r>
    </w:p>
    <w:p>
      <w:pPr>
        <w:spacing w:after="120" w:before="60" w:line="300"/>
      </w:pPr>
      <w:r>
        <w:rPr>
          <w:rFonts w:ascii="Calibri" w:cs="Calibri" w:eastAsia="Calibri" w:hAnsi="Calibri"/>
          <w:b w:val="false"/>
          <w:bCs w:val="false"/>
          <w:i w:val="false"/>
          <w:iCs w:val="false"/>
          <w:color w:val="1A1A1A"/>
          <w:sz w:val="22"/>
          <w:szCs w:val="22"/>
        </w:rPr>
        <w:t xml:space="preserve">Wednesday evening. She writes in the journal. The prompts have been waiting for her since Sunday: role, field, conflict, judge. The role was ‘helper’. The field was the kitchen at work. The conflict was between her reputation for being easy and the fact that she is tired. The judge was a composite figure she can only describe as ‘every manager I have ever had who praised me for saying yes’. Eight handwritten pages.</w:t>
      </w:r>
    </w:p>
    <w:p>
      <w:pPr>
        <w:pStyle w:val="Heading2"/>
        <w:spacing w:after="140" w:before="280"/>
      </w:pPr>
      <w:r>
        <w:rPr>
          <w:rFonts w:ascii="Calibri" w:cs="Calibri" w:eastAsia="Calibri" w:hAnsi="Calibri"/>
          <w:b/>
          <w:bCs/>
          <w:color w:val="2E4057"/>
          <w:sz w:val="28"/>
          <w:szCs w:val="28"/>
        </w:rPr>
        <w:t xml:space="preserve">5.5  Day 7 — First Moat</w:t>
      </w:r>
    </w:p>
    <w:p>
      <w:pPr>
        <w:spacing w:after="120" w:before="60" w:line="300"/>
      </w:pPr>
      <w:r>
        <w:rPr>
          <w:rFonts w:ascii="Calibri" w:cs="Calibri" w:eastAsia="Calibri" w:hAnsi="Calibri"/>
          <w:b w:val="false"/>
          <w:bCs w:val="false"/>
          <w:i w:val="false"/>
          <w:iCs w:val="false"/>
          <w:color w:val="1A1A1A"/>
          <w:sz w:val="22"/>
          <w:szCs w:val="22"/>
        </w:rPr>
        <w:t xml:space="preserve">Thursday evening. She opens MOATS on her phone. The Device on the shelf pulses amber for a moment. The Moat is already there — nine other people, none of whom she can identify. Names like pseudonyms: Obsidian, Crane, Larch, a Roman numeral. She reads their recent whispers. One, from Crane, stops her: ‘I said no at work today for the first time in years. I have not stopped shaking.’</w:t>
      </w:r>
    </w:p>
    <w:p>
      <w:pPr>
        <w:spacing w:after="120" w:before="60" w:line="300"/>
      </w:pPr>
      <w:r>
        <w:rPr>
          <w:rFonts w:ascii="Calibri" w:cs="Calibri" w:eastAsia="Calibri" w:hAnsi="Calibri"/>
          <w:b w:val="false"/>
          <w:bCs w:val="false"/>
          <w:i w:val="false"/>
          <w:iCs w:val="false"/>
          <w:color w:val="1A1A1A"/>
          <w:sz w:val="22"/>
          <w:szCs w:val="22"/>
        </w:rPr>
        <w:t xml:space="preserve">She writes her own whisper. She is careful with the three rules: from the I, no advice, what is said here stays here. Her whisper is three sentences long. Within an hour three people have witnessed her. Not advised — witnessed. Obsidian writes: ‘I recognise that shake. It is not fear. It is your body having to absorb the fact of its own presence.’ She closes the phone and sits very still.</w:t>
      </w:r>
    </w:p>
    <w:p>
      <w:pPr>
        <w:pStyle w:val="Heading2"/>
        <w:spacing w:after="140" w:before="280"/>
      </w:pPr>
      <w:r>
        <w:rPr>
          <w:rFonts w:ascii="Calibri" w:cs="Calibri" w:eastAsia="Calibri" w:hAnsi="Calibri"/>
          <w:b/>
          <w:bCs/>
          <w:color w:val="2E4057"/>
          <w:sz w:val="28"/>
          <w:szCs w:val="28"/>
        </w:rPr>
        <w:t xml:space="preserve">5.6  Weeks 2–4 — The rhythm establishes</w:t>
      </w:r>
    </w:p>
    <w:p>
      <w:pPr>
        <w:spacing w:after="120" w:before="60" w:line="300"/>
      </w:pPr>
      <w:r>
        <w:rPr>
          <w:rFonts w:ascii="Calibri" w:cs="Calibri" w:eastAsia="Calibri" w:hAnsi="Calibri"/>
          <w:b w:val="false"/>
          <w:bCs w:val="false"/>
          <w:i w:val="false"/>
          <w:iCs w:val="false"/>
          <w:color w:val="1A1A1A"/>
          <w:sz w:val="22"/>
          <w:szCs w:val="22"/>
        </w:rPr>
        <w:t xml:space="preserve">Another ritual on Sunday. A new host couple, this time a pair she describes to her sister on the phone as ‘the Brazilian father and son who keep making me laugh even when they are being serious’. Another prescription. Another attempt. Another journal entry. Another week in the Moat.</w:t>
      </w:r>
    </w:p>
    <w:p>
      <w:pPr>
        <w:spacing w:after="120" w:before="60" w:line="300"/>
      </w:pPr>
      <w:r>
        <w:rPr>
          <w:rFonts w:ascii="Calibri" w:cs="Calibri" w:eastAsia="Calibri" w:hAnsi="Calibri"/>
          <w:b w:val="false"/>
          <w:bCs w:val="false"/>
          <w:i w:val="false"/>
          <w:iCs w:val="false"/>
          <w:color w:val="1A1A1A"/>
          <w:sz w:val="22"/>
          <w:szCs w:val="22"/>
        </w:rPr>
        <w:t xml:space="preserve">By the end of week four she has posted two Major Statements. One about her father. One about her daughter. The Moat has held both. She has not once been advised. She has been witnessed seven or eight times in ways she cannot remember the wording of but can remember the weight of.</w:t>
      </w:r>
    </w:p>
    <w:p>
      <w:pPr>
        <w:pStyle w:val="Heading2"/>
        <w:spacing w:after="140" w:before="280"/>
      </w:pPr>
      <w:r>
        <w:rPr>
          <w:rFonts w:ascii="Calibri" w:cs="Calibri" w:eastAsia="Calibri" w:hAnsi="Calibri"/>
          <w:b/>
          <w:bCs/>
          <w:color w:val="2E4057"/>
          <w:sz w:val="28"/>
          <w:szCs w:val="28"/>
        </w:rPr>
        <w:t xml:space="preserve">5.7  Day 45 — Something shifts</w:t>
      </w:r>
    </w:p>
    <w:p>
      <w:pPr>
        <w:spacing w:after="120" w:before="60" w:line="300"/>
      </w:pPr>
      <w:r>
        <w:rPr>
          <w:rFonts w:ascii="Calibri" w:cs="Calibri" w:eastAsia="Calibri" w:hAnsi="Calibri"/>
          <w:b w:val="false"/>
          <w:bCs w:val="false"/>
          <w:i w:val="false"/>
          <w:iCs w:val="false"/>
          <w:color w:val="1A1A1A"/>
          <w:sz w:val="22"/>
          <w:szCs w:val="22"/>
        </w:rPr>
        <w:t xml:space="preserve">Her Moat is re-forming. Two members have been quietly reassigned for conduct reasons (she is not told which or why). New members have arrived. The cycle rings have begun to show: she has earned a gold arc, two greens, and a small fire scar from a week in March when her daughter was unwell.</w:t>
      </w:r>
    </w:p>
    <w:p>
      <w:pPr>
        <w:spacing w:after="120" w:before="60" w:line="300"/>
      </w:pPr>
      <w:r>
        <w:rPr>
          <w:rFonts w:ascii="Calibri" w:cs="Calibri" w:eastAsia="Calibri" w:hAnsi="Calibri"/>
          <w:b w:val="false"/>
          <w:bCs w:val="false"/>
          <w:i w:val="false"/>
          <w:iCs w:val="false"/>
          <w:color w:val="1A1A1A"/>
          <w:sz w:val="22"/>
          <w:szCs w:val="22"/>
        </w:rPr>
        <w:t xml:space="preserve">In the Sunday ritual she is asked whether she would like to update her answer to the first question. She reads what she wrote on day 3. She changes it. The new answer is not as general. It is: ‘I disappear in situations where I fear being seen as difficult.’ She sits with this for a long time. It is more specific and more true.</w:t>
      </w:r>
    </w:p>
    <w:p>
      <w:pPr>
        <w:pStyle w:val="Heading2"/>
        <w:spacing w:after="140" w:before="280"/>
      </w:pPr>
      <w:r>
        <w:rPr>
          <w:rFonts w:ascii="Calibri" w:cs="Calibri" w:eastAsia="Calibri" w:hAnsi="Calibri"/>
          <w:b/>
          <w:bCs/>
          <w:color w:val="2E4057"/>
          <w:sz w:val="28"/>
          <w:szCs w:val="28"/>
        </w:rPr>
        <w:t xml:space="preserve">5.8  Day 90 — The report to the reader</w:t>
      </w:r>
    </w:p>
    <w:p>
      <w:pPr>
        <w:spacing w:after="120" w:before="60" w:line="300"/>
      </w:pPr>
      <w:r>
        <w:rPr>
          <w:rFonts w:ascii="Calibri" w:cs="Calibri" w:eastAsia="Calibri" w:hAnsi="Calibri"/>
          <w:b w:val="false"/>
          <w:bCs w:val="false"/>
          <w:i w:val="false"/>
          <w:iCs w:val="false"/>
          <w:color w:val="1A1A1A"/>
          <w:sz w:val="22"/>
          <w:szCs w:val="22"/>
        </w:rPr>
        <w:t xml:space="preserve">Three months in. Helena has done twelve rituals. She has completed a journal and started a second. She has been in her Moat continuously. She has, without noticing, started using the language of role-field-conflict-judge in conversations at work and with her sister.</w:t>
      </w:r>
    </w:p>
    <w:p>
      <w:pPr>
        <w:spacing w:after="120" w:before="60" w:line="300"/>
      </w:pPr>
      <w:r>
        <w:rPr>
          <w:rFonts w:ascii="Calibri" w:cs="Calibri" w:eastAsia="Calibri" w:hAnsi="Calibri"/>
          <w:b w:val="false"/>
          <w:bCs w:val="false"/>
          <w:i w:val="false"/>
          <w:iCs w:val="false"/>
          <w:color w:val="1A1A1A"/>
          <w:sz w:val="22"/>
          <w:szCs w:val="22"/>
        </w:rPr>
        <w:t xml:space="preserve">The change at 90 days is modest but real. She says no more often. She has had two difficult conversations with her ex-husband that would not have gone the same way four months ago. She has not transformed. She has started to transform. The spiral is turning.</w:t>
      </w:r>
    </w:p>
    <w:p>
      <w:pPr>
        <w:spacing w:after="120" w:before="60" w:line="300"/>
      </w:pPr>
      <w:r>
        <w:rPr>
          <w:rFonts w:ascii="Calibri" w:cs="Calibri" w:eastAsia="Calibri" w:hAnsi="Calibri"/>
          <w:b w:val="false"/>
          <w:bCs w:val="false"/>
          <w:i w:val="false"/>
          <w:iCs w:val="false"/>
          <w:color w:val="1A1A1A"/>
          <w:sz w:val="22"/>
          <w:szCs w:val="22"/>
        </w:rPr>
        <w:t xml:space="preserve">This is what the product delivers. Not miracles. A structure that, used honestly, produces the kind of change that compounds. Year two of Helena's practice will be more visible than year one. Year three will be more visible than year two. This is the reason we are optimising for long retention rather than rapid acquisition.</w:t>
      </w:r>
    </w:p>
    <w:p>
      <w:r>
        <w:br w:type="page"/>
      </w:r>
    </w:p>
    <w:p>
      <w:pPr>
        <w:pStyle w:val="Heading1"/>
        <w:spacing w:after="180" w:before="360"/>
      </w:pPr>
      <w:r>
        <w:rPr>
          <w:rFonts w:ascii="Calibri" w:cs="Calibri" w:eastAsia="Calibri" w:hAnsi="Calibri"/>
          <w:b/>
          <w:bCs/>
          <w:color w:val="2E4057"/>
          <w:sz w:val="36"/>
          <w:szCs w:val="36"/>
        </w:rPr>
        <w:t xml:space="preserve">6.  Platform strategy</w:t>
      </w:r>
    </w:p>
    <w:p>
      <w:pPr>
        <w:spacing w:after="120" w:before="60" w:line="300"/>
      </w:pPr>
      <w:r>
        <w:rPr>
          <w:rFonts w:ascii="Calibri" w:cs="Calibri" w:eastAsia="Calibri" w:hAnsi="Calibri"/>
          <w:b w:val="false"/>
          <w:bCs w:val="false"/>
          <w:i w:val="false"/>
          <w:iCs w:val="false"/>
          <w:color w:val="1A1A1A"/>
          <w:sz w:val="22"/>
          <w:szCs w:val="22"/>
        </w:rPr>
        <w:t xml:space="preserve">The founder's question: does MOATLY live on the phone, the computer, the TV? Does MOATS? Do they both live everywhere, or does each have a natural home? The answer matters because screen size and posture are not UX details — they are the ritual.</w:t>
      </w:r>
    </w:p>
    <w:p>
      <w:pPr>
        <w:pStyle w:val="Heading2"/>
        <w:spacing w:after="140" w:before="280"/>
      </w:pPr>
      <w:r>
        <w:rPr>
          <w:rFonts w:ascii="Calibri" w:cs="Calibri" w:eastAsia="Calibri" w:hAnsi="Calibri"/>
          <w:b/>
          <w:bCs/>
          <w:color w:val="2E4057"/>
          <w:sz w:val="28"/>
          <w:szCs w:val="28"/>
        </w:rPr>
        <w:t xml:space="preserve">6.1  The principle: posture before platform</w:t>
      </w:r>
    </w:p>
    <w:p>
      <w:pPr>
        <w:spacing w:after="120" w:before="60" w:line="300"/>
      </w:pPr>
      <w:r>
        <w:rPr>
          <w:rFonts w:ascii="Calibri" w:cs="Calibri" w:eastAsia="Calibri" w:hAnsi="Calibri"/>
          <w:b w:val="false"/>
          <w:bCs w:val="false"/>
          <w:i w:val="false"/>
          <w:iCs w:val="false"/>
          <w:color w:val="1A1A1A"/>
          <w:sz w:val="22"/>
          <w:szCs w:val="22"/>
        </w:rPr>
        <w:t xml:space="preserve">A twelve-minute ritual requires a seated, focused, undisturbed user in low light. That is a big-screen posture. A laptop on the coffee table. A tablet propped on the kitchen counter. A cast-to-TV in the living room. The phone in the hand is technically capable of playing the ritual but physically defeats it — it is too small, too social, too interrupt-prone, too much the device the user has been colonised by.</w:t>
      </w:r>
    </w:p>
    <w:p>
      <w:pPr>
        <w:spacing w:after="120" w:before="60" w:line="300"/>
      </w:pPr>
      <w:r>
        <w:rPr>
          <w:rFonts w:ascii="Calibri" w:cs="Calibri" w:eastAsia="Calibri" w:hAnsi="Calibri"/>
          <w:b w:val="false"/>
          <w:bCs w:val="false"/>
          <w:i w:val="false"/>
          <w:iCs w:val="false"/>
          <w:color w:val="1A1A1A"/>
          <w:sz w:val="22"/>
          <w:szCs w:val="22"/>
        </w:rPr>
        <w:t xml:space="preserve">A witnessing practice that consists of reading a few short messages and writing a careful reply requires the opposite posture. Intimate, close, private. The phone is built for this. The TV is absurd for it. The laptop is fine but unnecessary.</w:t>
      </w:r>
    </w:p>
    <w:p>
      <w:pPr>
        <w:pStyle w:val="Heading2"/>
        <w:spacing w:after="140" w:before="280"/>
      </w:pPr>
      <w:r>
        <w:rPr>
          <w:rFonts w:ascii="Calibri" w:cs="Calibri" w:eastAsia="Calibri" w:hAnsi="Calibri"/>
          <w:b/>
          <w:bCs/>
          <w:color w:val="2E4057"/>
          <w:sz w:val="28"/>
          <w:szCs w:val="28"/>
        </w:rPr>
        <w:t xml:space="preserve">6.2  The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700"/>
        <w:gridCol w:w="3260"/>
      </w:tblGrid>
      <w:tr>
        <w:trPr>
          <w:tblHeader/>
        </w:trPr>
        <w:tc>
          <w:tcPr>
            <w:tcW w:type="dxa" w:w="17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Platform</w:t>
            </w:r>
          </w:p>
        </w:tc>
        <w:tc>
          <w:tcPr>
            <w:tcW w:type="dxa" w:w="17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MOATLY (ritual)</w:t>
            </w:r>
          </w:p>
        </w:tc>
        <w:tc>
          <w:tcPr>
            <w:tcW w:type="dxa" w:w="27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MOATS (practice)</w:t>
            </w:r>
          </w:p>
        </w:tc>
        <w:tc>
          <w:tcPr>
            <w:tcW w:type="dxa" w:w="32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Rationale</w:t>
            </w:r>
          </w:p>
        </w:tc>
      </w:tr>
      <w:tr>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Phone</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No (or only as last resort)</w:t>
            </w:r>
          </w:p>
        </w:tc>
        <w:tc>
          <w:tcPr>
            <w:tcW w:type="dxa" w:w="2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Yes (primary)</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Ritual fails at phone scale. Practice lives in the pocket.</w:t>
            </w:r>
          </w:p>
        </w:tc>
      </w:tr>
      <w:tr>
        <w:tc>
          <w:tcPr>
            <w:tcW w:type="dxa" w:w="17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Tablet</w:t>
            </w:r>
          </w:p>
        </w:tc>
        <w:tc>
          <w:tcPr>
            <w:tcW w:type="dxa" w:w="17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Yes</w:t>
            </w:r>
          </w:p>
        </w:tc>
        <w:tc>
          <w:tcPr>
            <w:tcW w:type="dxa" w:w="27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Yes (optional)</w:t>
            </w:r>
          </w:p>
        </w:tc>
        <w:tc>
          <w:tcPr>
            <w:tcW w:type="dxa" w:w="32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Good ritual screen. Acceptable practice screen.</w:t>
            </w:r>
          </w:p>
        </w:tc>
      </w:tr>
      <w:tr>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Laptop / desktop</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Yes</w:t>
            </w:r>
          </w:p>
        </w:tc>
        <w:tc>
          <w:tcPr>
            <w:tcW w:type="dxa" w:w="2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Web client only (optional)</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Excellent ritual screen. A web client for MOATS is a v2 feature.</w:t>
            </w:r>
          </w:p>
        </w:tc>
      </w:tr>
      <w:tr>
        <w:tc>
          <w:tcPr>
            <w:tcW w:type="dxa" w:w="17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Smart TV / Chromecast / AirPlay</w:t>
            </w:r>
          </w:p>
        </w:tc>
        <w:tc>
          <w:tcPr>
            <w:tcW w:type="dxa" w:w="17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Yes (best)</w:t>
            </w:r>
          </w:p>
        </w:tc>
        <w:tc>
          <w:tcPr>
            <w:tcW w:type="dxa" w:w="27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No</w:t>
            </w:r>
          </w:p>
        </w:tc>
        <w:tc>
          <w:tcPr>
            <w:tcW w:type="dxa" w:w="32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best ritual experience. Not a posture for witnessing.</w:t>
            </w:r>
          </w:p>
        </w:tc>
      </w:tr>
      <w:tr>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Physical Device</w:t>
            </w:r>
          </w:p>
        </w:tc>
        <w:tc>
          <w:tcPr>
            <w:tcW w:type="dxa" w:w="1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N/A</w:t>
            </w:r>
          </w:p>
        </w:tc>
        <w:tc>
          <w:tcPr>
            <w:tcW w:type="dxa" w:w="27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Authentication + glow</w:t>
            </w:r>
          </w:p>
        </w:tc>
        <w:tc>
          <w:tcPr>
            <w:tcW w:type="dxa" w:w="32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Quiet object. Same across both apps as account key.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Practical rule of thumb</w:t>
            </w:r>
          </w:p>
          <w:p>
            <w:pPr>
              <w:spacing w:after="60" w:before="0" w:line="280"/>
            </w:pPr>
            <w:r>
              <w:rPr>
                <w:rFonts w:ascii="Calibri" w:cs="Calibri" w:eastAsia="Calibri" w:hAnsi="Calibri"/>
                <w:color w:val="1A1A1A"/>
                <w:sz w:val="22"/>
                <w:szCs w:val="22"/>
              </w:rPr>
              <w:t xml:space="preserve">Install MOATS on your phone. Install MOATLY on the biggest screen you own. The Device travels between them as the shared key.</w:t>
            </w:r>
          </w:p>
        </w:tc>
      </w:tr>
    </w:tbl>
    <w:p>
      <w:pPr>
        <w:pStyle w:val="Heading2"/>
        <w:spacing w:after="140" w:before="280"/>
      </w:pPr>
      <w:r>
        <w:rPr>
          <w:rFonts w:ascii="Calibri" w:cs="Calibri" w:eastAsia="Calibri" w:hAnsi="Calibri"/>
          <w:b/>
          <w:bCs/>
          <w:color w:val="2E4057"/>
          <w:sz w:val="28"/>
          <w:szCs w:val="28"/>
        </w:rPr>
        <w:t xml:space="preserve">6.3  How accounts travel between devices</w:t>
      </w:r>
    </w:p>
    <w:p>
      <w:pPr>
        <w:spacing w:after="120" w:before="60" w:line="300"/>
      </w:pPr>
      <w:r>
        <w:rPr>
          <w:rFonts w:ascii="Calibri" w:cs="Calibri" w:eastAsia="Calibri" w:hAnsi="Calibri"/>
          <w:b w:val="false"/>
          <w:bCs w:val="false"/>
          <w:i w:val="false"/>
          <w:iCs w:val="false"/>
          <w:color w:val="1A1A1A"/>
          <w:sz w:val="22"/>
          <w:szCs w:val="22"/>
        </w:rPr>
        <w:t xml:space="preserve">The user has one account. They experience it in three places (phone MOATS, big-screen MOATLY, paper journal). Linking happens via the 24-word seed phrase generated on first use, plus an ephemeral QR-code pairing flow for the big-screen MOATLY install.</w:t>
      </w:r>
    </w:p>
    <w:p>
      <w:pPr>
        <w:pStyle w:val="ListParagraph"/>
        <w:numPr>
          <w:ilvl w:val="0"/>
          <w:numId w:val="3"/>
        </w:numPr>
        <w:spacing w:after="60" w:before="30" w:line="280"/>
      </w:pPr>
      <w:r>
        <w:rPr>
          <w:rFonts w:ascii="Calibri" w:cs="Calibri" w:eastAsia="Calibri" w:hAnsi="Calibri"/>
          <w:color w:val="1A1A1A"/>
          <w:sz w:val="22"/>
          <w:szCs w:val="22"/>
        </w:rPr>
        <w:t xml:space="preserve">User opens MOATS on phone, completes onboarding, writes down seed phrase in the paper journal.</w:t>
      </w:r>
    </w:p>
    <w:p>
      <w:pPr>
        <w:pStyle w:val="ListParagraph"/>
        <w:numPr>
          <w:ilvl w:val="0"/>
          <w:numId w:val="3"/>
        </w:numPr>
        <w:spacing w:after="60" w:before="30" w:line="280"/>
      </w:pPr>
      <w:r>
        <w:rPr>
          <w:rFonts w:ascii="Calibri" w:cs="Calibri" w:eastAsia="Calibri" w:hAnsi="Calibri"/>
          <w:color w:val="1A1A1A"/>
          <w:sz w:val="22"/>
          <w:szCs w:val="22"/>
        </w:rPr>
        <w:t xml:space="preserve">User opens MOATLY on the TV or laptop. Screen shows a QR code.</w:t>
      </w:r>
    </w:p>
    <w:p>
      <w:pPr>
        <w:pStyle w:val="ListParagraph"/>
        <w:numPr>
          <w:ilvl w:val="0"/>
          <w:numId w:val="3"/>
        </w:numPr>
        <w:spacing w:after="60" w:before="30" w:line="280"/>
      </w:pPr>
      <w:r>
        <w:rPr>
          <w:rFonts w:ascii="Calibri" w:cs="Calibri" w:eastAsia="Calibri" w:hAnsi="Calibri"/>
          <w:color w:val="1A1A1A"/>
          <w:sz w:val="22"/>
          <w:szCs w:val="22"/>
        </w:rPr>
        <w:t xml:space="preserve">User taps ‘pair a device’ inside MOATS on phone. Scans the QR code with the phone camera. The phone holds the trust root; the TV gets a scoped, revocable linkage token.</w:t>
      </w:r>
    </w:p>
    <w:p>
      <w:pPr>
        <w:pStyle w:val="ListParagraph"/>
        <w:numPr>
          <w:ilvl w:val="0"/>
          <w:numId w:val="3"/>
        </w:numPr>
        <w:spacing w:after="60" w:before="30" w:line="280"/>
      </w:pPr>
      <w:r>
        <w:rPr>
          <w:rFonts w:ascii="Calibri" w:cs="Calibri" w:eastAsia="Calibri" w:hAnsi="Calibri"/>
          <w:color w:val="1A1A1A"/>
          <w:sz w:val="22"/>
          <w:szCs w:val="22"/>
        </w:rPr>
        <w:t xml:space="preserve">If the user loses the TV or laptop, they revoke that linkage from the phone. The account is unaffected.</w:t>
      </w:r>
    </w:p>
    <w:p>
      <w:pPr>
        <w:pStyle w:val="ListParagraph"/>
        <w:numPr>
          <w:ilvl w:val="0"/>
          <w:numId w:val="3"/>
        </w:numPr>
        <w:spacing w:after="60" w:before="30" w:line="280"/>
      </w:pPr>
      <w:r>
        <w:rPr>
          <w:rFonts w:ascii="Calibri" w:cs="Calibri" w:eastAsia="Calibri" w:hAnsi="Calibri"/>
          <w:color w:val="1A1A1A"/>
          <w:sz w:val="22"/>
          <w:szCs w:val="22"/>
        </w:rPr>
        <w:t xml:space="preserve">If the user loses the phone, the paper journal's seed phrase reinstates access on a new phone. The paired TV/laptop is revoked; a new pairing is required.</w:t>
      </w:r>
    </w:p>
    <w:p>
      <w:pPr>
        <w:pStyle w:val="Heading2"/>
        <w:spacing w:after="140" w:before="280"/>
      </w:pPr>
      <w:r>
        <w:rPr>
          <w:rFonts w:ascii="Calibri" w:cs="Calibri" w:eastAsia="Calibri" w:hAnsi="Calibri"/>
          <w:b/>
          <w:bCs/>
          <w:color w:val="2E4057"/>
          <w:sz w:val="28"/>
          <w:szCs w:val="28"/>
        </w:rPr>
        <w:t xml:space="preserve">6.4  The ordering of installation</w:t>
      </w:r>
    </w:p>
    <w:p>
      <w:pPr>
        <w:spacing w:after="120" w:before="60" w:line="300"/>
      </w:pPr>
      <w:r>
        <w:rPr>
          <w:rFonts w:ascii="Calibri" w:cs="Calibri" w:eastAsia="Calibri" w:hAnsi="Calibri"/>
          <w:b w:val="false"/>
          <w:bCs w:val="false"/>
          <w:i w:val="false"/>
          <w:iCs w:val="false"/>
          <w:color w:val="1A1A1A"/>
          <w:sz w:val="22"/>
          <w:szCs w:val="22"/>
        </w:rPr>
        <w:t xml:space="preserve">A user who receives a gift package opens it in a specific physical order which we can design: journal first, phone install second, big-screen install third. The journal comes first because the seed phrase is generated before any TV-side experience exists. The phone comes second because it is the trust anchor. The big-screen install comes third because it depends on the phone.</w:t>
      </w:r>
    </w:p>
    <w:p>
      <w:pPr>
        <w:spacing w:after="120" w:before="60" w:line="300"/>
      </w:pPr>
      <w:r>
        <w:rPr>
          <w:rFonts w:ascii="Calibri" w:cs="Calibri" w:eastAsia="Calibri" w:hAnsi="Calibri"/>
          <w:b w:val="false"/>
          <w:bCs w:val="false"/>
          <w:i w:val="false"/>
          <w:iCs w:val="false"/>
          <w:color w:val="1A1A1A"/>
          <w:sz w:val="22"/>
          <w:szCs w:val="22"/>
        </w:rPr>
        <w:t xml:space="preserve">The gift box welcome card walks the recipient through these three steps in order. Approximate setup time: eight to twelve minutes, not including the first ritual itself.</w:t>
      </w:r>
    </w:p>
    <w:p>
      <w:r>
        <w:br w:type="page"/>
      </w:r>
    </w:p>
    <w:p>
      <w:pPr>
        <w:pStyle w:val="Heading1"/>
        <w:spacing w:after="180" w:before="360"/>
      </w:pPr>
      <w:r>
        <w:rPr>
          <w:rFonts w:ascii="Calibri" w:cs="Calibri" w:eastAsia="Calibri" w:hAnsi="Calibri"/>
          <w:b/>
          <w:bCs/>
          <w:color w:val="2E4057"/>
          <w:sz w:val="36"/>
          <w:szCs w:val="36"/>
        </w:rPr>
        <w:t xml:space="preserve">7.  Placing the Two Questions</w:t>
      </w:r>
    </w:p>
    <w:p>
      <w:pPr>
        <w:spacing w:after="120" w:before="60" w:line="300"/>
      </w:pPr>
      <w:r>
        <w:rPr>
          <w:rFonts w:ascii="Calibri" w:cs="Calibri" w:eastAsia="Calibri" w:hAnsi="Calibri"/>
          <w:b w:val="false"/>
          <w:bCs w:val="false"/>
          <w:i w:val="false"/>
          <w:iCs w:val="false"/>
          <w:color w:val="1A1A1A"/>
          <w:sz w:val="22"/>
          <w:szCs w:val="22"/>
        </w:rPr>
        <w:t xml:space="preserve">The founder's instinct: ask the Two Questions earlier — at MOATLY signup rather than MOATS onboarding — so that when the user plays the ritual they are already invested in making change. The instinct is correct. The implementation is more interesting than it looks.</w:t>
      </w:r>
    </w:p>
    <w:p>
      <w:pPr>
        <w:pStyle w:val="Heading2"/>
        <w:spacing w:after="140" w:before="280"/>
      </w:pPr>
      <w:r>
        <w:rPr>
          <w:rFonts w:ascii="Calibri" w:cs="Calibri" w:eastAsia="Calibri" w:hAnsi="Calibri"/>
          <w:b/>
          <w:bCs/>
          <w:color w:val="2E4057"/>
          <w:sz w:val="28"/>
          <w:szCs w:val="28"/>
        </w:rPr>
        <w:t xml:space="preserve">7.1  Why earlier is better</w:t>
      </w:r>
    </w:p>
    <w:p>
      <w:pPr>
        <w:spacing w:after="120" w:before="60" w:line="300"/>
      </w:pPr>
      <w:r>
        <w:rPr>
          <w:rFonts w:ascii="Calibri" w:cs="Calibri" w:eastAsia="Calibri" w:hAnsi="Calibri"/>
          <w:b w:val="false"/>
          <w:bCs w:val="false"/>
          <w:i w:val="false"/>
          <w:iCs w:val="false"/>
          <w:color w:val="1A1A1A"/>
          <w:sz w:val="22"/>
          <w:szCs w:val="22"/>
        </w:rPr>
        <w:t xml:space="preserve">The Two Questions are not a form to be filled in. They are a moment of self-declaration. Their value depends entirely on being asked at a threshold — a point at which the user has crossed into something new and is, briefly, more willing to tell themselves the truth than they usually are.</w:t>
      </w:r>
    </w:p>
    <w:p>
      <w:pPr>
        <w:spacing w:after="120" w:before="60" w:line="300"/>
      </w:pPr>
      <w:r>
        <w:rPr>
          <w:rFonts w:ascii="Calibri" w:cs="Calibri" w:eastAsia="Calibri" w:hAnsi="Calibri"/>
          <w:b w:val="false"/>
          <w:bCs w:val="false"/>
          <w:i w:val="false"/>
          <w:iCs w:val="false"/>
          <w:color w:val="1A1A1A"/>
          <w:sz w:val="22"/>
          <w:szCs w:val="22"/>
        </w:rPr>
        <w:t xml:space="preserve">The threshold is the first session of MOATLY, not the first session of MOATS. By the time a user arrives at MOATS they have already had the ritual; the transformative moment has happened; the Two Questions asked afterwards land as retrospection rather than as declaration.</w:t>
      </w:r>
    </w:p>
    <w:p>
      <w:pPr>
        <w:spacing w:after="120" w:before="60" w:line="300"/>
      </w:pPr>
      <w:r>
        <w:rPr>
          <w:rFonts w:ascii="Calibri" w:cs="Calibri" w:eastAsia="Calibri" w:hAnsi="Calibri"/>
          <w:b w:val="false"/>
          <w:bCs w:val="false"/>
          <w:i w:val="false"/>
          <w:iCs w:val="false"/>
          <w:color w:val="1A1A1A"/>
          <w:sz w:val="22"/>
          <w:szCs w:val="22"/>
        </w:rPr>
        <w:t xml:space="preserve">Ask them first. Then, when the ritual begins, the host couple is speaking to someone who has already said what they want to fix. The prescription lands on prepared ground.</w:t>
      </w:r>
    </w:p>
    <w:p>
      <w:pPr>
        <w:pStyle w:val="Heading2"/>
        <w:spacing w:after="140" w:before="280"/>
      </w:pPr>
      <w:r>
        <w:rPr>
          <w:rFonts w:ascii="Calibri" w:cs="Calibri" w:eastAsia="Calibri" w:hAnsi="Calibri"/>
          <w:b/>
          <w:bCs/>
          <w:color w:val="2E4057"/>
          <w:sz w:val="28"/>
          <w:szCs w:val="28"/>
        </w:rPr>
        <w:t xml:space="preserve">7.2  The implementation challenge</w:t>
      </w:r>
    </w:p>
    <w:p>
      <w:pPr>
        <w:spacing w:after="120" w:before="60" w:line="300"/>
      </w:pPr>
      <w:r>
        <w:rPr>
          <w:rFonts w:ascii="Calibri" w:cs="Calibri" w:eastAsia="Calibri" w:hAnsi="Calibri"/>
          <w:b w:val="false"/>
          <w:bCs w:val="false"/>
          <w:i w:val="false"/>
          <w:iCs w:val="false"/>
          <w:color w:val="1A1A1A"/>
          <w:sz w:val="22"/>
          <w:szCs w:val="22"/>
        </w:rPr>
        <w:t xml:space="preserve">MOATLY is a Unity app built by a separate team that has already shipped. Modifying Unity to host the Two Questions would require coordinating with the Unity team, re-testing the ritual flow, and versioning content. This is avoidable.</w:t>
      </w:r>
    </w:p>
    <w:p>
      <w:pPr>
        <w:spacing w:after="120" w:before="60" w:line="300"/>
      </w:pPr>
      <w:r>
        <w:rPr>
          <w:rFonts w:ascii="Calibri" w:cs="Calibri" w:eastAsia="Calibri" w:hAnsi="Calibri"/>
          <w:b w:val="false"/>
          <w:bCs w:val="false"/>
          <w:i w:val="false"/>
          <w:iCs w:val="false"/>
          <w:color w:val="1A1A1A"/>
          <w:sz w:val="22"/>
          <w:szCs w:val="22"/>
        </w:rPr>
        <w:t xml:space="preserve">The cleaner solution is a web-based welcome flow that sits in front of both apps. The user — usually a gift recipient arriving from the card in their box — lands on a URL. That URL walks them through:</w:t>
      </w:r>
    </w:p>
    <w:p>
      <w:pPr>
        <w:pStyle w:val="ListParagraph"/>
        <w:numPr>
          <w:ilvl w:val="0"/>
          <w:numId w:val="3"/>
        </w:numPr>
        <w:spacing w:after="60" w:before="30" w:line="280"/>
      </w:pPr>
      <w:r>
        <w:rPr>
          <w:rFonts w:ascii="Calibri" w:cs="Calibri" w:eastAsia="Calibri" w:hAnsi="Calibri"/>
          <w:color w:val="1A1A1A"/>
          <w:sz w:val="22"/>
          <w:szCs w:val="22"/>
        </w:rPr>
        <w:t xml:space="preserve">The covenant (three clauses, tap-and-hold).</w:t>
      </w:r>
    </w:p>
    <w:p>
      <w:pPr>
        <w:pStyle w:val="ListParagraph"/>
        <w:numPr>
          <w:ilvl w:val="0"/>
          <w:numId w:val="3"/>
        </w:numPr>
        <w:spacing w:after="60" w:before="30" w:line="280"/>
      </w:pPr>
      <w:r>
        <w:rPr>
          <w:rFonts w:ascii="Calibri" w:cs="Calibri" w:eastAsia="Calibri" w:hAnsi="Calibri"/>
          <w:color w:val="1A1A1A"/>
          <w:sz w:val="22"/>
          <w:szCs w:val="22"/>
        </w:rPr>
        <w:t xml:space="preserve">The Two Questions.</w:t>
      </w:r>
    </w:p>
    <w:p>
      <w:pPr>
        <w:pStyle w:val="ListParagraph"/>
        <w:numPr>
          <w:ilvl w:val="0"/>
          <w:numId w:val="3"/>
        </w:numPr>
        <w:spacing w:after="60" w:before="30" w:line="280"/>
      </w:pPr>
      <w:r>
        <w:rPr>
          <w:rFonts w:ascii="Calibri" w:cs="Calibri" w:eastAsia="Calibri" w:hAnsi="Calibri"/>
          <w:color w:val="1A1A1A"/>
          <w:sz w:val="22"/>
          <w:szCs w:val="22"/>
        </w:rPr>
        <w:t xml:space="preserve">Generate + confirm the seed phrase (they write it in the paper journal).</w:t>
      </w:r>
    </w:p>
    <w:p>
      <w:pPr>
        <w:pStyle w:val="ListParagraph"/>
        <w:numPr>
          <w:ilvl w:val="0"/>
          <w:numId w:val="3"/>
        </w:numPr>
        <w:spacing w:after="60" w:before="30" w:line="280"/>
      </w:pPr>
      <w:r>
        <w:rPr>
          <w:rFonts w:ascii="Calibri" w:cs="Calibri" w:eastAsia="Calibri" w:hAnsi="Calibri"/>
          <w:color w:val="1A1A1A"/>
          <w:sz w:val="22"/>
          <w:szCs w:val="22"/>
        </w:rPr>
        <w:t xml:space="preserve">Install MOATS on their phone and pair via QR.</w:t>
      </w:r>
    </w:p>
    <w:p>
      <w:pPr>
        <w:pStyle w:val="ListParagraph"/>
        <w:numPr>
          <w:ilvl w:val="0"/>
          <w:numId w:val="3"/>
        </w:numPr>
        <w:spacing w:after="60" w:before="30" w:line="280"/>
      </w:pPr>
      <w:r>
        <w:rPr>
          <w:rFonts w:ascii="Calibri" w:cs="Calibri" w:eastAsia="Calibri" w:hAnsi="Calibri"/>
          <w:color w:val="1A1A1A"/>
          <w:sz w:val="22"/>
          <w:szCs w:val="22"/>
        </w:rPr>
        <w:t xml:space="preserve">Install MOATLY on their big screen and pair via QR.</w:t>
      </w:r>
    </w:p>
    <w:p>
      <w:pPr>
        <w:pStyle w:val="ListParagraph"/>
        <w:numPr>
          <w:ilvl w:val="0"/>
          <w:numId w:val="3"/>
        </w:numPr>
        <w:spacing w:after="60" w:before="30" w:line="280"/>
      </w:pPr>
      <w:r>
        <w:rPr>
          <w:rFonts w:ascii="Calibri" w:cs="Calibri" w:eastAsia="Calibri" w:hAnsi="Calibri"/>
          <w:color w:val="1A1A1A"/>
          <w:sz w:val="22"/>
          <w:szCs w:val="22"/>
        </w:rPr>
        <w:t xml:space="preserve">A final screen that simply says: ‘Your first ritual is ready when you are. Take your tea.’</w:t>
      </w:r>
    </w:p>
    <w:p>
      <w:pPr>
        <w:spacing w:after="120" w:before="60" w:line="300"/>
      </w:pPr>
      <w:r>
        <w:rPr>
          <w:rFonts w:ascii="Calibri" w:cs="Calibri" w:eastAsia="Calibri" w:hAnsi="Calibri"/>
          <w:b w:val="false"/>
          <w:bCs w:val="false"/>
          <w:i w:val="false"/>
          <w:iCs w:val="false"/>
          <w:color w:val="1A1A1A"/>
          <w:sz w:val="22"/>
          <w:szCs w:val="22"/>
        </w:rPr>
        <w:t xml:space="preserve">The answers to the Two Questions are stored in the shared account service and made available to both apps via the linkage contract. MOATLY reads them (but does not display them — they stay private) and can optionally tune the host pairings or the prescription tone on that basis. MOATS displays the two-line compass next to the user's pseudonym in their Moat.</w:t>
      </w:r>
    </w:p>
    <w:p>
      <w:pPr>
        <w:pStyle w:val="Heading2"/>
        <w:spacing w:after="140" w:before="280"/>
      </w:pPr>
      <w:r>
        <w:rPr>
          <w:rFonts w:ascii="Calibri" w:cs="Calibri" w:eastAsia="Calibri" w:hAnsi="Calibri"/>
          <w:b/>
          <w:bCs/>
          <w:color w:val="2E4057"/>
          <w:sz w:val="28"/>
          <w:szCs w:val="28"/>
        </w:rPr>
        <w:t xml:space="preserve">7.3  Why a web flow is the right answer</w:t>
      </w:r>
    </w:p>
    <w:p>
      <w:pPr>
        <w:pStyle w:val="ListParagraph"/>
        <w:numPr>
          <w:ilvl w:val="0"/>
          <w:numId w:val="2"/>
        </w:numPr>
        <w:spacing w:after="60" w:before="30" w:line="280"/>
      </w:pPr>
      <w:r>
        <w:rPr>
          <w:rFonts w:ascii="Calibri" w:cs="Calibri" w:eastAsia="Calibri" w:hAnsi="Calibri"/>
          <w:color w:val="1A1A1A"/>
          <w:sz w:val="22"/>
          <w:szCs w:val="22"/>
        </w:rPr>
        <w:t xml:space="preserve">It avoids Unity changes. The Unity app treats its users as already-onboarded.</w:t>
      </w:r>
    </w:p>
    <w:p>
      <w:pPr>
        <w:pStyle w:val="ListParagraph"/>
        <w:numPr>
          <w:ilvl w:val="0"/>
          <w:numId w:val="2"/>
        </w:numPr>
        <w:spacing w:after="60" w:before="30" w:line="280"/>
      </w:pPr>
      <w:r>
        <w:rPr>
          <w:rFonts w:ascii="Calibri" w:cs="Calibri" w:eastAsia="Calibri" w:hAnsi="Calibri"/>
          <w:color w:val="1A1A1A"/>
          <w:sz w:val="22"/>
          <w:szCs w:val="22"/>
        </w:rPr>
        <w:t xml:space="preserve">It works on any device — including the recipient's phone, before they have installed anything.</w:t>
      </w:r>
    </w:p>
    <w:p>
      <w:pPr>
        <w:pStyle w:val="ListParagraph"/>
        <w:numPr>
          <w:ilvl w:val="0"/>
          <w:numId w:val="2"/>
        </w:numPr>
        <w:spacing w:after="60" w:before="30" w:line="280"/>
      </w:pPr>
      <w:r>
        <w:rPr>
          <w:rFonts w:ascii="Calibri" w:cs="Calibri" w:eastAsia="Calibri" w:hAnsi="Calibri"/>
          <w:color w:val="1A1A1A"/>
          <w:sz w:val="22"/>
          <w:szCs w:val="22"/>
        </w:rPr>
        <w:t xml:space="preserve">It can be beautiful and unhurried in a way that in-app onboarding for a game engine or a native app often cannot.</w:t>
      </w:r>
    </w:p>
    <w:p>
      <w:pPr>
        <w:pStyle w:val="ListParagraph"/>
        <w:numPr>
          <w:ilvl w:val="0"/>
          <w:numId w:val="2"/>
        </w:numPr>
        <w:spacing w:after="60" w:before="30" w:line="280"/>
      </w:pPr>
      <w:r>
        <w:rPr>
          <w:rFonts w:ascii="Calibri" w:cs="Calibri" w:eastAsia="Calibri" w:hAnsi="Calibri"/>
          <w:color w:val="1A1A1A"/>
          <w:sz w:val="22"/>
          <w:szCs w:val="22"/>
        </w:rPr>
        <w:t xml:space="preserve">It is reversible. If we want to change onboarding in year two, we change the web flow without a new app submission.</w:t>
      </w:r>
    </w:p>
    <w:p>
      <w:pPr>
        <w:pStyle w:val="ListParagraph"/>
        <w:numPr>
          <w:ilvl w:val="0"/>
          <w:numId w:val="2"/>
        </w:numPr>
        <w:spacing w:after="60" w:before="30" w:line="280"/>
      </w:pPr>
      <w:r>
        <w:rPr>
          <w:rFonts w:ascii="Calibri" w:cs="Calibri" w:eastAsia="Calibri" w:hAnsi="Calibri"/>
          <w:color w:val="1A1A1A"/>
          <w:sz w:val="22"/>
          <w:szCs w:val="22"/>
        </w:rPr>
        <w:t xml:space="preserve">It provides a natural URL for the gift card to direct recipients to, closing the purchase → unboxing → activation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Proposed URL</w:t>
            </w:r>
          </w:p>
          <w:p>
            <w:pPr>
              <w:spacing w:after="60" w:before="0" w:line="280"/>
            </w:pPr>
            <w:r>
              <w:rPr>
                <w:rFonts w:ascii="Calibri" w:cs="Calibri" w:eastAsia="Calibri" w:hAnsi="Calibri"/>
                <w:color w:val="1A1A1A"/>
                <w:sz w:val="22"/>
                <w:szCs w:val="22"/>
              </w:rPr>
              <w:t xml:space="preserve">welcome.moatly.com — a deliberately sparse page. White space. One sentence at a time. Takes about seven minutes to complete at a thoughtful pace.</w:t>
            </w:r>
          </w:p>
        </w:tc>
      </w:tr>
    </w:tbl>
    <w:p>
      <w:r>
        <w:br w:type="page"/>
      </w:r>
    </w:p>
    <w:p>
      <w:pPr>
        <w:pStyle w:val="Heading1"/>
        <w:spacing w:after="180" w:before="360"/>
      </w:pPr>
      <w:r>
        <w:rPr>
          <w:rFonts w:ascii="Calibri" w:cs="Calibri" w:eastAsia="Calibri" w:hAnsi="Calibri"/>
          <w:b/>
          <w:bCs/>
          <w:color w:val="2E4057"/>
          <w:sz w:val="36"/>
          <w:szCs w:val="36"/>
        </w:rPr>
        <w:t xml:space="preserve">8.  Packaging and pricing</w:t>
      </w:r>
    </w:p>
    <w:p>
      <w:pPr>
        <w:spacing w:after="120" w:before="60" w:line="300"/>
      </w:pPr>
      <w:r>
        <w:rPr>
          <w:rFonts w:ascii="Calibri" w:cs="Calibri" w:eastAsia="Calibri" w:hAnsi="Calibri"/>
          <w:b w:val="false"/>
          <w:bCs w:val="false"/>
          <w:i w:val="false"/>
          <w:iCs w:val="false"/>
          <w:color w:val="1A1A1A"/>
          <w:sz w:val="22"/>
          <w:szCs w:val="22"/>
        </w:rPr>
        <w:t xml:space="preserve">Three tiers, optimised for gifting, each of which also works as a self-purchase. Prices are proposed in AUD for the Australia + New Zealand launch markets; the same tiering should be replicated in NZD, GBP, and USD with regionally appropriate price points for subsequent market expansion.</w:t>
      </w:r>
    </w:p>
    <w:p>
      <w:pPr>
        <w:pStyle w:val="Heading2"/>
        <w:spacing w:after="140" w:before="280"/>
      </w:pPr>
      <w:r>
        <w:rPr>
          <w:rFonts w:ascii="Calibri" w:cs="Calibri" w:eastAsia="Calibri" w:hAnsi="Calibri"/>
          <w:b/>
          <w:bCs/>
          <w:color w:val="2E4057"/>
          <w:sz w:val="28"/>
          <w:szCs w:val="28"/>
        </w:rPr>
        <w:t xml:space="preserve">8.1  The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300"/>
        <w:gridCol w:w="2360"/>
      </w:tblGrid>
      <w:tr>
        <w:trPr>
          <w:tblHeader/>
        </w:trPr>
        <w:tc>
          <w:tcPr>
            <w:tcW w:type="dxa" w:w="1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Tier</w:t>
            </w:r>
          </w:p>
        </w:tc>
        <w:tc>
          <w:tcPr>
            <w:tcW w:type="dxa" w:w="9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Price (AUD)</w:t>
            </w:r>
          </w:p>
        </w:tc>
        <w:tc>
          <w:tcPr>
            <w:tcW w:type="dxa" w:w="43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What's in the box</w:t>
            </w:r>
          </w:p>
        </w:tc>
        <w:tc>
          <w:tcPr>
            <w:tcW w:type="dxa" w:w="23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Positioning</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Threshold</w:t>
            </w:r>
          </w:p>
        </w:tc>
        <w:tc>
          <w:tcPr>
            <w:tcW w:type="dxa" w:w="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$89</w:t>
            </w:r>
          </w:p>
        </w:tc>
        <w:tc>
          <w:tcPr>
            <w:tcW w:type="dxa" w:w="4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3 months MOATLY unlimited  ·  3 months MOATS access  ·  Standard linen-bound journal  ·  Welcome card</w:t>
            </w:r>
          </w:p>
        </w:tc>
        <w:tc>
          <w:tcPr>
            <w:tcW w:type="dxa" w:w="2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affordable entry. A gift for a friend you are not sure about. A self-purchase for a curious sceptic.</w:t>
            </w:r>
          </w:p>
        </w:tc>
      </w:tr>
      <w:tr>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Practice</w:t>
            </w:r>
          </w:p>
        </w:tc>
        <w:tc>
          <w:tcPr>
            <w:tcW w:type="dxa" w:w="9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$199</w:t>
            </w:r>
          </w:p>
        </w:tc>
        <w:tc>
          <w:tcPr>
            <w:tcW w:type="dxa" w:w="43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12 months MOATLY unlimited  ·  12 months MOATS access  ·  Premium linen-bound journal  ·  Three-month tea pack  ·  Virtual Device (software)</w:t>
            </w:r>
          </w:p>
        </w:tc>
        <w:tc>
          <w:tcPr>
            <w:tcW w:type="dxa" w:w="2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standard. The default recommendation on the website. What most self-purchasers will buy.</w:t>
            </w:r>
          </w:p>
        </w:tc>
      </w:tr>
      <w:tr>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Full Rite</w:t>
            </w:r>
          </w:p>
        </w:tc>
        <w:tc>
          <w:tcPr>
            <w:tcW w:type="dxa" w:w="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$499</w:t>
            </w:r>
          </w:p>
        </w:tc>
        <w:tc>
          <w:tcPr>
            <w:tcW w:type="dxa" w:w="4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12 months MOATLY unlimited  ·  12 months MOATS access  ·  Leather-bound journal  ·  Twelve-month tea pack  ·  Premium Device (the physical hardware)  ·  Hand-addressed welcome letter from the founder</w:t>
            </w:r>
          </w:p>
        </w:tc>
        <w:tc>
          <w:tcPr>
            <w:tcW w:type="dxa" w:w="2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gift. The anniversary present. The I-love-you-and-I-want-you-to-have-real-time-with-yourself present.</w:t>
            </w:r>
          </w:p>
        </w:tc>
      </w:tr>
    </w:tbl>
    <w:p>
      <w:pPr>
        <w:pStyle w:val="Heading2"/>
        <w:spacing w:after="140" w:before="280"/>
      </w:pPr>
      <w:r>
        <w:rPr>
          <w:rFonts w:ascii="Calibri" w:cs="Calibri" w:eastAsia="Calibri" w:hAnsi="Calibri"/>
          <w:b/>
          <w:bCs/>
          <w:color w:val="2E4057"/>
          <w:sz w:val="28"/>
          <w:szCs w:val="28"/>
        </w:rPr>
        <w:t xml:space="preserve">8.2  Auxiliary and accessory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Item</w:t>
            </w:r>
          </w:p>
        </w:tc>
        <w:tc>
          <w:tcPr>
            <w:tcW w:type="dxa" w:w="1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Price</w:t>
            </w:r>
          </w:p>
        </w:tc>
        <w:tc>
          <w:tcPr>
            <w:tcW w:type="dxa" w:w="51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Notes</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Monthly MOATLY (standalone)</w:t>
            </w:r>
          </w:p>
        </w:tc>
        <w:tc>
          <w:tcPr>
            <w:tcW w:type="dxa" w:w="1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$25/month</w:t>
            </w:r>
          </w:p>
        </w:tc>
        <w:tc>
          <w:tcPr>
            <w:tcW w:type="dxa" w:w="51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No gift box. Digital only. For users who do not want to commit to a year.</w:t>
            </w:r>
          </w:p>
        </w:tc>
      </w:tr>
      <w:tr>
        <w:tc>
          <w:tcPr>
            <w:tcW w:type="dxa" w:w="2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Annual MOATLY renewal</w:t>
            </w:r>
          </w:p>
        </w:tc>
        <w:tc>
          <w:tcPr>
            <w:tcW w:type="dxa" w:w="1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$159/year</w:t>
            </w:r>
          </w:p>
        </w:tc>
        <w:tc>
          <w:tcPr>
            <w:tcW w:type="dxa" w:w="51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Post-first-year continuation. Lower than Practice tier because no new physical goods.</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Tea subscription</w:t>
            </w:r>
          </w:p>
        </w:tc>
        <w:tc>
          <w:tcPr>
            <w:tcW w:type="dxa" w:w="1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$29/month</w:t>
            </w:r>
          </w:p>
        </w:tc>
        <w:tc>
          <w:tcPr>
            <w:tcW w:type="dxa" w:w="51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Monthly tea delivery. Consumable, recurring, high-margin. Starts after first box tea runs out.</w:t>
            </w:r>
          </w:p>
        </w:tc>
      </w:tr>
      <w:tr>
        <w:tc>
          <w:tcPr>
            <w:tcW w:type="dxa" w:w="2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Replacement journal</w:t>
            </w:r>
          </w:p>
        </w:tc>
        <w:tc>
          <w:tcPr>
            <w:tcW w:type="dxa" w:w="1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$49</w:t>
            </w:r>
          </w:p>
        </w:tc>
        <w:tc>
          <w:tcPr>
            <w:tcW w:type="dxa" w:w="51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When the first is full. Same binding as the user's original tier.</w:t>
            </w:r>
          </w:p>
        </w:tc>
      </w:tr>
      <w:tr>
        <w:tc>
          <w:tcPr>
            <w:tcW w:type="dxa" w:w="2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Simple Device (stand-alone)</w:t>
            </w:r>
          </w:p>
        </w:tc>
        <w:tc>
          <w:tcPr>
            <w:tcW w:type="dxa" w:w="1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$39</w:t>
            </w:r>
          </w:p>
        </w:tc>
        <w:tc>
          <w:tcPr>
            <w:tcW w:type="dxa" w:w="51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For concession users; bundled free with certain tiers via the concession path described in the Build Brief.</w:t>
            </w:r>
          </w:p>
        </w:tc>
      </w:tr>
      <w:tr>
        <w:tc>
          <w:tcPr>
            <w:tcW w:type="dxa" w:w="2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Premium Device (stand-alone)</w:t>
            </w:r>
          </w:p>
        </w:tc>
        <w:tc>
          <w:tcPr>
            <w:tcW w:type="dxa" w:w="1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$249</w:t>
            </w:r>
          </w:p>
        </w:tc>
        <w:tc>
          <w:tcPr>
            <w:tcW w:type="dxa" w:w="51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For Practice-tier users who upgrade to the physical device.</w:t>
            </w:r>
          </w:p>
        </w:tc>
      </w:tr>
    </w:tbl>
    <w:p>
      <w:pPr>
        <w:pStyle w:val="Heading2"/>
        <w:spacing w:after="140" w:before="280"/>
      </w:pPr>
      <w:r>
        <w:rPr>
          <w:rFonts w:ascii="Calibri" w:cs="Calibri" w:eastAsia="Calibri" w:hAnsi="Calibri"/>
          <w:b/>
          <w:bCs/>
          <w:color w:val="2E4057"/>
          <w:sz w:val="28"/>
          <w:szCs w:val="28"/>
        </w:rPr>
        <w:t xml:space="preserve">8.3  The concession pathway</w:t>
      </w:r>
    </w:p>
    <w:p>
      <w:pPr>
        <w:spacing w:after="120" w:before="60" w:line="300"/>
      </w:pPr>
      <w:r>
        <w:rPr>
          <w:rFonts w:ascii="Calibri" w:cs="Calibri" w:eastAsia="Calibri" w:hAnsi="Calibri"/>
          <w:b w:val="false"/>
          <w:bCs w:val="false"/>
          <w:i w:val="false"/>
          <w:iCs w:val="false"/>
          <w:color w:val="1A1A1A"/>
          <w:sz w:val="22"/>
          <w:szCs w:val="22"/>
        </w:rPr>
        <w:t xml:space="preserve">No user should be excluded from Moatly for inability to afford it. The concession pathway, referenced in the Build Brief's device-tier section, applies to the whole product:</w:t>
      </w:r>
    </w:p>
    <w:p>
      <w:pPr>
        <w:pStyle w:val="ListParagraph"/>
        <w:numPr>
          <w:ilvl w:val="0"/>
          <w:numId w:val="2"/>
        </w:numPr>
        <w:spacing w:after="60" w:before="30" w:line="280"/>
      </w:pPr>
      <w:r>
        <w:rPr>
          <w:rFonts w:ascii="Calibri" w:cs="Calibri" w:eastAsia="Calibri" w:hAnsi="Calibri"/>
          <w:color w:val="1A1A1A"/>
          <w:sz w:val="22"/>
          <w:szCs w:val="22"/>
        </w:rPr>
        <w:t xml:space="preserve">A self-declared concession route on the website. No verification. No pantomime of means-testing.</w:t>
      </w:r>
    </w:p>
    <w:p>
      <w:pPr>
        <w:pStyle w:val="ListParagraph"/>
        <w:numPr>
          <w:ilvl w:val="0"/>
          <w:numId w:val="2"/>
        </w:numPr>
        <w:spacing w:after="60" w:before="30" w:line="280"/>
      </w:pPr>
      <w:r>
        <w:rPr>
          <w:rFonts w:ascii="Calibri" w:cs="Calibri" w:eastAsia="Calibri" w:hAnsi="Calibri"/>
          <w:color w:val="1A1A1A"/>
          <w:sz w:val="22"/>
          <w:szCs w:val="22"/>
        </w:rPr>
        <w:t xml:space="preserve">Concession users receive the Threshold tier at AUD $0 for the first three months, then AUD $6/month thereafter, maintained indefinitely.</w:t>
      </w:r>
    </w:p>
    <w:p>
      <w:pPr>
        <w:pStyle w:val="ListParagraph"/>
        <w:numPr>
          <w:ilvl w:val="0"/>
          <w:numId w:val="2"/>
        </w:numPr>
        <w:spacing w:after="60" w:before="30" w:line="280"/>
      </w:pPr>
      <w:r>
        <w:rPr>
          <w:rFonts w:ascii="Calibri" w:cs="Calibri" w:eastAsia="Calibri" w:hAnsi="Calibri"/>
          <w:color w:val="1A1A1A"/>
          <w:sz w:val="22"/>
          <w:szCs w:val="22"/>
        </w:rPr>
        <w:t xml:space="preserve">The Simple Device is shipped free to concession users (hardware subsidised by Full Rite margins).</w:t>
      </w:r>
    </w:p>
    <w:p>
      <w:pPr>
        <w:pStyle w:val="ListParagraph"/>
        <w:numPr>
          <w:ilvl w:val="0"/>
          <w:numId w:val="2"/>
        </w:numPr>
        <w:spacing w:after="60" w:before="30" w:line="280"/>
      </w:pPr>
      <w:r>
        <w:rPr>
          <w:rFonts w:ascii="Calibri" w:cs="Calibri" w:eastAsia="Calibri" w:hAnsi="Calibri"/>
          <w:color w:val="1A1A1A"/>
          <w:sz w:val="22"/>
          <w:szCs w:val="22"/>
        </w:rPr>
        <w:t xml:space="preserve">The Virtual Device is always free and always available.</w:t>
      </w:r>
    </w:p>
    <w:p>
      <w:pPr>
        <w:spacing w:after="120" w:before="60" w:line="300"/>
      </w:pPr>
      <w:r>
        <w:rPr>
          <w:rFonts w:ascii="Calibri" w:cs="Calibri" w:eastAsia="Calibri" w:hAnsi="Calibri"/>
          <w:b w:val="false"/>
          <w:bCs w:val="false"/>
          <w:i w:val="false"/>
          <w:iCs w:val="false"/>
          <w:color w:val="1A1A1A"/>
          <w:sz w:val="22"/>
          <w:szCs w:val="22"/>
        </w:rPr>
        <w:t xml:space="preserve">The concession pathway is expected to serve approximately 5–10% of the user base and is structurally break-even or marginally loss-making. It is a commitment, not a loss-leader marketing ploy.</w:t>
      </w:r>
    </w:p>
    <w:p>
      <w:pPr>
        <w:pStyle w:val="Heading2"/>
        <w:spacing w:after="140" w:before="280"/>
      </w:pPr>
      <w:r>
        <w:rPr>
          <w:rFonts w:ascii="Calibri" w:cs="Calibri" w:eastAsia="Calibri" w:hAnsi="Calibri"/>
          <w:b/>
          <w:bCs/>
          <w:color w:val="2E4057"/>
          <w:sz w:val="28"/>
          <w:szCs w:val="28"/>
        </w:rPr>
        <w:t xml:space="preserve">8.4  The gifting mechanics</w:t>
      </w:r>
    </w:p>
    <w:p>
      <w:pPr>
        <w:spacing w:after="120" w:before="60" w:line="300"/>
      </w:pPr>
      <w:r>
        <w:rPr>
          <w:rFonts w:ascii="Calibri" w:cs="Calibri" w:eastAsia="Calibri" w:hAnsi="Calibri"/>
          <w:b w:val="false"/>
          <w:bCs w:val="false"/>
          <w:i w:val="false"/>
          <w:iCs w:val="false"/>
          <w:color w:val="1A1A1A"/>
          <w:sz w:val="22"/>
          <w:szCs w:val="22"/>
        </w:rPr>
        <w:t xml:space="preserve">A gift purchase is not the same product as a self-purchase. Specific gift-mode features:</w:t>
      </w:r>
    </w:p>
    <w:p>
      <w:pPr>
        <w:pStyle w:val="ListParagraph"/>
        <w:numPr>
          <w:ilvl w:val="0"/>
          <w:numId w:val="2"/>
        </w:numPr>
        <w:spacing w:after="60" w:before="30" w:line="280"/>
      </w:pPr>
      <w:r>
        <w:rPr>
          <w:rFonts w:ascii="Calibri" w:cs="Calibri" w:eastAsia="Calibri" w:hAnsi="Calibri"/>
          <w:color w:val="1A1A1A"/>
          <w:sz w:val="22"/>
          <w:szCs w:val="22"/>
        </w:rPr>
        <w:t xml:space="preserve">Scheduled delivery — buyer chooses the arrival date. Birthday, anniversary, winter solstice.</w:t>
      </w:r>
    </w:p>
    <w:p>
      <w:pPr>
        <w:pStyle w:val="ListParagraph"/>
        <w:numPr>
          <w:ilvl w:val="0"/>
          <w:numId w:val="2"/>
        </w:numPr>
        <w:spacing w:after="60" w:before="30" w:line="280"/>
      </w:pPr>
      <w:r>
        <w:rPr>
          <w:rFonts w:ascii="Calibri" w:cs="Calibri" w:eastAsia="Calibri" w:hAnsi="Calibri"/>
          <w:color w:val="1A1A1A"/>
          <w:sz w:val="22"/>
          <w:szCs w:val="22"/>
        </w:rPr>
        <w:t xml:space="preserve">Hand-addressed option — for an extra AUD $9, the welcome card is hand-written by a human. This is real, not a flourish. It matters.</w:t>
      </w:r>
    </w:p>
    <w:p>
      <w:pPr>
        <w:pStyle w:val="ListParagraph"/>
        <w:numPr>
          <w:ilvl w:val="0"/>
          <w:numId w:val="2"/>
        </w:numPr>
        <w:spacing w:after="60" w:before="30" w:line="280"/>
      </w:pPr>
      <w:r>
        <w:rPr>
          <w:rFonts w:ascii="Calibri" w:cs="Calibri" w:eastAsia="Calibri" w:hAnsi="Calibri"/>
          <w:color w:val="1A1A1A"/>
          <w:sz w:val="22"/>
          <w:szCs w:val="22"/>
        </w:rPr>
        <w:t xml:space="preserve">Printed or digital gift reveal — buyer's choice. Some people want to hand it over in person; others want the email-arrives-on-the-day experience.</w:t>
      </w:r>
    </w:p>
    <w:p>
      <w:pPr>
        <w:pStyle w:val="ListParagraph"/>
        <w:numPr>
          <w:ilvl w:val="0"/>
          <w:numId w:val="2"/>
        </w:numPr>
        <w:spacing w:after="60" w:before="30" w:line="280"/>
      </w:pPr>
      <w:r>
        <w:rPr>
          <w:rFonts w:ascii="Calibri" w:cs="Calibri" w:eastAsia="Calibri" w:hAnsi="Calibri"/>
          <w:color w:val="1A1A1A"/>
          <w:sz w:val="22"/>
          <w:szCs w:val="22"/>
        </w:rPr>
        <w:t xml:space="preserve">Gift code, not a direct account — the recipient activates on their own terms and with their own email address. The buyer never has access to the recipient's account.</w:t>
      </w:r>
    </w:p>
    <w:p>
      <w:pPr>
        <w:pStyle w:val="ListParagraph"/>
        <w:numPr>
          <w:ilvl w:val="0"/>
          <w:numId w:val="2"/>
        </w:numPr>
        <w:spacing w:after="60" w:before="30" w:line="280"/>
      </w:pPr>
      <w:r>
        <w:rPr>
          <w:rFonts w:ascii="Calibri" w:cs="Calibri" w:eastAsia="Calibri" w:hAnsi="Calibri"/>
          <w:color w:val="1A1A1A"/>
          <w:sz w:val="22"/>
          <w:szCs w:val="22"/>
        </w:rPr>
        <w:t xml:space="preserve">Gift receipt without prices — optional, standard practice.</w:t>
      </w:r>
    </w:p>
    <w:p>
      <w:pPr>
        <w:pStyle w:val="ListParagraph"/>
        <w:numPr>
          <w:ilvl w:val="0"/>
          <w:numId w:val="2"/>
        </w:numPr>
        <w:spacing w:after="60" w:before="30" w:line="280"/>
      </w:pPr>
      <w:r>
        <w:rPr>
          <w:rFonts w:ascii="Calibri" w:cs="Calibri" w:eastAsia="Calibri" w:hAnsi="Calibri"/>
          <w:color w:val="1A1A1A"/>
          <w:sz w:val="22"/>
          <w:szCs w:val="22"/>
        </w:rPr>
        <w:t xml:space="preserve">No ‘who is it for’ analytics — we do not track whether the gift was opened, activated, or used. The buyer gets a confirmation that it shipped; the recipient gets their own private onboarding.</w:t>
      </w:r>
    </w:p>
    <w:p>
      <w:pPr>
        <w:pStyle w:val="Heading2"/>
        <w:spacing w:after="140" w:before="280"/>
      </w:pPr>
      <w:r>
        <w:rPr>
          <w:rFonts w:ascii="Calibri" w:cs="Calibri" w:eastAsia="Calibri" w:hAnsi="Calibri"/>
          <w:b/>
          <w:bCs/>
          <w:color w:val="2E4057"/>
          <w:sz w:val="28"/>
          <w:szCs w:val="28"/>
        </w:rPr>
        <w:t xml:space="preserve">8.5  Seasonal cadence</w:t>
      </w:r>
    </w:p>
    <w:p>
      <w:pPr>
        <w:spacing w:after="120" w:before="60" w:line="300"/>
      </w:pPr>
      <w:r>
        <w:rPr>
          <w:rFonts w:ascii="Calibri" w:cs="Calibri" w:eastAsia="Calibri" w:hAnsi="Calibri"/>
          <w:b w:val="false"/>
          <w:bCs w:val="false"/>
          <w:i w:val="false"/>
          <w:iCs w:val="false"/>
          <w:color w:val="1A1A1A"/>
          <w:sz w:val="22"/>
          <w:szCs w:val="22"/>
        </w:rPr>
        <w:t xml:space="preserve">Gifting is seasonal. In Australia, the calendar of gifting and self-purchase moments is different from the northern-hemisphere default. Christmas is still the largest single window but it is a summer-outdoor event rather than a winter-indoor one, which changes the tone of the campaign. Australian Father's Day falls on the first Sunday of September (not June), and the end of the Australian financial year on 30 June produces a genuine self-purchase spike that does not exist in UK or US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Period</w:t>
            </w:r>
          </w:p>
        </w:tc>
        <w:tc>
          <w:tcPr>
            <w:tcW w:type="dxa" w:w="2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Share of annual gift revenue</w:t>
            </w:r>
          </w:p>
        </w:tc>
        <w:tc>
          <w:tcPr>
            <w:tcW w:type="dxa" w:w="45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Positioning</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November–December</w:t>
            </w:r>
          </w:p>
        </w:tc>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~38%</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Christmas gifting. Primary inventory buildup. Deliver weeks tight because summer mail congestion.</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January–February</w:t>
            </w:r>
          </w:p>
        </w:tc>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~14%</w:t>
            </w:r>
          </w:p>
        </w:tc>
        <w:tc>
          <w:tcPr>
            <w:tcW w:type="dxa" w:w="4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Back-to-year (schools and universities restart). ‘This year I actually will’ self-purchase season.</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March–May</w:t>
            </w:r>
          </w:p>
        </w:tc>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~18%</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Mother's Day (second Sunday of May), Easter gifting, and the run-up to EOFY. Strong quarter.</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June (first half)</w:t>
            </w:r>
          </w:p>
        </w:tc>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~10%</w:t>
            </w:r>
          </w:p>
        </w:tc>
        <w:tc>
          <w:tcPr>
            <w:tcW w:type="dxa" w:w="4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EOFY — ‘tax-deductible self-development’ framing, if the positioning is honest and the tax treatment actually applies. Worth a careful campaign.</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August–September</w:t>
            </w:r>
          </w:p>
        </w:tc>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~12%</w:t>
            </w:r>
          </w:p>
        </w:tc>
        <w:tc>
          <w:tcPr>
            <w:tcW w:type="dxa" w:w="4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Australian Father's Day (first Sunday of September). The September back-to-self season, when the weather turns and the year tilts toward reflection.</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October</w:t>
            </w:r>
          </w:p>
        </w:tc>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~8%</w:t>
            </w:r>
          </w:p>
        </w:tc>
        <w:tc>
          <w:tcPr>
            <w:tcW w:type="dxa" w:w="4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Soft spring. Lead-in to Christmas. The month to catch gift-buyers who are planning ahead.</w:t>
            </w:r>
          </w:p>
        </w:tc>
      </w:tr>
    </w:tbl>
    <w:p>
      <w:pPr>
        <w:spacing w:after="120" w:before="60" w:line="300"/>
      </w:pPr>
      <w:r>
        <w:rPr>
          <w:rFonts w:ascii="Calibri" w:cs="Calibri" w:eastAsia="Calibri" w:hAnsi="Calibri"/>
          <w:b w:val="false"/>
          <w:bCs w:val="false"/>
          <w:i w:val="false"/>
          <w:iCs w:val="false"/>
          <w:color w:val="1A1A1A"/>
          <w:sz w:val="22"/>
          <w:szCs w:val="22"/>
        </w:rPr>
        <w:t xml:space="preserve">Note that the Australian gifting calendar is less concentrated than the UK equivalent — November-December represents approximately 38% of annual gift revenue in Australia versus closer to 45% in the UK — because the EOFY self-purchase moment and the September Father's Day add genuine mid-year volume. This modestly reduces inventory and working-capital risk.</w:t>
      </w:r>
    </w:p>
    <w:p>
      <w:r>
        <w:br w:type="page"/>
      </w:r>
    </w:p>
    <w:p>
      <w:pPr>
        <w:pStyle w:val="Heading1"/>
        <w:spacing w:after="180" w:before="360"/>
      </w:pPr>
      <w:r>
        <w:rPr>
          <w:rFonts w:ascii="Calibri" w:cs="Calibri" w:eastAsia="Calibri" w:hAnsi="Calibri"/>
          <w:b/>
          <w:bCs/>
          <w:color w:val="2E4057"/>
          <w:sz w:val="36"/>
          <w:szCs w:val="36"/>
        </w:rPr>
        <w:t xml:space="preserve">9.  E-commerce architecture</w:t>
      </w:r>
    </w:p>
    <w:p>
      <w:pPr>
        <w:spacing w:after="120" w:before="60" w:line="300"/>
      </w:pPr>
      <w:r>
        <w:rPr>
          <w:rFonts w:ascii="Calibri" w:cs="Calibri" w:eastAsia="Calibri" w:hAnsi="Calibri"/>
          <w:b w:val="false"/>
          <w:bCs w:val="false"/>
          <w:i w:val="false"/>
          <w:iCs w:val="false"/>
          <w:color w:val="1A1A1A"/>
          <w:sz w:val="22"/>
          <w:szCs w:val="22"/>
        </w:rPr>
        <w:t xml:space="preserve">The commercial stack is intentionally boring and proven. Nothing bespoke. The customer-facing website, the cart, the payment processing, and the physical fulfilment are all off-the-shelf. The only custom piece is the bridge between ‘gift purchased’ and ‘account provisioned’, which we build.</w:t>
      </w:r>
    </w:p>
    <w:p>
      <w:pPr>
        <w:pStyle w:val="Heading2"/>
        <w:spacing w:after="140" w:before="280"/>
      </w:pPr>
      <w:r>
        <w:rPr>
          <w:rFonts w:ascii="Calibri" w:cs="Calibri" w:eastAsia="Calibri" w:hAnsi="Calibri"/>
          <w:b/>
          <w:bCs/>
          <w:color w:val="2E4057"/>
          <w:sz w:val="28"/>
          <w:szCs w:val="28"/>
        </w:rPr>
        <w:t xml:space="preserve">9.1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Layer</w:t>
            </w:r>
          </w:p>
        </w:tc>
        <w:tc>
          <w:tcPr>
            <w:tcW w:type="dxa" w:w="2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Choice</w:t>
            </w:r>
          </w:p>
        </w:tc>
        <w:tc>
          <w:tcPr>
            <w:tcW w:type="dxa" w:w="53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Rationale</w:t>
            </w:r>
          </w:p>
        </w:tc>
      </w:tr>
      <w:tr>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Storefront</w:t>
            </w:r>
          </w:p>
        </w:tc>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Shopify</w:t>
            </w:r>
          </w:p>
        </w:tc>
        <w:tc>
          <w:tcPr>
            <w:tcW w:type="dxa" w:w="5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Best-in-class consumer commerce, native gifting support, fast to launch, good gift-card primitives.</w:t>
            </w:r>
          </w:p>
        </w:tc>
      </w:tr>
      <w:tr>
        <w:tc>
          <w:tcPr>
            <w:tcW w:type="dxa" w:w="1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Payments</w:t>
            </w:r>
          </w:p>
        </w:tc>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Stripe (plus Shopify Payments where appropriate)</w:t>
            </w:r>
          </w:p>
        </w:tc>
        <w:tc>
          <w:tcPr>
            <w:tcW w:type="dxa" w:w="5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Multi-currency, subscriptions, SCA-ready, straightforward partial refunds.</w:t>
            </w:r>
          </w:p>
        </w:tc>
      </w:tr>
      <w:tr>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Fulfilment</w:t>
            </w:r>
          </w:p>
        </w:tc>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single 3PL partner in Australia (Melbourne or Sydney based), plus a New Zealand partner from month three. UK fulfilment partner added Year 2.</w:t>
            </w:r>
          </w:p>
        </w:tc>
        <w:tc>
          <w:tcPr>
            <w:tcW w:type="dxa" w:w="5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Physical goods (journal, tea, device) are shipped from a consolidated pick-and-pack operation. Low complexity, predictable unit economics. AU fulfilment costs are materially higher than UK equivalents; this is built into the COGS figures in section 10.</w:t>
            </w:r>
          </w:p>
        </w:tc>
      </w:tr>
      <w:tr>
        <w:tc>
          <w:tcPr>
            <w:tcW w:type="dxa" w:w="1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Gift-to-account bridge</w:t>
            </w:r>
          </w:p>
        </w:tc>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Custom thin service</w:t>
            </w:r>
          </w:p>
        </w:tc>
        <w:tc>
          <w:tcPr>
            <w:tcW w:type="dxa" w:w="5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Translates a Shopify order into a gift code, which the recipient redeems at welcome.moatly.com. This is the only custom layer.</w:t>
            </w:r>
          </w:p>
        </w:tc>
      </w:tr>
      <w:tr>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Email delivery (transactional)</w:t>
            </w:r>
          </w:p>
        </w:tc>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Postmark</w:t>
            </w:r>
          </w:p>
        </w:tc>
        <w:tc>
          <w:tcPr>
            <w:tcW w:type="dxa" w:w="5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Already in the build brief for the ritual prescription email. Shared infrastructure for order confirmations, gift arrival emails, and welcome sequences.</w:t>
            </w:r>
          </w:p>
        </w:tc>
      </w:tr>
      <w:tr>
        <w:tc>
          <w:tcPr>
            <w:tcW w:type="dxa" w:w="1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Customer support</w:t>
            </w:r>
          </w:p>
        </w:tc>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Front or Help Scout, human-answered</w:t>
            </w:r>
          </w:p>
        </w:tc>
        <w:tc>
          <w:tcPr>
            <w:tcW w:type="dxa" w:w="5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No chatbot. No AI triage. A small human team. Response SLA: 24 hours.</w:t>
            </w:r>
          </w:p>
        </w:tc>
      </w:tr>
    </w:tbl>
    <w:p>
      <w:pPr>
        <w:pStyle w:val="Heading2"/>
        <w:spacing w:after="140" w:before="280"/>
      </w:pPr>
      <w:r>
        <w:rPr>
          <w:rFonts w:ascii="Calibri" w:cs="Calibri" w:eastAsia="Calibri" w:hAnsi="Calibri"/>
          <w:b/>
          <w:bCs/>
          <w:color w:val="2E4057"/>
          <w:sz w:val="28"/>
          <w:szCs w:val="28"/>
        </w:rPr>
        <w:t xml:space="preserve">9.2  The purchase-to-account flow</w:t>
      </w:r>
    </w:p>
    <w:p>
      <w:pPr>
        <w:pStyle w:val="ListParagraph"/>
        <w:numPr>
          <w:ilvl w:val="0"/>
          <w:numId w:val="3"/>
        </w:numPr>
        <w:spacing w:after="60" w:before="30" w:line="280"/>
      </w:pPr>
      <w:r>
        <w:rPr>
          <w:rFonts w:ascii="Calibri" w:cs="Calibri" w:eastAsia="Calibri" w:hAnsi="Calibri"/>
          <w:color w:val="1A1A1A"/>
          <w:sz w:val="22"/>
          <w:szCs w:val="22"/>
        </w:rPr>
        <w:t xml:space="preserve">Gift buyer lands on moatly.com. Chooses a tier. Optionally selects delivery date, hand-addressed card, and gift message.</w:t>
      </w:r>
    </w:p>
    <w:p>
      <w:pPr>
        <w:pStyle w:val="ListParagraph"/>
        <w:numPr>
          <w:ilvl w:val="0"/>
          <w:numId w:val="3"/>
        </w:numPr>
        <w:spacing w:after="60" w:before="30" w:line="280"/>
      </w:pPr>
      <w:r>
        <w:rPr>
          <w:rFonts w:ascii="Calibri" w:cs="Calibri" w:eastAsia="Calibri" w:hAnsi="Calibri"/>
          <w:color w:val="1A1A1A"/>
          <w:sz w:val="22"/>
          <w:szCs w:val="22"/>
        </w:rPr>
        <w:t xml:space="preserve">Checkout via Shopify. Shopify notifies our gift-bridge service of the completed order.</w:t>
      </w:r>
    </w:p>
    <w:p>
      <w:pPr>
        <w:pStyle w:val="ListParagraph"/>
        <w:numPr>
          <w:ilvl w:val="0"/>
          <w:numId w:val="3"/>
        </w:numPr>
        <w:spacing w:after="60" w:before="30" w:line="280"/>
      </w:pPr>
      <w:r>
        <w:rPr>
          <w:rFonts w:ascii="Calibri" w:cs="Calibri" w:eastAsia="Calibri" w:hAnsi="Calibri"/>
          <w:color w:val="1A1A1A"/>
          <w:sz w:val="22"/>
          <w:szCs w:val="22"/>
        </w:rPr>
        <w:t xml:space="preserve">Gift bridge service generates a unique gift code (opaque, unguessable). Writes the code and its entitlement (tier, subscription months, device SKU) to the account service.</w:t>
      </w:r>
    </w:p>
    <w:p>
      <w:pPr>
        <w:pStyle w:val="ListParagraph"/>
        <w:numPr>
          <w:ilvl w:val="0"/>
          <w:numId w:val="3"/>
        </w:numPr>
        <w:spacing w:after="60" w:before="30" w:line="280"/>
      </w:pPr>
      <w:r>
        <w:rPr>
          <w:rFonts w:ascii="Calibri" w:cs="Calibri" w:eastAsia="Calibri" w:hAnsi="Calibri"/>
          <w:color w:val="1A1A1A"/>
          <w:sz w:val="22"/>
          <w:szCs w:val="22"/>
        </w:rPr>
        <w:t xml:space="preserve">3PL is notified and ships the physical goods. The gift code is printed on the welcome card inside the box, plus emailed to the buyer as a backup.</w:t>
      </w:r>
    </w:p>
    <w:p>
      <w:pPr>
        <w:pStyle w:val="ListParagraph"/>
        <w:numPr>
          <w:ilvl w:val="0"/>
          <w:numId w:val="3"/>
        </w:numPr>
        <w:spacing w:after="60" w:before="30" w:line="280"/>
      </w:pPr>
      <w:r>
        <w:rPr>
          <w:rFonts w:ascii="Calibri" w:cs="Calibri" w:eastAsia="Calibri" w:hAnsi="Calibri"/>
          <w:color w:val="1A1A1A"/>
          <w:sz w:val="22"/>
          <w:szCs w:val="22"/>
        </w:rPr>
        <w:t xml:space="preserve">Recipient opens the box. Reads the card. Visits welcome.moatly.com, enters the code.</w:t>
      </w:r>
    </w:p>
    <w:p>
      <w:pPr>
        <w:pStyle w:val="ListParagraph"/>
        <w:numPr>
          <w:ilvl w:val="0"/>
          <w:numId w:val="3"/>
        </w:numPr>
        <w:spacing w:after="60" w:before="30" w:line="280"/>
      </w:pPr>
      <w:r>
        <w:rPr>
          <w:rFonts w:ascii="Calibri" w:cs="Calibri" w:eastAsia="Calibri" w:hAnsi="Calibri"/>
          <w:color w:val="1A1A1A"/>
          <w:sz w:val="22"/>
          <w:szCs w:val="22"/>
        </w:rPr>
        <w:t xml:space="preserve">Welcome flow (section 7.2) runs. Account is provisioned. Seed phrase generated on-device. Subscription begins.</w:t>
      </w:r>
    </w:p>
    <w:p>
      <w:pPr>
        <w:pStyle w:val="Heading2"/>
        <w:spacing w:after="140" w:before="280"/>
      </w:pPr>
      <w:r>
        <w:rPr>
          <w:rFonts w:ascii="Calibri" w:cs="Calibri" w:eastAsia="Calibri" w:hAnsi="Calibri"/>
          <w:b/>
          <w:bCs/>
          <w:color w:val="2E4057"/>
          <w:sz w:val="28"/>
          <w:szCs w:val="28"/>
        </w:rPr>
        <w:t xml:space="preserve">9.3  Subscription lifecycle</w:t>
      </w:r>
    </w:p>
    <w:p>
      <w:pPr>
        <w:pStyle w:val="ListParagraph"/>
        <w:numPr>
          <w:ilvl w:val="0"/>
          <w:numId w:val="2"/>
        </w:numPr>
        <w:spacing w:after="60" w:before="30" w:line="280"/>
      </w:pPr>
      <w:r>
        <w:rPr>
          <w:rFonts w:ascii="Calibri" w:cs="Calibri" w:eastAsia="Calibri" w:hAnsi="Calibri"/>
          <w:color w:val="1A1A1A"/>
          <w:sz w:val="22"/>
          <w:szCs w:val="22"/>
        </w:rPr>
        <w:t xml:space="preserve">Gift subscriptions auto-expire at the end of their gifted term. No surprise renewal. The user can convert to a paid subscription with one tap from inside the app.</w:t>
      </w:r>
    </w:p>
    <w:p>
      <w:pPr>
        <w:pStyle w:val="ListParagraph"/>
        <w:numPr>
          <w:ilvl w:val="0"/>
          <w:numId w:val="2"/>
        </w:numPr>
        <w:spacing w:after="60" w:before="30" w:line="280"/>
      </w:pPr>
      <w:r>
        <w:rPr>
          <w:rFonts w:ascii="Calibri" w:cs="Calibri" w:eastAsia="Calibri" w:hAnsi="Calibri"/>
          <w:color w:val="1A1A1A"/>
          <w:sz w:val="22"/>
          <w:szCs w:val="22"/>
        </w:rPr>
        <w:t xml:space="preserve">Self-purchase subscriptions renew annually by default. Renewal reminder is sent 30 days in advance, again at 7 days, with a clear one-click cancel.</w:t>
      </w:r>
    </w:p>
    <w:p>
      <w:pPr>
        <w:pStyle w:val="ListParagraph"/>
        <w:numPr>
          <w:ilvl w:val="0"/>
          <w:numId w:val="2"/>
        </w:numPr>
        <w:spacing w:after="60" w:before="30" w:line="280"/>
      </w:pPr>
      <w:r>
        <w:rPr>
          <w:rFonts w:ascii="Calibri" w:cs="Calibri" w:eastAsia="Calibri" w:hAnsi="Calibri"/>
          <w:color w:val="1A1A1A"/>
          <w:sz w:val="22"/>
          <w:szCs w:val="22"/>
        </w:rPr>
        <w:t xml:space="preserve">Cancellation is immediate and complete. The user retains access to the current cycle's Moat until cycle boundary, then soft-pauses. Their rings remain on-device.</w:t>
      </w:r>
    </w:p>
    <w:p>
      <w:pPr>
        <w:pStyle w:val="ListParagraph"/>
        <w:numPr>
          <w:ilvl w:val="0"/>
          <w:numId w:val="2"/>
        </w:numPr>
        <w:spacing w:after="60" w:before="30" w:line="280"/>
      </w:pPr>
      <w:r>
        <w:rPr>
          <w:rFonts w:ascii="Calibri" w:cs="Calibri" w:eastAsia="Calibri" w:hAnsi="Calibri"/>
          <w:color w:val="1A1A1A"/>
          <w:sz w:val="22"/>
          <w:szCs w:val="22"/>
        </w:rPr>
        <w:t xml:space="preserve">No dark-pattern retention. No ‘are you sure?’ flows with five pages. No ‘special offer’ to stay. One confirmation and it's done.</w:t>
      </w:r>
    </w:p>
    <w:p>
      <w:pPr>
        <w:pStyle w:val="Heading2"/>
        <w:spacing w:after="140" w:before="280"/>
      </w:pPr>
      <w:r>
        <w:rPr>
          <w:rFonts w:ascii="Calibri" w:cs="Calibri" w:eastAsia="Calibri" w:hAnsi="Calibri"/>
          <w:b/>
          <w:bCs/>
          <w:color w:val="2E4057"/>
          <w:sz w:val="28"/>
          <w:szCs w:val="28"/>
        </w:rPr>
        <w:t xml:space="preserve">9.4  International expansion and jurisdictional infrastructure</w:t>
      </w:r>
    </w:p>
    <w:p>
      <w:pPr>
        <w:spacing w:after="120" w:before="60" w:line="300"/>
      </w:pPr>
      <w:r>
        <w:rPr>
          <w:rFonts w:ascii="Calibri" w:cs="Calibri" w:eastAsia="Calibri" w:hAnsi="Calibri"/>
          <w:b w:val="false"/>
          <w:bCs w:val="false"/>
          <w:i w:val="false"/>
          <w:iCs w:val="false"/>
          <w:color w:val="1A1A1A"/>
          <w:sz w:val="22"/>
          <w:szCs w:val="22"/>
        </w:rPr>
        <w:t xml:space="preserve">Launch markets, in order: Australia and New Zealand together at public launch (month 13). United Kingdom added in Year 2 (month 18). United States and Singapore added in Year 3 (months 25–30). Non-English-speaking European markets in Year 4, dependent on Unity app localisation (host couples in local language; the Unity team owns this) and MOATS localisation (straightforward, text-only).</w:t>
      </w:r>
    </w:p>
    <w:p>
      <w:pPr>
        <w:pStyle w:val="Heading3"/>
        <w:spacing w:after="100" w:before="220"/>
      </w:pPr>
      <w:r>
        <w:rPr>
          <w:rFonts w:ascii="Calibri" w:cs="Calibri" w:eastAsia="Calibri" w:hAnsi="Calibri"/>
          <w:b/>
          <w:bCs/>
          <w:color w:val="1A1A1A"/>
          <w:sz w:val="24"/>
          <w:szCs w:val="24"/>
        </w:rPr>
        <w:t xml:space="preserve">Where the infrastructure lives</w:t>
      </w:r>
    </w:p>
    <w:p>
      <w:pPr>
        <w:spacing w:after="120" w:before="60" w:line="300"/>
      </w:pPr>
      <w:r>
        <w:rPr>
          <w:rFonts w:ascii="Calibri" w:cs="Calibri" w:eastAsia="Calibri" w:hAnsi="Calibri"/>
          <w:b w:val="false"/>
          <w:bCs w:val="false"/>
          <w:i w:val="false"/>
          <w:iCs w:val="false"/>
          <w:color w:val="1A1A1A"/>
          <w:sz w:val="22"/>
          <w:szCs w:val="22"/>
        </w:rPr>
        <w:t xml:space="preserve">The TOLA Act risk (section 2.1) informs a deliberate separation between where the company operates commercially and where the encrypted infrastructure runs. The recommended structure, pending legal counsel's input before Phase 0 closes:</w:t>
      </w:r>
    </w:p>
    <w:p>
      <w:pPr>
        <w:pStyle w:val="ListParagraph"/>
        <w:numPr>
          <w:ilvl w:val="0"/>
          <w:numId w:val="2"/>
        </w:numPr>
        <w:spacing w:after="60" w:before="30" w:line="280"/>
      </w:pPr>
      <w:r>
        <w:rPr>
          <w:rFonts w:ascii="Calibri" w:cs="Calibri" w:eastAsia="Calibri" w:hAnsi="Calibri"/>
          <w:color w:val="1A1A1A"/>
          <w:sz w:val="22"/>
          <w:szCs w:val="22"/>
        </w:rPr>
        <w:t xml:space="preserve">Commercial entity: Australian Pty Ltd. Serves Australian and New Zealand customers directly. Handles e-commerce, fulfilment, customer support, and content authorship. No cryptographic keys held.</w:t>
      </w:r>
    </w:p>
    <w:p>
      <w:pPr>
        <w:pStyle w:val="ListParagraph"/>
        <w:numPr>
          <w:ilvl w:val="0"/>
          <w:numId w:val="2"/>
        </w:numPr>
        <w:spacing w:after="60" w:before="30" w:line="280"/>
      </w:pPr>
      <w:r>
        <w:rPr>
          <w:rFonts w:ascii="Calibri" w:cs="Calibri" w:eastAsia="Calibri" w:hAnsi="Calibri"/>
          <w:color w:val="1A1A1A"/>
          <w:sz w:val="22"/>
          <w:szCs w:val="22"/>
        </w:rPr>
        <w:t xml:space="preserve">Infrastructure entity: New Zealand or Irish (EU) subsidiary. Holds the Moat service, the deletion pipeline, and the key-management infrastructure. This entity has no Australian employees with operational access to production.</w:t>
      </w:r>
    </w:p>
    <w:p>
      <w:pPr>
        <w:pStyle w:val="ListParagraph"/>
        <w:numPr>
          <w:ilvl w:val="0"/>
          <w:numId w:val="2"/>
        </w:numPr>
        <w:spacing w:after="60" w:before="30" w:line="280"/>
      </w:pPr>
      <w:r>
        <w:rPr>
          <w:rFonts w:ascii="Calibri" w:cs="Calibri" w:eastAsia="Calibri" w:hAnsi="Calibri"/>
          <w:color w:val="1A1A1A"/>
          <w:sz w:val="22"/>
          <w:szCs w:val="22"/>
        </w:rPr>
        <w:t xml:space="preserve">Server region: AWS Auckland (ap-southeast-2) for low-latency service to AU/NZ users combined with jurisdictional separation. AWS Frankfurt as secondary for UK/EU users in Year 2.</w:t>
      </w:r>
    </w:p>
    <w:p>
      <w:pPr>
        <w:pStyle w:val="ListParagraph"/>
        <w:numPr>
          <w:ilvl w:val="0"/>
          <w:numId w:val="2"/>
        </w:numPr>
        <w:spacing w:after="60" w:before="30" w:line="280"/>
      </w:pPr>
      <w:r>
        <w:rPr>
          <w:rFonts w:ascii="Calibri" w:cs="Calibri" w:eastAsia="Calibri" w:hAnsi="Calibri"/>
          <w:color w:val="1A1A1A"/>
          <w:sz w:val="22"/>
          <w:szCs w:val="22"/>
        </w:rPr>
        <w:t xml:space="preserve">Key personnel: engineering leadership distributed across at least two jurisdictions, so compelled cooperation from any single individual is insufficient to compromise the system.</w:t>
      </w:r>
    </w:p>
    <w:p>
      <w:pPr>
        <w:spacing w:after="120" w:before="60" w:line="300"/>
      </w:pPr>
      <w:r>
        <w:rPr>
          <w:rFonts w:ascii="Calibri" w:cs="Calibri" w:eastAsia="Calibri" w:hAnsi="Calibri"/>
          <w:b w:val="false"/>
          <w:bCs w:val="false"/>
          <w:i w:val="false"/>
          <w:iCs w:val="false"/>
          <w:color w:val="1A1A1A"/>
          <w:sz w:val="22"/>
          <w:szCs w:val="22"/>
        </w:rPr>
        <w:t xml:space="preserve">GST/VAT/sales-tax handling through Shopify. Regional fulfilment partners added as volumes justify (UK partner activates at ~200 UK orders/month).</w:t>
      </w:r>
    </w:p>
    <w:p>
      <w:pPr>
        <w:pStyle w:val="Heading3"/>
        <w:spacing w:after="100" w:before="220"/>
      </w:pPr>
      <w:r>
        <w:rPr>
          <w:rFonts w:ascii="Calibri" w:cs="Calibri" w:eastAsia="Calibri" w:hAnsi="Calibri"/>
          <w:b/>
          <w:bCs/>
          <w:color w:val="1A1A1A"/>
          <w:sz w:val="24"/>
          <w:szCs w:val="24"/>
        </w:rPr>
        <w:t xml:space="preserve">Acknowledgement of First Nations practices</w:t>
      </w:r>
    </w:p>
    <w:p>
      <w:pPr>
        <w:spacing w:after="120" w:before="60" w:line="300"/>
      </w:pPr>
      <w:r>
        <w:rPr>
          <w:rFonts w:ascii="Calibri" w:cs="Calibri" w:eastAsia="Calibri" w:hAnsi="Calibri"/>
          <w:b w:val="false"/>
          <w:bCs w:val="false"/>
          <w:i w:val="false"/>
          <w:iCs w:val="false"/>
          <w:color w:val="1A1A1A"/>
          <w:sz w:val="22"/>
          <w:szCs w:val="22"/>
        </w:rPr>
        <w:t xml:space="preserve">The concept of a small group of people sitting in structured witness to one another has clear precedents in the yarning circles of Aboriginal and Torres Strait Islander communities, as it does in other Indigenous and traditional practices worldwide. Moatly did not draw on yarning circles in its design — the design sources are named in the founding documents — but the resonance is real and must be acknowledged rather than glossed over.</w:t>
      </w:r>
    </w:p>
    <w:p>
      <w:pPr>
        <w:spacing w:after="120" w:before="60" w:line="300"/>
      </w:pPr>
      <w:r>
        <w:rPr>
          <w:rFonts w:ascii="Calibri" w:cs="Calibri" w:eastAsia="Calibri" w:hAnsi="Calibri"/>
          <w:b w:val="false"/>
          <w:bCs w:val="false"/>
          <w:i w:val="false"/>
          <w:iCs w:val="false"/>
          <w:color w:val="1A1A1A"/>
          <w:sz w:val="22"/>
          <w:szCs w:val="22"/>
        </w:rPr>
        <w:t xml:space="preserve">Before any marketing activity in Australia that might be read as adopting, alluding to, or paralleling these traditions, we will engage First Nations consultants. If such consultation produces a formal partnership or advisory relationship, that relationship will be structured and resourced properly, not decoratively. If not, we will continue to refer to our own design sources plainly and avoid language that borrows without permission. This is flagged again as an open question in section 15.C.</w:t>
      </w:r>
    </w:p>
    <w:p>
      <w:r>
        <w:br w:type="page"/>
      </w:r>
    </w:p>
    <w:p>
      <w:pPr>
        <w:pStyle w:val="Heading1"/>
        <w:spacing w:after="180" w:before="360"/>
      </w:pPr>
      <w:r>
        <w:rPr>
          <w:rFonts w:ascii="Calibri" w:cs="Calibri" w:eastAsia="Calibri" w:hAnsi="Calibri"/>
          <w:b/>
          <w:bCs/>
          <w:color w:val="2E4057"/>
          <w:sz w:val="36"/>
          <w:szCs w:val="36"/>
        </w:rPr>
        <w:t xml:space="preserve">10.  Unit economics</w:t>
      </w:r>
    </w:p>
    <w:p>
      <w:pPr>
        <w:spacing w:after="120" w:before="60" w:line="300"/>
      </w:pPr>
      <w:r>
        <w:rPr>
          <w:rFonts w:ascii="Calibri" w:cs="Calibri" w:eastAsia="Calibri" w:hAnsi="Calibri"/>
          <w:b w:val="false"/>
          <w:bCs w:val="false"/>
          <w:i w:val="false"/>
          <w:iCs w:val="false"/>
          <w:color w:val="1A1A1A"/>
          <w:sz w:val="22"/>
          <w:szCs w:val="22"/>
        </w:rPr>
        <w:t xml:space="preserve">The numbers below are modelled at projected Year 3 scale (approximately 45,000 active users across Australia, New Zealand, the United Kingdom, the United States, and selective European markets). Year 1 and Year 2 numbers are worse — COGS per unit are higher at low volumes, the fixed cost base is spread across fewer users, and Australian logistics costs are structurally higher than northern-hemisphere equivalents. The Year 3 picture is what the business looks like when it starts to work.</w:t>
      </w:r>
    </w:p>
    <w:p>
      <w:pPr>
        <w:pStyle w:val="Heading2"/>
        <w:spacing w:after="140" w:before="280"/>
      </w:pPr>
      <w:r>
        <w:rPr>
          <w:rFonts w:ascii="Calibri" w:cs="Calibri" w:eastAsia="Calibri" w:hAnsi="Calibri"/>
          <w:b/>
          <w:bCs/>
          <w:color w:val="2E4057"/>
          <w:sz w:val="28"/>
          <w:szCs w:val="28"/>
        </w:rPr>
        <w:t xml:space="preserve">10.1  Cost per active user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Cost component</w:t>
            </w:r>
          </w:p>
        </w:tc>
        <w:tc>
          <w:tcPr>
            <w:tcW w:type="dxa" w:w="1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AUD/user/month</w:t>
            </w:r>
          </w:p>
        </w:tc>
        <w:tc>
          <w:tcPr>
            <w:tcW w:type="dxa" w:w="37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Notes</w:t>
            </w:r>
          </w:p>
        </w:tc>
      </w:tr>
      <w:tr>
        <w:tc>
          <w:tcPr>
            <w:tcW w:type="dxa" w:w="3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Cloud infrastructure</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0.76</w:t>
            </w:r>
          </w:p>
        </w:tc>
        <w:tc>
          <w:tcPr>
            <w:tcW w:type="dxa" w:w="3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Postgres, Temporal, S3, KMS, bandwidth, log/trace storage. Australian egress pricing is higher than EU — approximately double UK equivalents.</w:t>
            </w:r>
          </w:p>
        </w:tc>
      </w:tr>
      <w:tr>
        <w:tc>
          <w:tcPr>
            <w:tcW w:type="dxa" w:w="3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Email (Postmark transactional)</w:t>
            </w:r>
          </w:p>
        </w:tc>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0.08</w:t>
            </w:r>
          </w:p>
        </w:tc>
        <w:tc>
          <w:tcPr>
            <w:tcW w:type="dxa" w:w="3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Two emails per user per month average: prescription + the occasional service.</w:t>
            </w:r>
          </w:p>
        </w:tc>
      </w:tr>
      <w:tr>
        <w:tc>
          <w:tcPr>
            <w:tcW w:type="dxa" w:w="3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Payment processing (Stripe)</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0.52</w:t>
            </w:r>
          </w:p>
        </w:tc>
        <w:tc>
          <w:tcPr>
            <w:tcW w:type="dxa" w:w="3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Roughly 3.4% of subscription revenue plus fixed fees. Australian rates in line with UK.</w:t>
            </w:r>
          </w:p>
        </w:tc>
      </w:tr>
      <w:tr>
        <w:tc>
          <w:tcPr>
            <w:tcW w:type="dxa" w:w="3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Customer support (human)</w:t>
            </w:r>
          </w:p>
        </w:tc>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0.44</w:t>
            </w:r>
          </w:p>
        </w:tc>
        <w:tc>
          <w:tcPr>
            <w:tcW w:type="dxa" w:w="3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Small team, generous SLA, genuine answers. Scales sub-linearly with users. AU salary costs slightly elevate this line.</w:t>
            </w:r>
          </w:p>
        </w:tc>
      </w:tr>
      <w:tr>
        <w:tc>
          <w:tcPr>
            <w:tcW w:type="dxa" w:w="3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Content royalties (ritual prescriptions)</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0.20</w:t>
            </w:r>
          </w:p>
        </w:tc>
        <w:tc>
          <w:tcPr>
            <w:tcW w:type="dxa" w:w="3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Payments to the writers and voice actors for the Unity ritual app. Shared COGS.</w:t>
            </w:r>
          </w:p>
        </w:tc>
      </w:tr>
      <w:tr>
        <w:tc>
          <w:tcPr>
            <w:tcW w:type="dxa" w:w="3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Founding Host revenue share (section 12.3)</w:t>
            </w:r>
          </w:p>
        </w:tc>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0.62</w:t>
            </w:r>
          </w:p>
        </w:tc>
        <w:tc>
          <w:tcPr>
            <w:tcW w:type="dxa" w:w="3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 of gross subscription revenue paid to the six-host Founding cohort. Applied from Year 1.</w:t>
            </w:r>
          </w:p>
        </w:tc>
      </w:tr>
      <w:tr>
        <w:tc>
          <w:tcPr>
            <w:tcW w:type="dxa" w:w="3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Shared platform (monitoring, security, misc)</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0.30</w:t>
            </w:r>
          </w:p>
        </w:tc>
        <w:tc>
          <w:tcPr>
            <w:tcW w:type="dxa" w:w="3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Observability, dependency costs, security tooling, incident response retainer.</w:t>
            </w:r>
          </w:p>
        </w:tc>
      </w:tr>
      <w:tr>
        <w:tc>
          <w:tcPr>
            <w:tcW w:type="dxa" w:w="3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Total variable cost per user per month</w:t>
            </w:r>
          </w:p>
        </w:tc>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2.92</w:t>
            </w:r>
          </w:p>
        </w:tc>
        <w:tc>
          <w:tcPr>
            <w:tcW w:type="dxa" w:w="3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number below which a subscription must not fall.</w:t>
            </w:r>
          </w:p>
        </w:tc>
      </w:tr>
    </w:tbl>
    <w:p>
      <w:pPr>
        <w:pStyle w:val="Heading2"/>
        <w:spacing w:after="140" w:before="280"/>
      </w:pPr>
      <w:r>
        <w:rPr>
          <w:rFonts w:ascii="Calibri" w:cs="Calibri" w:eastAsia="Calibri" w:hAnsi="Calibri"/>
          <w:b/>
          <w:bCs/>
          <w:color w:val="2E4057"/>
          <w:sz w:val="28"/>
          <w:szCs w:val="28"/>
        </w:rPr>
        <w:t xml:space="preserve">10.2  Revenue per active user per month</w:t>
      </w:r>
    </w:p>
    <w:p>
      <w:pPr>
        <w:spacing w:after="120" w:before="60" w:line="300"/>
      </w:pPr>
      <w:r>
        <w:rPr>
          <w:rFonts w:ascii="Calibri" w:cs="Calibri" w:eastAsia="Calibri" w:hAnsi="Calibri"/>
          <w:b w:val="false"/>
          <w:bCs w:val="false"/>
          <w:i w:val="false"/>
          <w:iCs w:val="false"/>
          <w:color w:val="1A1A1A"/>
          <w:sz w:val="22"/>
          <w:szCs w:val="22"/>
        </w:rPr>
        <w:t xml:space="preserve">Weighted by the expected distribution of users across tiers (Year 3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Source</w:t>
            </w:r>
          </w:p>
        </w:tc>
        <w:tc>
          <w:tcPr>
            <w:tcW w:type="dxa" w:w="18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AUD/user/month (blended)</w:t>
            </w:r>
          </w:p>
        </w:tc>
        <w:tc>
          <w:tcPr>
            <w:tcW w:type="dxa" w:w="37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Notes</w:t>
            </w:r>
          </w:p>
        </w:tc>
      </w:tr>
      <w:tr>
        <w:tc>
          <w:tcPr>
            <w:tcW w:type="dxa" w:w="3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Subscription (annual, average across tiers)</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15.60</w:t>
            </w:r>
          </w:p>
        </w:tc>
        <w:tc>
          <w:tcPr>
            <w:tcW w:type="dxa" w:w="3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Practice tier (AUD $199) is the mode; Full Rite lifts the average; Threshold pulls it down.</w:t>
            </w:r>
          </w:p>
        </w:tc>
      </w:tr>
      <w:tr>
        <w:tc>
          <w:tcPr>
            <w:tcW w:type="dxa" w:w="3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Tea subscription (35% attach rate)</w:t>
            </w:r>
          </w:p>
        </w:tc>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10.15</w:t>
            </w:r>
          </w:p>
        </w:tc>
        <w:tc>
          <w:tcPr>
            <w:tcW w:type="dxa" w:w="3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High-margin, recurring. The single strongest commercial lever once we have the user.</w:t>
            </w:r>
          </w:p>
        </w:tc>
      </w:tr>
      <w:tr>
        <w:tc>
          <w:tcPr>
            <w:tcW w:type="dxa" w:w="3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Journal refill (once per 12–18 months)</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2.80</w:t>
            </w:r>
          </w:p>
        </w:tc>
        <w:tc>
          <w:tcPr>
            <w:tcW w:type="dxa" w:w="3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Low but steady. Strongly correlated with retention.</w:t>
            </w:r>
          </w:p>
        </w:tc>
      </w:tr>
      <w:tr>
        <w:tc>
          <w:tcPr>
            <w:tcW w:type="dxa" w:w="3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Device sales (amortised across user base)</w:t>
            </w:r>
          </w:p>
        </w:tc>
        <w:tc>
          <w:tcPr>
            <w:tcW w:type="dxa" w:w="18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4.60</w:t>
            </w:r>
          </w:p>
        </w:tc>
        <w:tc>
          <w:tcPr>
            <w:tcW w:type="dxa" w:w="3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Front-loaded at acquisition; amortised flat across the user base gives this figure.</w:t>
            </w:r>
          </w:p>
        </w:tc>
      </w:tr>
      <w:tr>
        <w:tc>
          <w:tcPr>
            <w:tcW w:type="dxa" w:w="3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Total blended revenue per user per month</w:t>
            </w:r>
          </w:p>
        </w:tc>
        <w:tc>
          <w:tcPr>
            <w:tcW w:type="dxa" w:w="18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33.15</w:t>
            </w:r>
          </w:p>
        </w:tc>
        <w:tc>
          <w:tcPr>
            <w:tcW w:type="dxa" w:w="3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Revenue per retained user per month.</w:t>
            </w:r>
          </w:p>
        </w:tc>
      </w:tr>
    </w:tbl>
    <w:p>
      <w:pPr>
        <w:pStyle w:val="Heading2"/>
        <w:spacing w:after="140" w:before="280"/>
      </w:pPr>
      <w:r>
        <w:rPr>
          <w:rFonts w:ascii="Calibri" w:cs="Calibri" w:eastAsia="Calibri" w:hAnsi="Calibri"/>
          <w:b/>
          <w:bCs/>
          <w:color w:val="2E4057"/>
          <w:sz w:val="28"/>
          <w:szCs w:val="28"/>
        </w:rPr>
        <w:t xml:space="preserve">10.3  Contribution margin and LTV</w:t>
      </w:r>
    </w:p>
    <w:p>
      <w:pPr>
        <w:pStyle w:val="ListParagraph"/>
        <w:numPr>
          <w:ilvl w:val="0"/>
          <w:numId w:val="2"/>
        </w:numPr>
        <w:spacing w:after="60" w:before="30" w:line="280"/>
      </w:pPr>
      <w:r>
        <w:rPr>
          <w:rFonts w:ascii="Calibri" w:cs="Calibri" w:eastAsia="Calibri" w:hAnsi="Calibri"/>
          <w:color w:val="1A1A1A"/>
          <w:sz w:val="22"/>
          <w:szCs w:val="22"/>
        </w:rPr>
        <w:t xml:space="preserve">Monthly contribution margin per user: AUD $33.15 − $2.92 ≈ AUD $30.23</w:t>
      </w:r>
    </w:p>
    <w:p>
      <w:pPr>
        <w:pStyle w:val="ListParagraph"/>
        <w:numPr>
          <w:ilvl w:val="0"/>
          <w:numId w:val="2"/>
        </w:numPr>
        <w:spacing w:after="60" w:before="30" w:line="280"/>
      </w:pPr>
      <w:r>
        <w:rPr>
          <w:rFonts w:ascii="Calibri" w:cs="Calibri" w:eastAsia="Calibri" w:hAnsi="Calibri"/>
          <w:color w:val="1A1A1A"/>
          <w:sz w:val="22"/>
          <w:szCs w:val="22"/>
        </w:rPr>
        <w:t xml:space="preserve">Target average retention at Year 3 maturity: 26 months (median for users who reach cycle 4 of MOATS)</w:t>
      </w:r>
    </w:p>
    <w:p>
      <w:pPr>
        <w:pStyle w:val="ListParagraph"/>
        <w:numPr>
          <w:ilvl w:val="0"/>
          <w:numId w:val="2"/>
        </w:numPr>
        <w:spacing w:after="60" w:before="30" w:line="280"/>
      </w:pPr>
      <w:r>
        <w:rPr>
          <w:rFonts w:ascii="Calibri" w:cs="Calibri" w:eastAsia="Calibri" w:hAnsi="Calibri"/>
          <w:color w:val="1A1A1A"/>
          <w:sz w:val="22"/>
          <w:szCs w:val="22"/>
        </w:rPr>
        <w:t xml:space="preserve">Lifetime value per acquired user: AUD $30.23 × 26 ≈ AUD $786</w:t>
      </w:r>
    </w:p>
    <w:p>
      <w:pPr>
        <w:pStyle w:val="ListParagraph"/>
        <w:numPr>
          <w:ilvl w:val="0"/>
          <w:numId w:val="2"/>
        </w:numPr>
        <w:spacing w:after="60" w:before="30" w:line="280"/>
      </w:pPr>
      <w:r>
        <w:rPr>
          <w:rFonts w:ascii="Calibri" w:cs="Calibri" w:eastAsia="Calibri" w:hAnsi="Calibri"/>
          <w:color w:val="1A1A1A"/>
          <w:sz w:val="22"/>
          <w:szCs w:val="22"/>
        </w:rPr>
        <w:t xml:space="preserve">Recommended LTV:CAC ratio: 3:1</w:t>
      </w:r>
    </w:p>
    <w:p>
      <w:pPr>
        <w:pStyle w:val="ListParagraph"/>
        <w:numPr>
          <w:ilvl w:val="0"/>
          <w:numId w:val="2"/>
        </w:numPr>
        <w:spacing w:after="60" w:before="30" w:line="280"/>
      </w:pPr>
      <w:r>
        <w:rPr>
          <w:rFonts w:ascii="Calibri" w:cs="Calibri" w:eastAsia="Calibri" w:hAnsi="Calibri"/>
          <w:color w:val="1A1A1A"/>
          <w:sz w:val="22"/>
          <w:szCs w:val="22"/>
        </w:rPr>
        <w:t xml:space="preserve">Implied CAC ceiling: AUD $262 per acquired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What this means practically</w:t>
            </w:r>
          </w:p>
          <w:p>
            <w:pPr>
              <w:spacing w:after="60" w:before="0" w:line="280"/>
            </w:pPr>
            <w:r>
              <w:rPr>
                <w:rFonts w:ascii="Calibri" w:cs="Calibri" w:eastAsia="Calibri" w:hAnsi="Calibri"/>
                <w:color w:val="1A1A1A"/>
                <w:sz w:val="22"/>
                <w:szCs w:val="22"/>
              </w:rPr>
              <w:t xml:space="preserve">We can afford to spend up to AUD $262 per new user on acquisition, while preserving a 3:1 unit economic. In practice our primary acquisition channel is gifting (where ‘acquisition cost’ is mostly the physical goods — already in COGS — plus a small marketing overhead). So effective CAC is typically AUD $50–90. This gives significant headroom for editorial, author partnerships, and the occasional printed-world campaign, without any paid digital advertising. The Founding Host revenue share ($0.62 per user per month) is already baked into the variable cost line and drives a meaningful share of this acquisition for free.</w:t>
            </w:r>
          </w:p>
        </w:tc>
      </w:tr>
    </w:tbl>
    <w:p>
      <w:pPr>
        <w:pStyle w:val="Heading2"/>
        <w:spacing w:after="140" w:before="280"/>
      </w:pPr>
      <w:r>
        <w:rPr>
          <w:rFonts w:ascii="Calibri" w:cs="Calibri" w:eastAsia="Calibri" w:hAnsi="Calibri"/>
          <w:b/>
          <w:bCs/>
          <w:color w:val="2E4057"/>
          <w:sz w:val="28"/>
          <w:szCs w:val="28"/>
        </w:rPr>
        <w:t xml:space="preserve">10.4  Why gifting compounds</w:t>
      </w:r>
    </w:p>
    <w:p>
      <w:pPr>
        <w:spacing w:after="120" w:before="60" w:line="300"/>
      </w:pPr>
      <w:r>
        <w:rPr>
          <w:rFonts w:ascii="Calibri" w:cs="Calibri" w:eastAsia="Calibri" w:hAnsi="Calibri"/>
          <w:b w:val="false"/>
          <w:bCs w:val="false"/>
          <w:i w:val="false"/>
          <w:iCs w:val="false"/>
          <w:color w:val="1A1A1A"/>
          <w:sz w:val="22"/>
          <w:szCs w:val="22"/>
        </w:rPr>
        <w:t xml:space="preserve">A gift transaction is a more expensive sale than a subscription click (higher AOV, higher shipping, higher fulfilment cost) but it is a dramatically cheaper acquisition. Three reasons, in descending order of importance:</w:t>
      </w:r>
    </w:p>
    <w:p>
      <w:pPr>
        <w:pStyle w:val="ListParagraph"/>
        <w:numPr>
          <w:ilvl w:val="0"/>
          <w:numId w:val="2"/>
        </w:numPr>
        <w:spacing w:after="60" w:before="30" w:line="280"/>
      </w:pPr>
      <w:r>
        <w:rPr>
          <w:rFonts w:ascii="Calibri" w:cs="Calibri" w:eastAsia="Calibri" w:hAnsi="Calibri"/>
          <w:color w:val="1A1A1A"/>
          <w:sz w:val="22"/>
          <w:szCs w:val="22"/>
        </w:rPr>
        <w:t xml:space="preserve">The recipient arrives pre-endorsed by a person they love. First-month churn is roughly one-third of a self-acquired user's.</w:t>
      </w:r>
    </w:p>
    <w:p>
      <w:pPr>
        <w:pStyle w:val="ListParagraph"/>
        <w:numPr>
          <w:ilvl w:val="0"/>
          <w:numId w:val="2"/>
        </w:numPr>
        <w:spacing w:after="60" w:before="30" w:line="280"/>
      </w:pPr>
      <w:r>
        <w:rPr>
          <w:rFonts w:ascii="Calibri" w:cs="Calibri" w:eastAsia="Calibri" w:hAnsi="Calibri"/>
          <w:color w:val="1A1A1A"/>
          <w:sz w:val="22"/>
          <w:szCs w:val="22"/>
        </w:rPr>
        <w:t xml:space="preserve">The recipient has already handled the physical artefacts — journal, tea, Device — before they have touched the digital product. The commitment device is real.</w:t>
      </w:r>
    </w:p>
    <w:p>
      <w:pPr>
        <w:pStyle w:val="ListParagraph"/>
        <w:numPr>
          <w:ilvl w:val="0"/>
          <w:numId w:val="2"/>
        </w:numPr>
        <w:spacing w:after="60" w:before="30" w:line="280"/>
      </w:pPr>
      <w:r>
        <w:rPr>
          <w:rFonts w:ascii="Calibri" w:cs="Calibri" w:eastAsia="Calibri" w:hAnsi="Calibri"/>
          <w:color w:val="1A1A1A"/>
          <w:sz w:val="22"/>
          <w:szCs w:val="22"/>
        </w:rPr>
        <w:t xml:space="preserve">A Ring 1 gifter buys for 2–5 people over time. Each purchase is both a revenue event and a marketing event. There is no equivalent in conventional digital acquisition.</w:t>
      </w:r>
    </w:p>
    <w:p>
      <w:pPr>
        <w:pStyle w:val="Heading2"/>
        <w:spacing w:after="140" w:before="280"/>
      </w:pPr>
      <w:r>
        <w:rPr>
          <w:rFonts w:ascii="Calibri" w:cs="Calibri" w:eastAsia="Calibri" w:hAnsi="Calibri"/>
          <w:b/>
          <w:bCs/>
          <w:color w:val="2E4057"/>
          <w:sz w:val="28"/>
          <w:szCs w:val="28"/>
        </w:rPr>
        <w:t xml:space="preserve">10.5  Sensitivity</w:t>
      </w:r>
    </w:p>
    <w:p>
      <w:pPr>
        <w:spacing w:after="120" w:before="60" w:line="300"/>
      </w:pPr>
      <w:r>
        <w:rPr>
          <w:rFonts w:ascii="Calibri" w:cs="Calibri" w:eastAsia="Calibri" w:hAnsi="Calibri"/>
          <w:b w:val="false"/>
          <w:bCs w:val="false"/>
          <w:i w:val="false"/>
          <w:iCs w:val="false"/>
          <w:color w:val="1A1A1A"/>
          <w:sz w:val="22"/>
          <w:szCs w:val="22"/>
        </w:rPr>
        <w:t xml:space="preserve">The three variables that matter most for whether this business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w:trPr>
          <w:tblHeader/>
        </w:trPr>
        <w:tc>
          <w:tcPr>
            <w:tcW w:type="dxa" w:w="2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Variable</w:t>
            </w:r>
          </w:p>
        </w:tc>
        <w:tc>
          <w:tcPr>
            <w:tcW w:type="dxa" w:w="2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Base assumption</w:t>
            </w:r>
          </w:p>
        </w:tc>
        <w:tc>
          <w:tcPr>
            <w:tcW w:type="dxa" w:w="248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If 20% worse</w:t>
            </w:r>
          </w:p>
        </w:tc>
        <w:tc>
          <w:tcPr>
            <w:tcW w:type="dxa" w:w="248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If 20% better</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Average retention</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26 months</w:t>
            </w:r>
          </w:p>
        </w:tc>
        <w:tc>
          <w:tcPr>
            <w:tcW w:type="dxa" w:w="24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LTV AUD $629 — still viable, CAC ceiling $210</w:t>
            </w:r>
          </w:p>
        </w:tc>
        <w:tc>
          <w:tcPr>
            <w:tcW w:type="dxa" w:w="24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LTV AUD $943 — very healthy, CAC ceiling $314</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Tea subscription attach rate</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35%</w:t>
            </w:r>
          </w:p>
        </w:tc>
        <w:tc>
          <w:tcPr>
            <w:tcW w:type="dxa" w:w="24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Blended revenue drops to AUD $31.10/mo; LTV $733</w:t>
            </w:r>
          </w:p>
        </w:tc>
        <w:tc>
          <w:tcPr>
            <w:tcW w:type="dxa" w:w="24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Blended revenue rises to AUD $35.20/mo; LTV $839</w:t>
            </w:r>
          </w:p>
        </w:tc>
      </w:tr>
      <w:tr>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Founding Host revenue share</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 of sub rev (6 hosts)</w:t>
            </w:r>
          </w:p>
        </w:tc>
        <w:tc>
          <w:tcPr>
            <w:tcW w:type="dxa" w:w="24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If share rises to 6% (cohort expanded to 10): LTV $761</w:t>
            </w:r>
          </w:p>
        </w:tc>
        <w:tc>
          <w:tcPr>
            <w:tcW w:type="dxa" w:w="24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If share falls to 2.5% (smaller cohort, smaller caps): LTV $801</w:t>
            </w:r>
          </w:p>
        </w:tc>
      </w:tr>
      <w:tr>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Concession share of user base</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7.5%</w:t>
            </w:r>
          </w:p>
        </w:tc>
        <w:tc>
          <w:tcPr>
            <w:tcW w:type="dxa" w:w="24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Fixed cost; marginal shift in contribution</w:t>
            </w:r>
          </w:p>
        </w:tc>
        <w:tc>
          <w:tcPr>
            <w:tcW w:type="dxa" w:w="24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Marginal improvement</w:t>
            </w:r>
          </w:p>
        </w:tc>
      </w:tr>
    </w:tbl>
    <w:p>
      <w:pPr>
        <w:spacing w:after="120" w:before="60" w:line="300"/>
      </w:pPr>
      <w:r>
        <w:rPr>
          <w:rFonts w:ascii="Calibri" w:cs="Calibri" w:eastAsia="Calibri" w:hAnsi="Calibri"/>
          <w:b w:val="false"/>
          <w:bCs w:val="false"/>
          <w:i w:val="false"/>
          <w:iCs w:val="false"/>
          <w:color w:val="1A1A1A"/>
          <w:sz w:val="22"/>
          <w:szCs w:val="22"/>
        </w:rPr>
        <w:t xml:space="preserve">The business is most sensitive to retention. If average retention drops below about 15 months, the CAC ceiling compresses to around AUD $155 and the gifting model becomes fragile. This is the single number to watch from day one of public launch.</w:t>
      </w:r>
    </w:p>
    <w:p>
      <w:r>
        <w:br w:type="page"/>
      </w:r>
    </w:p>
    <w:p>
      <w:pPr>
        <w:pStyle w:val="Heading1"/>
        <w:spacing w:after="180" w:before="360"/>
      </w:pPr>
      <w:r>
        <w:rPr>
          <w:rFonts w:ascii="Calibri" w:cs="Calibri" w:eastAsia="Calibri" w:hAnsi="Calibri"/>
          <w:b/>
          <w:bCs/>
          <w:color w:val="2E4057"/>
          <w:sz w:val="36"/>
          <w:szCs w:val="36"/>
        </w:rPr>
        <w:t xml:space="preserve">11.  Financial projections</w:t>
      </w:r>
    </w:p>
    <w:p>
      <w:pPr>
        <w:spacing w:after="120" w:before="60" w:line="300"/>
      </w:pPr>
      <w:r>
        <w:rPr>
          <w:rFonts w:ascii="Calibri" w:cs="Calibri" w:eastAsia="Calibri" w:hAnsi="Calibri"/>
          <w:b w:val="false"/>
          <w:bCs w:val="false"/>
          <w:i w:val="false"/>
          <w:iCs w:val="false"/>
          <w:color w:val="1A1A1A"/>
          <w:sz w:val="22"/>
          <w:szCs w:val="22"/>
        </w:rPr>
        <w:t xml:space="preserve">The three-year plan at a conservative growth curve. These numbers assume no paid digital advertising, modest editorial placement success in Australia and the United Kingdom, and the gift-led acquisition model described in section 12. The first year is Australia and New Zealand only; the United Kingdom joins in Year 2; the United States and Singapore join in Year 3.</w:t>
      </w:r>
    </w:p>
    <w:p>
      <w:pPr>
        <w:pStyle w:val="Heading2"/>
        <w:spacing w:after="140" w:before="280"/>
      </w:pPr>
      <w:r>
        <w:rPr>
          <w:rFonts w:ascii="Calibri" w:cs="Calibri" w:eastAsia="Calibri" w:hAnsi="Calibri"/>
          <w:b/>
          <w:bCs/>
          <w:color w:val="2E4057"/>
          <w:sz w:val="28"/>
          <w:szCs w:val="28"/>
        </w:rPr>
        <w:t xml:space="preserve">11.1  Revenue and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Line (AUD '000s)</w:t>
            </w:r>
          </w:p>
        </w:tc>
        <w:tc>
          <w:tcPr>
            <w:tcW w:type="dxa" w:w="2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Year 1</w:t>
            </w:r>
          </w:p>
        </w:tc>
        <w:tc>
          <w:tcPr>
            <w:tcW w:type="dxa" w:w="2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Year 2</w:t>
            </w:r>
          </w:p>
        </w:tc>
        <w:tc>
          <w:tcPr>
            <w:tcW w:type="dxa" w:w="19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Year 3</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Markets active</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 NZ</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 UK (mid-year)</w:t>
            </w:r>
          </w:p>
        </w:tc>
        <w:tc>
          <w:tcPr>
            <w:tcW w:type="dxa" w:w="1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 US, SG</w:t>
            </w:r>
          </w:p>
        </w:tc>
      </w:tr>
      <w:tr>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Subscription revenue</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480</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2,640</w:t>
            </w:r>
          </w:p>
        </w:tc>
        <w:tc>
          <w:tcPr>
            <w:tcW w:type="dxa" w:w="1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8,510</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Physical goods revenue (devices, journals, tea)</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420</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1,860</w:t>
            </w:r>
          </w:p>
        </w:tc>
        <w:tc>
          <w:tcPr>
            <w:tcW w:type="dxa" w:w="1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4,490</w:t>
            </w:r>
          </w:p>
        </w:tc>
      </w:tr>
      <w:tr>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Total revenue</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900</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4,500</w:t>
            </w:r>
          </w:p>
        </w:tc>
        <w:tc>
          <w:tcPr>
            <w:tcW w:type="dxa" w:w="1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13,000</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Cost of goods sold (physical + infra)</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450</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1,440</w:t>
            </w:r>
          </w:p>
        </w:tc>
        <w:tc>
          <w:tcPr>
            <w:tcW w:type="dxa" w:w="1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3,640</w:t>
            </w:r>
          </w:p>
        </w:tc>
      </w:tr>
      <w:tr>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Founding Host revenue share (4% of sub rev)</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19</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106</w:t>
            </w:r>
          </w:p>
        </w:tc>
        <w:tc>
          <w:tcPr>
            <w:tcW w:type="dxa" w:w="1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340</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Gross profit</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431</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2,954</w:t>
            </w:r>
          </w:p>
        </w:tc>
        <w:tc>
          <w:tcPr>
            <w:tcW w:type="dxa" w:w="1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9,020</w:t>
            </w:r>
          </w:p>
        </w:tc>
      </w:tr>
      <w:tr>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Gross margin %</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47.9%</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65.6%</w:t>
            </w:r>
          </w:p>
        </w:tc>
        <w:tc>
          <w:tcPr>
            <w:tcW w:type="dxa" w:w="1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69.4%</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Team (fully loaded, AU salaries)</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1,350</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1,700</w:t>
            </w:r>
          </w:p>
        </w:tc>
        <w:tc>
          <w:tcPr>
            <w:tcW w:type="dxa" w:w="1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2,100</w:t>
            </w:r>
          </w:p>
        </w:tc>
      </w:tr>
      <w:tr>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Infrastructure &amp; tools</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160</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320</w:t>
            </w:r>
          </w:p>
        </w:tc>
        <w:tc>
          <w:tcPr>
            <w:tcW w:type="dxa" w:w="1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550</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Fulfilment &amp; logistics</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95</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385</w:t>
            </w:r>
          </w:p>
        </w:tc>
        <w:tc>
          <w:tcPr>
            <w:tcW w:type="dxa" w:w="1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1,080</w:t>
            </w:r>
          </w:p>
        </w:tc>
      </w:tr>
      <w:tr>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Marketing &amp; editorial</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125</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295</w:t>
            </w:r>
          </w:p>
        </w:tc>
        <w:tc>
          <w:tcPr>
            <w:tcW w:type="dxa" w:w="1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470</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Legal, accounting, misc</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115</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235</w:t>
            </w:r>
          </w:p>
        </w:tc>
        <w:tc>
          <w:tcPr>
            <w:tcW w:type="dxa" w:w="1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400</w:t>
            </w:r>
          </w:p>
        </w:tc>
      </w:tr>
      <w:tr>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Total operating costs</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1,845</w:t>
            </w:r>
          </w:p>
        </w:tc>
        <w:tc>
          <w:tcPr>
            <w:tcW w:type="dxa" w:w="2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2,935</w:t>
            </w:r>
          </w:p>
        </w:tc>
        <w:tc>
          <w:tcPr>
            <w:tcW w:type="dxa" w:w="19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4,600</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EBITDA</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(1,414)</w:t>
            </w:r>
          </w:p>
        </w:tc>
        <w:tc>
          <w:tcPr>
            <w:tcW w:type="dxa" w:w="2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19</w:t>
            </w:r>
          </w:p>
        </w:tc>
        <w:tc>
          <w:tcPr>
            <w:tcW w:type="dxa" w:w="19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4,420</w:t>
            </w:r>
          </w:p>
        </w:tc>
      </w:tr>
    </w:tbl>
    <w:p>
      <w:pPr>
        <w:spacing w:after="120" w:before="60" w:line="300"/>
      </w:pPr>
      <w:r>
        <w:rPr>
          <w:rFonts w:ascii="Calibri" w:cs="Calibri" w:eastAsia="Calibri" w:hAnsi="Calibri"/>
          <w:b w:val="false"/>
          <w:bCs w:val="false"/>
          <w:i w:val="false"/>
          <w:iCs w:val="false"/>
          <w:color w:val="1A1A1A"/>
          <w:sz w:val="22"/>
          <w:szCs w:val="22"/>
        </w:rPr>
        <w:t xml:space="preserve">The shape with the six-host Founding cohort costing 4% of subscription revenue: Year 1 loss of approximately AUD $1.4M. Year 2 reaches breakeven as the subscriber base scales and the UK market opens. Year 3 turns profitable at approximately AUD $4.4M EBITDA. The host channel costs approximately AUD $465k cumulatively across the three years and is expected to drive 20–30% of new-user acquisition in Years 1–2 — a clearly net-accretive trade.</w:t>
      </w:r>
    </w:p>
    <w:p>
      <w:pPr>
        <w:pStyle w:val="Heading2"/>
        <w:spacing w:after="140" w:before="280"/>
      </w:pPr>
      <w:r>
        <w:rPr>
          <w:rFonts w:ascii="Calibri" w:cs="Calibri" w:eastAsia="Calibri" w:hAnsi="Calibri"/>
          <w:b/>
          <w:bCs/>
          <w:color w:val="2E4057"/>
          <w:sz w:val="28"/>
          <w:szCs w:val="28"/>
        </w:rPr>
        <w:t xml:space="preserve">11.2  Capital requirements</w:t>
      </w:r>
    </w:p>
    <w:p>
      <w:pPr>
        <w:spacing w:after="120" w:before="60" w:line="300"/>
      </w:pPr>
      <w:r>
        <w:rPr>
          <w:rFonts w:ascii="Calibri" w:cs="Calibri" w:eastAsia="Calibri" w:hAnsi="Calibri"/>
          <w:b w:val="false"/>
          <w:bCs w:val="false"/>
          <w:i w:val="false"/>
          <w:iCs w:val="false"/>
          <w:color w:val="1A1A1A"/>
          <w:sz w:val="22"/>
          <w:szCs w:val="22"/>
        </w:rPr>
        <w:t xml:space="preserve">Capital needed to reach profitability is modest by consumer-tech startup standards — this is by design. The funding structure recommended below differs from a conventional venture-backed consumer-tech plan in one important respect: a crowdfunding campaign replaces the traditional pre-seed equity round. Crowdfunding is, for this product, a strongly-aligned first step.</w:t>
      </w:r>
    </w:p>
    <w:p>
      <w:pPr>
        <w:pStyle w:val="Heading3"/>
        <w:spacing w:after="100" w:before="220"/>
      </w:pPr>
      <w:r>
        <w:rPr>
          <w:rFonts w:ascii="Calibri" w:cs="Calibri" w:eastAsia="Calibri" w:hAnsi="Calibri"/>
          <w:b/>
          <w:bCs/>
          <w:color w:val="1A1A1A"/>
          <w:sz w:val="24"/>
          <w:szCs w:val="24"/>
        </w:rPr>
        <w:t xml:space="preserve">Why crowdfunding is the right first round</w:t>
      </w:r>
    </w:p>
    <w:p>
      <w:pPr>
        <w:pStyle w:val="ListParagraph"/>
        <w:numPr>
          <w:ilvl w:val="0"/>
          <w:numId w:val="2"/>
        </w:numPr>
        <w:spacing w:after="60" w:before="30" w:line="280"/>
      </w:pPr>
      <w:r>
        <w:rPr>
          <w:rFonts w:ascii="Calibri" w:cs="Calibri" w:eastAsia="Calibri" w:hAnsi="Calibri"/>
          <w:color w:val="1A1A1A"/>
          <w:sz w:val="22"/>
          <w:szCs w:val="22"/>
        </w:rPr>
        <w:t xml:space="preserve">The product is a physical gifting package with a strong narrative — exactly what crowdfunding platforms reward.</w:t>
      </w:r>
    </w:p>
    <w:p>
      <w:pPr>
        <w:pStyle w:val="ListParagraph"/>
        <w:numPr>
          <w:ilvl w:val="0"/>
          <w:numId w:val="2"/>
        </w:numPr>
        <w:spacing w:after="60" w:before="30" w:line="280"/>
      </w:pPr>
      <w:r>
        <w:rPr>
          <w:rFonts w:ascii="Calibri" w:cs="Calibri" w:eastAsia="Calibri" w:hAnsi="Calibri"/>
          <w:color w:val="1A1A1A"/>
          <w:sz w:val="22"/>
          <w:szCs w:val="22"/>
        </w:rPr>
        <w:t xml:space="preserve">A successful crowdfunding campaign is itself the product's first marketing moment. A 3,000-backer campaign produces a founding community of pre-committed users before the public launch.</w:t>
      </w:r>
    </w:p>
    <w:p>
      <w:pPr>
        <w:pStyle w:val="ListParagraph"/>
        <w:numPr>
          <w:ilvl w:val="0"/>
          <w:numId w:val="2"/>
        </w:numPr>
        <w:spacing w:after="60" w:before="30" w:line="280"/>
      </w:pPr>
      <w:r>
        <w:rPr>
          <w:rFonts w:ascii="Calibri" w:cs="Calibri" w:eastAsia="Calibri" w:hAnsi="Calibri"/>
          <w:color w:val="1A1A1A"/>
          <w:sz w:val="22"/>
          <w:szCs w:val="22"/>
        </w:rPr>
        <w:t xml:space="preserve">The Unity MOATLY app is already complete and demonstrable in the campaign video — a crucial credibility advantage over typical hardware crowdfunds where nothing is built.</w:t>
      </w:r>
    </w:p>
    <w:p>
      <w:pPr>
        <w:pStyle w:val="ListParagraph"/>
        <w:numPr>
          <w:ilvl w:val="0"/>
          <w:numId w:val="2"/>
        </w:numPr>
        <w:spacing w:after="60" w:before="30" w:line="280"/>
      </w:pPr>
      <w:r>
        <w:rPr>
          <w:rFonts w:ascii="Calibri" w:cs="Calibri" w:eastAsia="Calibri" w:hAnsi="Calibri"/>
          <w:color w:val="1A1A1A"/>
          <w:sz w:val="22"/>
          <w:szCs w:val="22"/>
        </w:rPr>
        <w:t xml:space="preserve">Crowdfund tiers map one-to-one onto the three gifting packages (section 8). Multi-tier pledges allow a single backer to gift to multiple recipients — the most generous backers fund their own extended family's introduction to the product.</w:t>
      </w:r>
    </w:p>
    <w:p>
      <w:pPr>
        <w:pStyle w:val="ListParagraph"/>
        <w:numPr>
          <w:ilvl w:val="0"/>
          <w:numId w:val="2"/>
        </w:numPr>
        <w:spacing w:after="60" w:before="30" w:line="280"/>
      </w:pPr>
      <w:r>
        <w:rPr>
          <w:rFonts w:ascii="Calibri" w:cs="Calibri" w:eastAsia="Calibri" w:hAnsi="Calibri"/>
          <w:color w:val="1A1A1A"/>
          <w:sz w:val="22"/>
          <w:szCs w:val="22"/>
        </w:rPr>
        <w:t xml:space="preserve">Dilution is zero. Founder retains full equity into the seed round.</w:t>
      </w:r>
    </w:p>
    <w:p>
      <w:pPr>
        <w:pStyle w:val="Heading3"/>
        <w:spacing w:after="100" w:before="220"/>
      </w:pPr>
      <w:r>
        <w:rPr>
          <w:rFonts w:ascii="Calibri" w:cs="Calibri" w:eastAsia="Calibri" w:hAnsi="Calibri"/>
          <w:b/>
          <w:bCs/>
          <w:color w:val="1A1A1A"/>
          <w:sz w:val="24"/>
          <w:szCs w:val="24"/>
        </w:rPr>
        <w:t xml:space="preserve">Funding structure</w:t>
      </w:r>
    </w:p>
    <w:p>
      <w:pPr>
        <w:pStyle w:val="ListParagraph"/>
        <w:numPr>
          <w:ilvl w:val="0"/>
          <w:numId w:val="2"/>
        </w:numPr>
        <w:spacing w:after="60" w:before="30" w:line="280"/>
      </w:pPr>
      <w:r>
        <w:rPr>
          <w:rFonts w:ascii="Calibri" w:cs="Calibri" w:eastAsia="Calibri" w:hAnsi="Calibri"/>
          <w:color w:val="1A1A1A"/>
          <w:sz w:val="22"/>
          <w:szCs w:val="22"/>
        </w:rPr>
        <w:t xml:space="preserve">Crowdfunding campaign (month 4–6): gross target AUD $400k, stretch AUD $800k. Net after platform fees (~8%) and payment processing: AUD $370k–$735k. See section 11.3 for detailed campaign mechanics.</w:t>
      </w:r>
    </w:p>
    <w:p>
      <w:pPr>
        <w:pStyle w:val="ListParagraph"/>
        <w:numPr>
          <w:ilvl w:val="0"/>
          <w:numId w:val="2"/>
        </w:numPr>
        <w:spacing w:after="60" w:before="30" w:line="280"/>
      </w:pPr>
      <w:r>
        <w:rPr>
          <w:rFonts w:ascii="Calibri" w:cs="Calibri" w:eastAsia="Calibri" w:hAnsi="Calibri"/>
          <w:color w:val="1A1A1A"/>
          <w:sz w:val="22"/>
          <w:szCs w:val="22"/>
        </w:rPr>
        <w:t xml:space="preserve">Seed round (month 10–12): AUD $2.0M, raised once crowdfunding has closed and the product roadmap is visibly on track. Positioning for investors: the crowdfund has already de-risked market demand; the seed funds inventory scaling, UK market entry (Year 2), and the operational team. Candidates: Australian impact funds and mission-aligned angels; Blackbird Giants, Square Peg, Artesian, Tidal have scope for mission-aligned plays.</w:t>
      </w:r>
    </w:p>
    <w:p>
      <w:pPr>
        <w:pStyle w:val="ListParagraph"/>
        <w:numPr>
          <w:ilvl w:val="0"/>
          <w:numId w:val="2"/>
        </w:numPr>
        <w:spacing w:after="60" w:before="30" w:line="280"/>
      </w:pPr>
      <w:r>
        <w:rPr>
          <w:rFonts w:ascii="Calibri" w:cs="Calibri" w:eastAsia="Calibri" w:hAnsi="Calibri"/>
          <w:color w:val="1A1A1A"/>
          <w:sz w:val="22"/>
          <w:szCs w:val="22"/>
        </w:rPr>
        <w:t xml:space="preserve">Working capital line: up to AUD $1M — revolving facility to fund seasonal inventory buildup across the two main gifting seasons (Q4 Christmas and late Q3 AU Father's Day). Drawn and repaid within each calendar year.</w:t>
      </w:r>
    </w:p>
    <w:p>
      <w:pPr>
        <w:spacing w:after="120" w:before="60" w:line="300"/>
      </w:pPr>
      <w:r>
        <w:rPr>
          <w:rFonts w:ascii="Calibri" w:cs="Calibri" w:eastAsia="Calibri" w:hAnsi="Calibri"/>
          <w:b w:val="false"/>
          <w:bCs w:val="false"/>
          <w:i w:val="false"/>
          <w:iCs w:val="false"/>
          <w:color w:val="1A1A1A"/>
          <w:sz w:val="22"/>
          <w:szCs w:val="22"/>
        </w:rPr>
        <w:t xml:space="preserve">Total external equity capital: approximately AUD $2.0M (seed only) plus the non-dilutive AUD $370–735k from crowdfunding, plus a working-capital facility. Cumulative funding needed through profitability: approximately AUD $2.4M–$2.7M. The business is self-funding from Year 3 onward. No further equity raise anticipated or desired.</w:t>
      </w:r>
    </w:p>
    <w:p>
      <w:pPr>
        <w:pStyle w:val="Heading2"/>
        <w:spacing w:after="140" w:before="280"/>
      </w:pPr>
      <w:r>
        <w:rPr>
          <w:rFonts w:ascii="Calibri" w:cs="Calibri" w:eastAsia="Calibri" w:hAnsi="Calibri"/>
          <w:b/>
          <w:bCs/>
          <w:color w:val="2E4057"/>
          <w:sz w:val="28"/>
          <w:szCs w:val="28"/>
        </w:rPr>
        <w:t xml:space="preserve">11.3  The crowdfunding campaign</w:t>
      </w:r>
    </w:p>
    <w:p>
      <w:pPr>
        <w:spacing w:after="120" w:before="60" w:line="300"/>
      </w:pPr>
      <w:r>
        <w:rPr>
          <w:rFonts w:ascii="Calibri" w:cs="Calibri" w:eastAsia="Calibri" w:hAnsi="Calibri"/>
          <w:b w:val="false"/>
          <w:bCs w:val="false"/>
          <w:i w:val="false"/>
          <w:iCs w:val="false"/>
          <w:color w:val="1A1A1A"/>
          <w:sz w:val="22"/>
          <w:szCs w:val="22"/>
        </w:rPr>
        <w:t xml:space="preserve">Crowdfunding is central enough to the plan to deserve its own treatment. The mechanics are different from a conventional equity raise and the execution risks are specific.</w:t>
      </w:r>
    </w:p>
    <w:p>
      <w:pPr>
        <w:pStyle w:val="Heading3"/>
        <w:spacing w:after="100" w:before="220"/>
      </w:pPr>
      <w:r>
        <w:rPr>
          <w:rFonts w:ascii="Calibri" w:cs="Calibri" w:eastAsia="Calibri" w:hAnsi="Calibri"/>
          <w:b/>
          <w:bCs/>
          <w:color w:val="1A1A1A"/>
          <w:sz w:val="24"/>
          <w:szCs w:val="24"/>
        </w:rPr>
        <w:t xml:space="preserve">Platform</w:t>
      </w:r>
    </w:p>
    <w:p>
      <w:pPr>
        <w:spacing w:after="120" w:before="60" w:line="300"/>
      </w:pPr>
      <w:r>
        <w:rPr>
          <w:rFonts w:ascii="Calibri" w:cs="Calibri" w:eastAsia="Calibri" w:hAnsi="Calibri"/>
          <w:b w:val="false"/>
          <w:bCs w:val="false"/>
          <w:i w:val="false"/>
          <w:iCs w:val="false"/>
          <w:color w:val="1A1A1A"/>
          <w:sz w:val="22"/>
          <w:szCs w:val="22"/>
        </w:rPr>
        <w:t xml:space="preserve">Kickstarter is the recommended platform. Indiegogo is the alternative. Both charge 5% of funds raised plus payment processing of approximately 3%. Kickstarter's all-or-nothing model is preferable — it forces either a clear success or a clear no, rather than limping across the line with insufficient funds to deliver. Indiegogo's flexible funding is a trap for a product with meaningful fulfilment costs.</w:t>
      </w:r>
    </w:p>
    <w:p>
      <w:pPr>
        <w:pStyle w:val="Heading3"/>
        <w:spacing w:after="100" w:before="220"/>
      </w:pPr>
      <w:r>
        <w:rPr>
          <w:rFonts w:ascii="Calibri" w:cs="Calibri" w:eastAsia="Calibri" w:hAnsi="Calibri"/>
          <w:b/>
          <w:bCs/>
          <w:color w:val="1A1A1A"/>
          <w:sz w:val="24"/>
          <w:szCs w:val="24"/>
        </w:rPr>
        <w:t xml:space="preserve">Campaign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4200"/>
        <w:gridCol w:w="2260"/>
      </w:tblGrid>
      <w:tr>
        <w:trPr>
          <w:tblHeader/>
        </w:trPr>
        <w:tc>
          <w:tcPr>
            <w:tcW w:type="dxa" w:w="19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Tier</w:t>
            </w:r>
          </w:p>
        </w:tc>
        <w:tc>
          <w:tcPr>
            <w:tcW w:type="dxa" w:w="1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Pledge (AUD)</w:t>
            </w:r>
          </w:p>
        </w:tc>
        <w:tc>
          <w:tcPr>
            <w:tcW w:type="dxa" w:w="42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What backers receive</w:t>
            </w:r>
          </w:p>
        </w:tc>
        <w:tc>
          <w:tcPr>
            <w:tcW w:type="dxa" w:w="22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Positioning</w:t>
            </w:r>
          </w:p>
        </w:tc>
      </w:tr>
      <w:tr>
        <w:tc>
          <w:tcPr>
            <w:tcW w:type="dxa" w:w="1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Witness</w:t>
            </w:r>
          </w:p>
        </w:tc>
        <w:tc>
          <w:tcPr>
            <w:tcW w:type="dxa" w:w="1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$49</w:t>
            </w:r>
          </w:p>
        </w:tc>
        <w:tc>
          <w:tcPr>
            <w:tcW w:type="dxa" w:w="4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Early-access digital subscription (12 months MOATLY + MOATS). No physical goods. Name on the founding-backers page if they want.</w:t>
            </w:r>
          </w:p>
        </w:tc>
        <w:tc>
          <w:tcPr>
            <w:tcW w:type="dxa" w:w="22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For people who want to support without needing the box. Low-cost entry.</w:t>
            </w:r>
          </w:p>
        </w:tc>
      </w:tr>
      <w:tr>
        <w:tc>
          <w:tcPr>
            <w:tcW w:type="dxa" w:w="19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Threshold (gift-eligible)</w:t>
            </w:r>
          </w:p>
        </w:tc>
        <w:tc>
          <w:tcPr>
            <w:tcW w:type="dxa" w:w="1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$89</w:t>
            </w:r>
          </w:p>
        </w:tc>
        <w:tc>
          <w:tcPr>
            <w:tcW w:type="dxa" w:w="4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Threshold package as described in section 8. Buy multiple for gifting.</w:t>
            </w:r>
          </w:p>
        </w:tc>
        <w:tc>
          <w:tcPr>
            <w:tcW w:type="dxa" w:w="22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default. Cheapest physical pledge.</w:t>
            </w:r>
          </w:p>
        </w:tc>
      </w:tr>
      <w:tr>
        <w:tc>
          <w:tcPr>
            <w:tcW w:type="dxa" w:w="1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Practice (gift-eligible)</w:t>
            </w:r>
          </w:p>
        </w:tc>
        <w:tc>
          <w:tcPr>
            <w:tcW w:type="dxa" w:w="1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$199</w:t>
            </w:r>
          </w:p>
        </w:tc>
        <w:tc>
          <w:tcPr>
            <w:tcW w:type="dxa" w:w="4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Practice package. Premium journal, tea pack, Virtual Device.</w:t>
            </w:r>
          </w:p>
        </w:tc>
        <w:tc>
          <w:tcPr>
            <w:tcW w:type="dxa" w:w="22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standard.</w:t>
            </w:r>
          </w:p>
        </w:tc>
      </w:tr>
      <w:tr>
        <w:tc>
          <w:tcPr>
            <w:tcW w:type="dxa" w:w="19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Full Rite (gift-eligible)</w:t>
            </w:r>
          </w:p>
        </w:tc>
        <w:tc>
          <w:tcPr>
            <w:tcW w:type="dxa" w:w="1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$499</w:t>
            </w:r>
          </w:p>
        </w:tc>
        <w:tc>
          <w:tcPr>
            <w:tcW w:type="dxa" w:w="4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Full Rite package. Leather journal, 12-month tea pack, Premium Device, hand-written welcome letter.</w:t>
            </w:r>
          </w:p>
        </w:tc>
        <w:tc>
          <w:tcPr>
            <w:tcW w:type="dxa" w:w="22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top physical tier.</w:t>
            </w:r>
          </w:p>
        </w:tc>
      </w:tr>
      <w:tr>
        <w:tc>
          <w:tcPr>
            <w:tcW w:type="dxa" w:w="19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Founding Circle (limited, 50 places)</w:t>
            </w:r>
          </w:p>
        </w:tc>
        <w:tc>
          <w:tcPr>
            <w:tcW w:type="dxa" w:w="1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$1,500</w:t>
            </w:r>
          </w:p>
        </w:tc>
        <w:tc>
          <w:tcPr>
            <w:tcW w:type="dxa" w:w="4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Full Rite + lifetime MOATLY subscription + a dedicated Founding Circle Moat for the first year + invitation to an annual founders' gathering.</w:t>
            </w:r>
          </w:p>
        </w:tc>
        <w:tc>
          <w:tcPr>
            <w:tcW w:type="dxa" w:w="22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For Ring 1 seekers who want to be deeply early. The 50-place cap is real. Creates scarcity and a cohesive founding cohort.</w:t>
            </w:r>
          </w:p>
        </w:tc>
      </w:tr>
      <w:tr>
        <w:tc>
          <w:tcPr>
            <w:tcW w:type="dxa" w:w="19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Patron (limited, 10 places)</w:t>
            </w:r>
          </w:p>
        </w:tc>
        <w:tc>
          <w:tcPr>
            <w:tcW w:type="dxa" w:w="1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$7,500</w:t>
            </w:r>
          </w:p>
        </w:tc>
        <w:tc>
          <w:tcPr>
            <w:tcW w:type="dxa" w:w="4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Everything above + a named dedication in the first printing of the Declaration of Inner Rights published edition + a Founding Host introduction call.</w:t>
            </w:r>
          </w:p>
        </w:tc>
        <w:tc>
          <w:tcPr>
            <w:tcW w:type="dxa" w:w="22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For the handful of backers who want to fund the launch at a meaningful scale. 10-place cap.</w:t>
            </w:r>
          </w:p>
        </w:tc>
      </w:tr>
    </w:tbl>
    <w:p>
      <w:pPr>
        <w:pStyle w:val="Heading3"/>
        <w:spacing w:after="100" w:before="220"/>
      </w:pPr>
      <w:r>
        <w:rPr>
          <w:rFonts w:ascii="Calibri" w:cs="Calibri" w:eastAsia="Calibri" w:hAnsi="Calibri"/>
          <w:b/>
          <w:bCs/>
          <w:color w:val="1A1A1A"/>
          <w:sz w:val="24"/>
          <w:szCs w:val="24"/>
        </w:rPr>
        <w:t xml:space="preserve">Gift pledging mechanics</w:t>
      </w:r>
    </w:p>
    <w:p>
      <w:pPr>
        <w:spacing w:after="120" w:before="60" w:line="300"/>
      </w:pPr>
      <w:r>
        <w:rPr>
          <w:rFonts w:ascii="Calibri" w:cs="Calibri" w:eastAsia="Calibri" w:hAnsi="Calibri"/>
          <w:b w:val="false"/>
          <w:bCs w:val="false"/>
          <w:i w:val="false"/>
          <w:iCs w:val="false"/>
          <w:color w:val="1A1A1A"/>
          <w:sz w:val="22"/>
          <w:szCs w:val="22"/>
        </w:rPr>
        <w:t xml:space="preserve">Tiers marked gift-eligible support multiple-unit pledges. A single backer can pledge, for example, four Threshold units — three for named giftees plus one for themselves. During pledge confirmation (after the campaign closes), each gifted unit generates a unique gift code that ships to the buyer-specified recipient address. This preserves the section 8.4 gift mechanics (named recipient, scheduled delivery, gift receipt) through the crowdfund.</w:t>
      </w:r>
    </w:p>
    <w:p>
      <w:pPr>
        <w:pStyle w:val="ListParagraph"/>
        <w:numPr>
          <w:ilvl w:val="0"/>
          <w:numId w:val="2"/>
        </w:numPr>
        <w:spacing w:after="60" w:before="30" w:line="280"/>
      </w:pPr>
      <w:r>
        <w:rPr>
          <w:rFonts w:ascii="Calibri" w:cs="Calibri" w:eastAsia="Calibri" w:hAnsi="Calibri"/>
          <w:color w:val="1A1A1A"/>
          <w:sz w:val="22"/>
          <w:szCs w:val="22"/>
        </w:rPr>
        <w:t xml:space="preserve">Target average pledge size: AUD $185 (inclusive of multi-unit gifters pushing the average up).</w:t>
      </w:r>
    </w:p>
    <w:p>
      <w:pPr>
        <w:pStyle w:val="ListParagraph"/>
        <w:numPr>
          <w:ilvl w:val="0"/>
          <w:numId w:val="2"/>
        </w:numPr>
        <w:spacing w:after="60" w:before="30" w:line="280"/>
      </w:pPr>
      <w:r>
        <w:rPr>
          <w:rFonts w:ascii="Calibri" w:cs="Calibri" w:eastAsia="Calibri" w:hAnsi="Calibri"/>
          <w:color w:val="1A1A1A"/>
          <w:sz w:val="22"/>
          <w:szCs w:val="22"/>
        </w:rPr>
        <w:t xml:space="preserve">Target backer count at AUD $400k gross: approximately 2,100 backers.</w:t>
      </w:r>
    </w:p>
    <w:p>
      <w:pPr>
        <w:pStyle w:val="ListParagraph"/>
        <w:numPr>
          <w:ilvl w:val="0"/>
          <w:numId w:val="2"/>
        </w:numPr>
        <w:spacing w:after="60" w:before="30" w:line="280"/>
      </w:pPr>
      <w:r>
        <w:rPr>
          <w:rFonts w:ascii="Calibri" w:cs="Calibri" w:eastAsia="Calibri" w:hAnsi="Calibri"/>
          <w:color w:val="1A1A1A"/>
          <w:sz w:val="22"/>
          <w:szCs w:val="22"/>
        </w:rPr>
        <w:t xml:space="preserve">Target backer count at AUD $800k stretch: approximately 4,300 backers.</w:t>
      </w:r>
    </w:p>
    <w:p>
      <w:pPr>
        <w:pStyle w:val="ListParagraph"/>
        <w:numPr>
          <w:ilvl w:val="0"/>
          <w:numId w:val="2"/>
        </w:numPr>
        <w:spacing w:after="60" w:before="30" w:line="280"/>
      </w:pPr>
      <w:r>
        <w:rPr>
          <w:rFonts w:ascii="Calibri" w:cs="Calibri" w:eastAsia="Calibri" w:hAnsi="Calibri"/>
          <w:color w:val="1A1A1A"/>
          <w:sz w:val="22"/>
          <w:szCs w:val="22"/>
        </w:rPr>
        <w:t xml:space="preserve">Expected multi-unit gift pledges: 25–40% of Threshold and Practice backers pledge for more than one recipient.</w:t>
      </w:r>
    </w:p>
    <w:p>
      <w:pPr>
        <w:pStyle w:val="Heading3"/>
        <w:spacing w:after="100" w:before="220"/>
      </w:pPr>
      <w:r>
        <w:rPr>
          <w:rFonts w:ascii="Calibri" w:cs="Calibri" w:eastAsia="Calibri" w:hAnsi="Calibri"/>
          <w:b/>
          <w:bCs/>
          <w:color w:val="1A1A1A"/>
          <w:sz w:val="24"/>
          <w:szCs w:val="24"/>
        </w:rPr>
        <w:t xml:space="preserve">Delivery risk and how we manage it</w:t>
      </w:r>
    </w:p>
    <w:p>
      <w:pPr>
        <w:spacing w:after="120" w:before="60" w:line="300"/>
      </w:pPr>
      <w:r>
        <w:rPr>
          <w:rFonts w:ascii="Calibri" w:cs="Calibri" w:eastAsia="Calibri" w:hAnsi="Calibri"/>
          <w:b w:val="false"/>
          <w:bCs w:val="false"/>
          <w:i w:val="false"/>
          <w:iCs w:val="false"/>
          <w:color w:val="1A1A1A"/>
          <w:sz w:val="22"/>
          <w:szCs w:val="22"/>
        </w:rPr>
        <w:t xml:space="preserve">The critical vulnerability of crowdfunding this product: backers pledge in month 4–6, but MOATS full functionality does not arrive until month 13 (Phase 4 public launch). That is a seven- to nine-month gap between pledge and full product — well beyond what Kickstarter backers typically accept without visible progress.</w:t>
      </w:r>
    </w:p>
    <w:p>
      <w:pPr>
        <w:spacing w:after="120" w:before="60" w:line="300"/>
      </w:pPr>
      <w:r>
        <w:rPr>
          <w:rFonts w:ascii="Calibri" w:cs="Calibri" w:eastAsia="Calibri" w:hAnsi="Calibri"/>
          <w:b w:val="false"/>
          <w:bCs w:val="false"/>
          <w:i w:val="false"/>
          <w:iCs w:val="false"/>
          <w:color w:val="1A1A1A"/>
          <w:sz w:val="22"/>
          <w:szCs w:val="22"/>
        </w:rPr>
        <w:t xml:space="preserve">We address this by staging delivery honestly:</w:t>
      </w:r>
    </w:p>
    <w:p>
      <w:pPr>
        <w:pStyle w:val="ListParagraph"/>
        <w:numPr>
          <w:ilvl w:val="0"/>
          <w:numId w:val="3"/>
        </w:numPr>
        <w:spacing w:after="60" w:before="30" w:line="280"/>
      </w:pPr>
      <w:r>
        <w:rPr>
          <w:rFonts w:ascii="Calibri" w:cs="Calibri" w:eastAsia="Calibri" w:hAnsi="Calibri"/>
          <w:color w:val="1A1A1A"/>
          <w:sz w:val="22"/>
          <w:szCs w:val="22"/>
        </w:rPr>
        <w:t xml:space="preserve">Campaign closes month 6. Payments clear month 7. Backers are told explicitly in the campaign that they are backing a product that ships in two parts.</w:t>
      </w:r>
    </w:p>
    <w:p>
      <w:pPr>
        <w:pStyle w:val="ListParagraph"/>
        <w:numPr>
          <w:ilvl w:val="0"/>
          <w:numId w:val="3"/>
        </w:numPr>
        <w:spacing w:after="60" w:before="30" w:line="280"/>
      </w:pPr>
      <w:r>
        <w:rPr>
          <w:rFonts w:ascii="Calibri" w:cs="Calibri" w:eastAsia="Calibri" w:hAnsi="Calibri"/>
          <w:color w:val="1A1A1A"/>
          <w:sz w:val="22"/>
          <w:szCs w:val="22"/>
        </w:rPr>
        <w:t xml:space="preserve">Month 8: physical goods (journal, tea, hardware device where applicable) ship to all physical-tier backers. The Unity MOATLY app is available immediately via TestFlight and Play Internal Testing. Backers have a real, usable ritual app and physical goods within 60 days of campaign close.</w:t>
      </w:r>
    </w:p>
    <w:p>
      <w:pPr>
        <w:pStyle w:val="ListParagraph"/>
        <w:numPr>
          <w:ilvl w:val="0"/>
          <w:numId w:val="3"/>
        </w:numPr>
        <w:spacing w:after="60" w:before="30" w:line="280"/>
      </w:pPr>
      <w:r>
        <w:rPr>
          <w:rFonts w:ascii="Calibri" w:cs="Calibri" w:eastAsia="Calibri" w:hAnsi="Calibri"/>
          <w:color w:val="1A1A1A"/>
          <w:sz w:val="22"/>
          <w:szCs w:val="22"/>
        </w:rPr>
        <w:t xml:space="preserve">Months 8–12: MOATS backers have access to a closed beta of the witnessing practice as it matures through Phase 2 and Phase 3. Founding Circle and Patron backers are prioritised for the alpha cohort.</w:t>
      </w:r>
    </w:p>
    <w:p>
      <w:pPr>
        <w:pStyle w:val="ListParagraph"/>
        <w:numPr>
          <w:ilvl w:val="0"/>
          <w:numId w:val="3"/>
        </w:numPr>
        <w:spacing w:after="60" w:before="30" w:line="280"/>
      </w:pPr>
      <w:r>
        <w:rPr>
          <w:rFonts w:ascii="Calibri" w:cs="Calibri" w:eastAsia="Calibri" w:hAnsi="Calibri"/>
          <w:color w:val="1A1A1A"/>
          <w:sz w:val="22"/>
          <w:szCs w:val="22"/>
        </w:rPr>
        <w:t xml:space="preserve">Month 13: full MOATS public launch. All backers fully onboarded.</w:t>
      </w:r>
    </w:p>
    <w:p>
      <w:pPr>
        <w:spacing w:after="120" w:before="60" w:line="300"/>
      </w:pPr>
      <w:r>
        <w:rPr>
          <w:rFonts w:ascii="Calibri" w:cs="Calibri" w:eastAsia="Calibri" w:hAnsi="Calibri"/>
          <w:b w:val="false"/>
          <w:bCs w:val="false"/>
          <w:i w:val="false"/>
          <w:iCs w:val="false"/>
          <w:color w:val="1A1A1A"/>
          <w:sz w:val="22"/>
          <w:szCs w:val="22"/>
        </w:rPr>
        <w:t xml:space="preserve">Monthly backer updates are non-negotiable. A missed monthly update is the single biggest predictor of backer dissatisfaction. Founder writes every update personally.</w:t>
      </w:r>
    </w:p>
    <w:p>
      <w:pPr>
        <w:pStyle w:val="Heading3"/>
        <w:spacing w:after="100" w:before="220"/>
      </w:pPr>
      <w:r>
        <w:rPr>
          <w:rFonts w:ascii="Calibri" w:cs="Calibri" w:eastAsia="Calibri" w:hAnsi="Calibri"/>
          <w:b/>
          <w:bCs/>
          <w:color w:val="1A1A1A"/>
          <w:sz w:val="24"/>
          <w:szCs w:val="24"/>
        </w:rPr>
        <w:t xml:space="preserve">What we do with an overshoot</w:t>
      </w:r>
    </w:p>
    <w:p>
      <w:pPr>
        <w:spacing w:after="120" w:before="60" w:line="300"/>
      </w:pPr>
      <w:r>
        <w:rPr>
          <w:rFonts w:ascii="Calibri" w:cs="Calibri" w:eastAsia="Calibri" w:hAnsi="Calibri"/>
          <w:b w:val="false"/>
          <w:bCs w:val="false"/>
          <w:i w:val="false"/>
          <w:iCs w:val="false"/>
          <w:color w:val="1A1A1A"/>
          <w:sz w:val="22"/>
          <w:szCs w:val="22"/>
        </w:rPr>
        <w:t xml:space="preserve">If the campaign exceeds AUD $800k, we do not reduce the seed round dollar-for-dollar. We use the surplus to accelerate inventory for the first gifting season, hire one additional engineer, and invest in the First Nations consultation described in section 9.4. The seed round at AUD $2.0M is the minimum to fund UK market entry — that commitment does not change based on crowdfund performance.</w:t>
      </w:r>
    </w:p>
    <w:p>
      <w:pPr>
        <w:pStyle w:val="Heading2"/>
        <w:spacing w:after="140" w:before="280"/>
      </w:pPr>
      <w:r>
        <w:rPr>
          <w:rFonts w:ascii="Calibri" w:cs="Calibri" w:eastAsia="Calibri" w:hAnsi="Calibri"/>
          <w:b/>
          <w:bCs/>
          <w:color w:val="2E4057"/>
          <w:sz w:val="28"/>
          <w:szCs w:val="28"/>
        </w:rPr>
        <w:t xml:space="preserve">11.4  Scenario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880"/>
        <w:gridCol w:w="1880"/>
      </w:tblGrid>
      <w:tr>
        <w:trPr>
          <w:tblHeader/>
        </w:trPr>
        <w:tc>
          <w:tcPr>
            <w:tcW w:type="dxa" w:w="32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Scenario</w:t>
            </w:r>
          </w:p>
        </w:tc>
        <w:tc>
          <w:tcPr>
            <w:tcW w:type="dxa" w:w="2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End-Y3 subscribers</w:t>
            </w:r>
          </w:p>
        </w:tc>
        <w:tc>
          <w:tcPr>
            <w:tcW w:type="dxa" w:w="188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End-Y3 revenue</w:t>
            </w:r>
          </w:p>
        </w:tc>
        <w:tc>
          <w:tcPr>
            <w:tcW w:type="dxa" w:w="188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End-Y3 EBITDA</w:t>
            </w:r>
          </w:p>
        </w:tc>
      </w:tr>
      <w:tr>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Base case</w:t>
            </w:r>
          </w:p>
        </w:tc>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45,000</w:t>
            </w:r>
          </w:p>
        </w:tc>
        <w:tc>
          <w:tcPr>
            <w:tcW w:type="dxa" w:w="18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$13.0M</w:t>
            </w:r>
          </w:p>
        </w:tc>
        <w:tc>
          <w:tcPr>
            <w:tcW w:type="dxa" w:w="18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$4.4M</w:t>
            </w:r>
          </w:p>
        </w:tc>
      </w:tr>
      <w:tr>
        <w:tc>
          <w:tcPr>
            <w:tcW w:type="dxa" w:w="3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Conservative (slow UK entry, gifting traction lighter)</w:t>
            </w:r>
          </w:p>
        </w:tc>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26,000</w:t>
            </w:r>
          </w:p>
        </w:tc>
        <w:tc>
          <w:tcPr>
            <w:tcW w:type="dxa" w:w="18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$7.5M</w:t>
            </w:r>
          </w:p>
        </w:tc>
        <w:tc>
          <w:tcPr>
            <w:tcW w:type="dxa" w:w="18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$1.0M</w:t>
            </w:r>
          </w:p>
        </w:tc>
      </w:tr>
      <w:tr>
        <w:tc>
          <w:tcPr>
            <w:tcW w:type="dxa" w:w="3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Upside (editorial hit in AU/UK in Y2)</w:t>
            </w:r>
          </w:p>
        </w:tc>
        <w:tc>
          <w:tcPr>
            <w:tcW w:type="dxa" w:w="2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70,000</w:t>
            </w:r>
          </w:p>
        </w:tc>
        <w:tc>
          <w:tcPr>
            <w:tcW w:type="dxa" w:w="18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$20.5M</w:t>
            </w:r>
          </w:p>
        </w:tc>
        <w:tc>
          <w:tcPr>
            <w:tcW w:type="dxa" w:w="188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$7.6M</w:t>
            </w:r>
          </w:p>
        </w:tc>
      </w:tr>
      <w:tr>
        <w:tc>
          <w:tcPr>
            <w:tcW w:type="dxa" w:w="3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Downside (poor retention, 15mo avg)</w:t>
            </w:r>
          </w:p>
        </w:tc>
        <w:tc>
          <w:tcPr>
            <w:tcW w:type="dxa" w:w="2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30,000</w:t>
            </w:r>
          </w:p>
        </w:tc>
        <w:tc>
          <w:tcPr>
            <w:tcW w:type="dxa" w:w="18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$6.4M</w:t>
            </w:r>
          </w:p>
        </w:tc>
        <w:tc>
          <w:tcPr>
            <w:tcW w:type="dxa" w:w="188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 $1.0M)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4057" w:sz="12"/>
              <w:left w:val="single" w:color="2E4057" w:sz="12"/>
              <w:bottom w:val="single" w:color="2E4057" w:sz="4"/>
              <w:right w:val="single" w:color="2E4057" w:sz="4"/>
            </w:tcBorders>
            <w:shd w:fill="F4E9DC" w:color="auto" w:val="clear"/>
            <w:tcMar>
              <w:top w:type="dxa" w:w="180"/>
              <w:left w:type="dxa" w:w="240"/>
              <w:bottom w:type="dxa" w:w="180"/>
              <w:right w:type="dxa" w:w="240"/>
            </w:tcMar>
          </w:tcPr>
          <w:p>
            <w:pPr>
              <w:spacing w:after="80" w:before="0"/>
            </w:pPr>
            <w:r>
              <w:rPr>
                <w:rFonts w:ascii="Calibri" w:cs="Calibri" w:eastAsia="Calibri" w:hAnsi="Calibri"/>
                <w:b/>
                <w:bCs/>
                <w:color w:val="2E4057"/>
                <w:sz w:val="22"/>
                <w:szCs w:val="22"/>
              </w:rPr>
              <w:t xml:space="preserve">What would make us walk away</w:t>
            </w:r>
          </w:p>
          <w:p>
            <w:pPr>
              <w:spacing w:after="60" w:before="0" w:line="280"/>
            </w:pPr>
            <w:r>
              <w:rPr>
                <w:rFonts w:ascii="Calibri" w:cs="Calibri" w:eastAsia="Calibri" w:hAnsi="Calibri"/>
                <w:color w:val="1A1A1A"/>
                <w:sz w:val="22"/>
                <w:szCs w:val="22"/>
              </w:rPr>
              <w:t xml:space="preserve">If end-of-Year-2 average retention is below 12 months, the business model does not work as currently structured and the team should consider whether a different pricing model (e.g. pay-per-ritual only, no subscription) is a better fit. This decision is made at the end of Q4 Year 2 with a full retention cohort visible.</w:t>
            </w:r>
          </w:p>
        </w:tc>
      </w:tr>
    </w:tbl>
    <w:p>
      <w:r>
        <w:br w:type="page"/>
      </w:r>
    </w:p>
    <w:p>
      <w:pPr>
        <w:pStyle w:val="Heading1"/>
        <w:spacing w:after="180" w:before="360"/>
      </w:pPr>
      <w:r>
        <w:rPr>
          <w:rFonts w:ascii="Calibri" w:cs="Calibri" w:eastAsia="Calibri" w:hAnsi="Calibri"/>
          <w:b/>
          <w:bCs/>
          <w:color w:val="2E4057"/>
          <w:sz w:val="36"/>
          <w:szCs w:val="36"/>
        </w:rPr>
        <w:t xml:space="preserve">12.  Go-to-market</w:t>
      </w:r>
    </w:p>
    <w:p>
      <w:pPr>
        <w:spacing w:after="120" w:before="60" w:line="300"/>
      </w:pPr>
      <w:r>
        <w:rPr>
          <w:rFonts w:ascii="Calibri" w:cs="Calibri" w:eastAsia="Calibri" w:hAnsi="Calibri"/>
          <w:b w:val="false"/>
          <w:bCs w:val="false"/>
          <w:i w:val="false"/>
          <w:iCs w:val="false"/>
          <w:color w:val="1A1A1A"/>
          <w:sz w:val="22"/>
          <w:szCs w:val="22"/>
        </w:rPr>
        <w:t xml:space="preserve">The go-to-market strategy is unusual because the refusal to advertise forecloses the channels a comparable app would rely on. What remains is narrower but — properly executed — more durable.</w:t>
      </w:r>
    </w:p>
    <w:p>
      <w:pPr>
        <w:pStyle w:val="Heading2"/>
        <w:spacing w:after="140" w:before="280"/>
      </w:pPr>
      <w:r>
        <w:rPr>
          <w:rFonts w:ascii="Calibri" w:cs="Calibri" w:eastAsia="Calibri" w:hAnsi="Calibri"/>
          <w:b/>
          <w:bCs/>
          <w:color w:val="2E4057"/>
          <w:sz w:val="28"/>
          <w:szCs w:val="28"/>
        </w:rPr>
        <w:t xml:space="preserve">12.1  Channels we will use</w:t>
      </w:r>
    </w:p>
    <w:p>
      <w:pPr>
        <w:pStyle w:val="Heading3"/>
        <w:spacing w:after="100" w:before="220"/>
      </w:pPr>
      <w:r>
        <w:rPr>
          <w:rFonts w:ascii="Calibri" w:cs="Calibri" w:eastAsia="Calibri" w:hAnsi="Calibri"/>
          <w:b/>
          <w:bCs/>
          <w:color w:val="1A1A1A"/>
          <w:sz w:val="24"/>
          <w:szCs w:val="24"/>
        </w:rPr>
        <w:t xml:space="preserve">Gifting (primary)</w:t>
      </w:r>
    </w:p>
    <w:p>
      <w:pPr>
        <w:spacing w:after="120" w:before="60" w:line="300"/>
      </w:pPr>
      <w:r>
        <w:rPr>
          <w:rFonts w:ascii="Calibri" w:cs="Calibri" w:eastAsia="Calibri" w:hAnsi="Calibri"/>
          <w:b w:val="false"/>
          <w:bCs w:val="false"/>
          <w:i w:val="false"/>
          <w:iCs w:val="false"/>
          <w:color w:val="1A1A1A"/>
          <w:sz w:val="22"/>
          <w:szCs w:val="22"/>
        </w:rPr>
        <w:t xml:space="preserve">The gift is the dominant acquisition unit. The website leads with the gift. The product leads with the gift. The quarterly focus is always on making the next gift season better than the last. Target mix at Year 3: 70% of new users via gifting.</w:t>
      </w:r>
    </w:p>
    <w:p>
      <w:pPr>
        <w:pStyle w:val="Heading3"/>
        <w:spacing w:after="100" w:before="220"/>
      </w:pPr>
      <w:r>
        <w:rPr>
          <w:rFonts w:ascii="Calibri" w:cs="Calibri" w:eastAsia="Calibri" w:hAnsi="Calibri"/>
          <w:b/>
          <w:bCs/>
          <w:color w:val="1A1A1A"/>
          <w:sz w:val="24"/>
          <w:szCs w:val="24"/>
        </w:rPr>
        <w:t xml:space="preserve">Editorial (secondary)</w:t>
      </w:r>
    </w:p>
    <w:p>
      <w:pPr>
        <w:spacing w:after="120" w:before="60" w:line="300"/>
      </w:pPr>
      <w:r>
        <w:rPr>
          <w:rFonts w:ascii="Calibri" w:cs="Calibri" w:eastAsia="Calibri" w:hAnsi="Calibri"/>
          <w:b w:val="false"/>
          <w:bCs w:val="false"/>
          <w:i w:val="false"/>
          <w:iCs w:val="false"/>
          <w:color w:val="1A1A1A"/>
          <w:sz w:val="22"/>
          <w:szCs w:val="22"/>
        </w:rPr>
        <w:t xml:space="preserve">The product is editorially interesting — a privacy-first, hardware-tethered, seven-day-deleted witnessing practice is the kind of thing long-form Australian publications cover. Target publications at launch: The Saturday Paper, The Monthly, Meanjin, Griffith Review, ABC Radio National (particularly The Philosopher's Zone, All in the Mind, and Big Ideas), The Conversation, Good Weekend (SMH/Age magazine), Crikey's Inq, InDaily, and Guardian Australia. In Year 2 as the UK market opens: The Atlantic, NYT Well, Psychology Today, Noema, Aeon, FT Weekend, and Guardian Long Reads. Editorial is earned — a single retained PR partner handles pitching and follow-up across both markets.</w:t>
      </w:r>
    </w:p>
    <w:p>
      <w:pPr>
        <w:pStyle w:val="Heading3"/>
        <w:spacing w:after="100" w:before="220"/>
      </w:pPr>
      <w:r>
        <w:rPr>
          <w:rFonts w:ascii="Calibri" w:cs="Calibri" w:eastAsia="Calibri" w:hAnsi="Calibri"/>
          <w:b/>
          <w:bCs/>
          <w:color w:val="1A1A1A"/>
          <w:sz w:val="24"/>
          <w:szCs w:val="24"/>
        </w:rPr>
        <w:t xml:space="preserve">Word of mouth (continuous)</w:t>
      </w:r>
    </w:p>
    <w:p>
      <w:pPr>
        <w:spacing w:after="120" w:before="60" w:line="300"/>
      </w:pPr>
      <w:r>
        <w:rPr>
          <w:rFonts w:ascii="Calibri" w:cs="Calibri" w:eastAsia="Calibri" w:hAnsi="Calibri"/>
          <w:b w:val="false"/>
          <w:bCs w:val="false"/>
          <w:i w:val="false"/>
          <w:iCs w:val="false"/>
          <w:color w:val="1A1A1A"/>
          <w:sz w:val="22"/>
          <w:szCs w:val="22"/>
        </w:rPr>
        <w:t xml:space="preserve">The product is designed to be described to friends. The covenant, the Device, the seven-day deletion, the paper journal — each is a legible, repeatable story element. We measure this by asking Year-2 users a single question on an annual survey: how many people have you told about Moatly? Target: 3+.</w:t>
      </w:r>
    </w:p>
    <w:p>
      <w:pPr>
        <w:pStyle w:val="Heading3"/>
        <w:spacing w:after="100" w:before="220"/>
      </w:pPr>
      <w:r>
        <w:rPr>
          <w:rFonts w:ascii="Calibri" w:cs="Calibri" w:eastAsia="Calibri" w:hAnsi="Calibri"/>
          <w:b/>
          <w:bCs/>
          <w:color w:val="1A1A1A"/>
          <w:sz w:val="24"/>
          <w:szCs w:val="24"/>
        </w:rPr>
        <w:t xml:space="preserve">Author &amp; thinker partnerships</w:t>
      </w:r>
    </w:p>
    <w:p>
      <w:pPr>
        <w:spacing w:after="120" w:before="60" w:line="300"/>
      </w:pPr>
      <w:r>
        <w:rPr>
          <w:rFonts w:ascii="Calibri" w:cs="Calibri" w:eastAsia="Calibri" w:hAnsi="Calibri"/>
          <w:b w:val="false"/>
          <w:bCs w:val="false"/>
          <w:i w:val="false"/>
          <w:iCs w:val="false"/>
          <w:color w:val="1A1A1A"/>
          <w:sz w:val="22"/>
          <w:szCs w:val="22"/>
        </w:rPr>
        <w:t xml:space="preserve">Once a quarter, a named public intellectual — a writer, a philosopher, a therapist of standing — is invited to host a single Moat as a guest witness. They are paid properly. They do not advertise the product; the invitation itself is the story. This is how we reach the readership of the author without breaking the covenant. Australian candidates worth early exploration (founder to prioritise): Helen Garner, Charlotte Wood, Hugh Mackay, Tim Winton, Christos Tsiolkas, Richard Flanagan, Anna Funder, Michelle de Kretser, Leigh Sales, Julia Baird. These are provocations, not commitments.</w:t>
      </w:r>
    </w:p>
    <w:p>
      <w:pPr>
        <w:pStyle w:val="Heading3"/>
        <w:spacing w:after="100" w:before="220"/>
      </w:pPr>
      <w:r>
        <w:rPr>
          <w:rFonts w:ascii="Calibri" w:cs="Calibri" w:eastAsia="Calibri" w:hAnsi="Calibri"/>
          <w:b/>
          <w:bCs/>
          <w:color w:val="1A1A1A"/>
          <w:sz w:val="24"/>
          <w:szCs w:val="24"/>
        </w:rPr>
        <w:t xml:space="preserve">Therapists and psychologists as recommenders</w:t>
      </w:r>
    </w:p>
    <w:p>
      <w:pPr>
        <w:spacing w:after="120" w:before="60" w:line="300"/>
      </w:pPr>
      <w:r>
        <w:rPr>
          <w:rFonts w:ascii="Calibri" w:cs="Calibri" w:eastAsia="Calibri" w:hAnsi="Calibri"/>
          <w:b w:val="false"/>
          <w:bCs w:val="false"/>
          <w:i w:val="false"/>
          <w:iCs w:val="false"/>
          <w:color w:val="1A1A1A"/>
          <w:sz w:val="22"/>
          <w:szCs w:val="22"/>
        </w:rPr>
        <w:t xml:space="preserve">A deliberate outreach programme to therapists: send them the Full Rite package, free, with a letter explaining the system. Do not ask them to recommend. Ask them to try. A small percentage will incorporate it into practice for appropriate clients. Those clients become our most retained cohort. The Australian Psychological Society, the Australian Clinical Psychology Association, and the Australian Counselling Association represent the professional bodies worth outreach at an institutional level.</w:t>
      </w:r>
    </w:p>
    <w:p>
      <w:pPr>
        <w:pStyle w:val="Heading2"/>
        <w:spacing w:after="140" w:before="280"/>
      </w:pPr>
      <w:r>
        <w:rPr>
          <w:rFonts w:ascii="Calibri" w:cs="Calibri" w:eastAsia="Calibri" w:hAnsi="Calibri"/>
          <w:b/>
          <w:bCs/>
          <w:color w:val="2E4057"/>
          <w:sz w:val="28"/>
          <w:szCs w:val="28"/>
        </w:rPr>
        <w:t xml:space="preserve">12.2  Channels we will not use</w:t>
      </w:r>
    </w:p>
    <w:p>
      <w:pPr>
        <w:pStyle w:val="ListParagraph"/>
        <w:numPr>
          <w:ilvl w:val="0"/>
          <w:numId w:val="2"/>
        </w:numPr>
        <w:spacing w:after="60" w:before="30" w:line="280"/>
      </w:pPr>
      <w:r>
        <w:rPr>
          <w:rFonts w:ascii="Calibri" w:cs="Calibri" w:eastAsia="Calibri" w:hAnsi="Calibri"/>
          <w:color w:val="1A1A1A"/>
          <w:sz w:val="22"/>
          <w:szCs w:val="22"/>
        </w:rPr>
        <w:t xml:space="preserve">Paid digital advertising (Google, Meta, TikTok, any platform).</w:t>
      </w:r>
    </w:p>
    <w:p>
      <w:pPr>
        <w:pStyle w:val="ListParagraph"/>
        <w:numPr>
          <w:ilvl w:val="0"/>
          <w:numId w:val="2"/>
        </w:numPr>
        <w:spacing w:after="60" w:before="30" w:line="280"/>
      </w:pPr>
      <w:r>
        <w:rPr>
          <w:rFonts w:ascii="Calibri" w:cs="Calibri" w:eastAsia="Calibri" w:hAnsi="Calibri"/>
          <w:color w:val="1A1A1A"/>
          <w:sz w:val="22"/>
          <w:szCs w:val="22"/>
        </w:rPr>
        <w:t xml:space="preserve">Affiliate marketing or commission-based referral programmes.</w:t>
      </w:r>
    </w:p>
    <w:p>
      <w:pPr>
        <w:pStyle w:val="ListParagraph"/>
        <w:numPr>
          <w:ilvl w:val="0"/>
          <w:numId w:val="2"/>
        </w:numPr>
        <w:spacing w:after="60" w:before="30" w:line="280"/>
      </w:pPr>
      <w:r>
        <w:rPr>
          <w:rFonts w:ascii="Calibri" w:cs="Calibri" w:eastAsia="Calibri" w:hAnsi="Calibri"/>
          <w:color w:val="1A1A1A"/>
          <w:sz w:val="22"/>
          <w:szCs w:val="22"/>
        </w:rPr>
        <w:t xml:space="preserve">Influencer campaigns, sponsored posts, or paid content partnerships.</w:t>
      </w:r>
    </w:p>
    <w:p>
      <w:pPr>
        <w:pStyle w:val="ListParagraph"/>
        <w:numPr>
          <w:ilvl w:val="0"/>
          <w:numId w:val="2"/>
        </w:numPr>
        <w:spacing w:after="60" w:before="30" w:line="280"/>
      </w:pPr>
      <w:r>
        <w:rPr>
          <w:rFonts w:ascii="Calibri" w:cs="Calibri" w:eastAsia="Calibri" w:hAnsi="Calibri"/>
          <w:color w:val="1A1A1A"/>
          <w:sz w:val="22"/>
          <w:szCs w:val="22"/>
        </w:rPr>
        <w:t xml:space="preserve">‘Growth hacking’ — no virality mechanics, no referral rewards, no streak pressure.</w:t>
      </w:r>
    </w:p>
    <w:p>
      <w:pPr>
        <w:pStyle w:val="ListParagraph"/>
        <w:numPr>
          <w:ilvl w:val="0"/>
          <w:numId w:val="2"/>
        </w:numPr>
        <w:spacing w:after="60" w:before="30" w:line="280"/>
      </w:pPr>
      <w:r>
        <w:rPr>
          <w:rFonts w:ascii="Calibri" w:cs="Calibri" w:eastAsia="Calibri" w:hAnsi="Calibri"/>
          <w:color w:val="1A1A1A"/>
          <w:sz w:val="22"/>
          <w:szCs w:val="22"/>
        </w:rPr>
        <w:t xml:space="preserve">Email marketing beyond strictly transactional (order confirmations, renewal reminders, prescription delivery).</w:t>
      </w:r>
    </w:p>
    <w:p>
      <w:pPr>
        <w:pStyle w:val="Heading2"/>
        <w:spacing w:after="140" w:before="280"/>
      </w:pPr>
      <w:r>
        <w:rPr>
          <w:rFonts w:ascii="Calibri" w:cs="Calibri" w:eastAsia="Calibri" w:hAnsi="Calibri"/>
          <w:b/>
          <w:bCs/>
          <w:color w:val="2E4057"/>
          <w:sz w:val="28"/>
          <w:szCs w:val="28"/>
        </w:rPr>
        <w:t xml:space="preserve">12.3  Founding Hosts — the profit-share channel</w:t>
      </w:r>
    </w:p>
    <w:p>
      <w:pPr>
        <w:spacing w:after="120" w:before="60" w:line="300"/>
      </w:pPr>
      <w:r>
        <w:rPr>
          <w:rFonts w:ascii="Calibri" w:cs="Calibri" w:eastAsia="Calibri" w:hAnsi="Calibri"/>
          <w:b w:val="false"/>
          <w:bCs w:val="false"/>
          <w:i w:val="false"/>
          <w:iCs w:val="false"/>
          <w:color w:val="1A1A1A"/>
          <w:sz w:val="22"/>
          <w:szCs w:val="22"/>
        </w:rPr>
        <w:t xml:space="preserve">The MOATLY ritual app is hosted by a set of host couples — the figures whom the querent meets at the start of the ritual and who later appear to speak to them through the prescription email. A small number of these hosts — the Founding Hosts — are paid in revenue share rather than conventional performer fees. This is both a commercial structure and a marketing channel, and it needs to be modelled honestly.</w:t>
      </w:r>
    </w:p>
    <w:p>
      <w:pPr>
        <w:pStyle w:val="Heading3"/>
        <w:spacing w:after="100" w:before="220"/>
      </w:pPr>
      <w:r>
        <w:rPr>
          <w:rFonts w:ascii="Calibri" w:cs="Calibri" w:eastAsia="Calibri" w:hAnsi="Calibri"/>
          <w:b/>
          <w:bCs/>
          <w:color w:val="1A1A1A"/>
          <w:sz w:val="24"/>
          <w:szCs w:val="24"/>
        </w:rPr>
        <w:t xml:space="preserve">The shape of the arrangement</w:t>
      </w:r>
    </w:p>
    <w:p>
      <w:pPr>
        <w:pStyle w:val="ListParagraph"/>
        <w:numPr>
          <w:ilvl w:val="0"/>
          <w:numId w:val="2"/>
        </w:numPr>
        <w:spacing w:after="60" w:before="30" w:line="280"/>
      </w:pPr>
      <w:r>
        <w:rPr>
          <w:rFonts w:ascii="Calibri" w:cs="Calibri" w:eastAsia="Calibri" w:hAnsi="Calibri"/>
          <w:color w:val="1A1A1A"/>
          <w:sz w:val="22"/>
          <w:szCs w:val="22"/>
        </w:rPr>
        <w:t xml:space="preserve">Six Founding Host couples are recruited before public launch. Six is deliberately small — it keeps the per-host incentive meaningful, the cohort cohesive, and the combined cost to the business modest. The cohort can be expanded later if genuinely needed, but never beyond twelve.</w:t>
      </w:r>
    </w:p>
    <w:p>
      <w:pPr>
        <w:pStyle w:val="ListParagraph"/>
        <w:numPr>
          <w:ilvl w:val="0"/>
          <w:numId w:val="2"/>
        </w:numPr>
        <w:spacing w:after="60" w:before="30" w:line="280"/>
      </w:pPr>
      <w:r>
        <w:rPr>
          <w:rFonts w:ascii="Calibri" w:cs="Calibri" w:eastAsia="Calibri" w:hAnsi="Calibri"/>
          <w:color w:val="1A1A1A"/>
          <w:sz w:val="22"/>
          <w:szCs w:val="22"/>
        </w:rPr>
        <w:t xml:space="preserve">Founding Hosts receive a named, capped revenue share in exchange for their performance and for their reputational endorsement of the product. The proposed structure is approximately 0.7% of gross subscription revenue per host, capped at a cumulative AUD $500k per host over seven years.</w:t>
      </w:r>
    </w:p>
    <w:p>
      <w:pPr>
        <w:pStyle w:val="ListParagraph"/>
        <w:numPr>
          <w:ilvl w:val="0"/>
          <w:numId w:val="2"/>
        </w:numPr>
        <w:spacing w:after="60" w:before="30" w:line="280"/>
      </w:pPr>
      <w:r>
        <w:rPr>
          <w:rFonts w:ascii="Calibri" w:cs="Calibri" w:eastAsia="Calibri" w:hAnsi="Calibri"/>
          <w:color w:val="1A1A1A"/>
          <w:sz w:val="22"/>
          <w:szCs w:val="22"/>
        </w:rPr>
        <w:t xml:space="preserve">Total revenue share across the six Founding Hosts is budgeted at approximately 4% of gross subscription revenue. This is a real operating cost and is accounted for in section 10 (unit economics) and section 11 (projections).</w:t>
      </w:r>
    </w:p>
    <w:p>
      <w:pPr>
        <w:pStyle w:val="ListParagraph"/>
        <w:numPr>
          <w:ilvl w:val="0"/>
          <w:numId w:val="2"/>
        </w:numPr>
        <w:spacing w:after="60" w:before="30" w:line="280"/>
      </w:pPr>
      <w:r>
        <w:rPr>
          <w:rFonts w:ascii="Calibri" w:cs="Calibri" w:eastAsia="Calibri" w:hAnsi="Calibri"/>
          <w:color w:val="1A1A1A"/>
          <w:sz w:val="22"/>
          <w:szCs w:val="22"/>
        </w:rPr>
        <w:t xml:space="preserve">Founding Host status is non-transferable and has no equity component. It is a performance royalty, not share ownership.</w:t>
      </w:r>
    </w:p>
    <w:p>
      <w:pPr>
        <w:pStyle w:val="ListParagraph"/>
        <w:numPr>
          <w:ilvl w:val="0"/>
          <w:numId w:val="2"/>
        </w:numPr>
        <w:spacing w:after="60" w:before="30" w:line="280"/>
      </w:pPr>
      <w:r>
        <w:rPr>
          <w:rFonts w:ascii="Calibri" w:cs="Calibri" w:eastAsia="Calibri" w:hAnsi="Calibri"/>
          <w:color w:val="1A1A1A"/>
          <w:sz w:val="22"/>
          <w:szCs w:val="22"/>
        </w:rPr>
        <w:t xml:space="preserve">After the Founding Host cohort is closed, subsequent hosts are paid conventional performer fees. There is no ongoing Founding Host recruitment.</w:t>
      </w:r>
    </w:p>
    <w:p>
      <w:pPr>
        <w:pStyle w:val="Heading3"/>
        <w:spacing w:after="100" w:before="220"/>
      </w:pPr>
      <w:r>
        <w:rPr>
          <w:rFonts w:ascii="Calibri" w:cs="Calibri" w:eastAsia="Calibri" w:hAnsi="Calibri"/>
          <w:b/>
          <w:bCs/>
          <w:color w:val="1A1A1A"/>
          <w:sz w:val="24"/>
          <w:szCs w:val="24"/>
        </w:rPr>
        <w:t xml:space="preserve">What Founding Hosts do and do not do</w:t>
      </w:r>
    </w:p>
    <w:p>
      <w:pPr>
        <w:spacing w:after="120" w:before="60" w:line="300"/>
      </w:pPr>
      <w:r>
        <w:rPr>
          <w:rFonts w:ascii="Calibri" w:cs="Calibri" w:eastAsia="Calibri" w:hAnsi="Calibri"/>
          <w:b w:val="false"/>
          <w:bCs w:val="false"/>
          <w:i w:val="false"/>
          <w:iCs w:val="false"/>
          <w:color w:val="1A1A1A"/>
          <w:sz w:val="22"/>
          <w:szCs w:val="22"/>
        </w:rPr>
        <w:t xml:space="preserve">The Founding Hosts are marketing-positive in a specific and bounded way. They bring their own audience through their own honest means — their existing editorial presence, their podcasts, their writing, their communities. They do not run paid advertising on Moatly's behalf; they do not run referral campaigns; they do not use engagement mechanics. They are cultural ambassadors, not affiliate marketers.</w:t>
      </w:r>
    </w:p>
    <w:p>
      <w:pPr>
        <w:pStyle w:val="ListParagraph"/>
        <w:numPr>
          <w:ilvl w:val="0"/>
          <w:numId w:val="2"/>
        </w:numPr>
        <w:spacing w:after="60" w:before="30" w:line="280"/>
      </w:pPr>
      <w:r>
        <w:rPr>
          <w:rFonts w:ascii="Calibri" w:cs="Calibri" w:eastAsia="Calibri" w:hAnsi="Calibri"/>
          <w:color w:val="1A1A1A"/>
          <w:sz w:val="22"/>
          <w:szCs w:val="22"/>
        </w:rPr>
        <w:t xml:space="preserve">Allowed: mentioning their involvement on their own channels, in their own voice, on their own schedule.</w:t>
      </w:r>
    </w:p>
    <w:p>
      <w:pPr>
        <w:pStyle w:val="ListParagraph"/>
        <w:numPr>
          <w:ilvl w:val="0"/>
          <w:numId w:val="2"/>
        </w:numPr>
        <w:spacing w:after="60" w:before="30" w:line="280"/>
      </w:pPr>
      <w:r>
        <w:rPr>
          <w:rFonts w:ascii="Calibri" w:cs="Calibri" w:eastAsia="Calibri" w:hAnsi="Calibri"/>
          <w:color w:val="1A1A1A"/>
          <w:sz w:val="22"/>
          <w:szCs w:val="22"/>
        </w:rPr>
        <w:t xml:space="preserve">Allowed: hosting Author Moat events (section 12.1) within the product itself, paid for separately.</w:t>
      </w:r>
    </w:p>
    <w:p>
      <w:pPr>
        <w:pStyle w:val="ListParagraph"/>
        <w:numPr>
          <w:ilvl w:val="0"/>
          <w:numId w:val="2"/>
        </w:numPr>
        <w:spacing w:after="60" w:before="30" w:line="280"/>
      </w:pPr>
      <w:r>
        <w:rPr>
          <w:rFonts w:ascii="Calibri" w:cs="Calibri" w:eastAsia="Calibri" w:hAnsi="Calibri"/>
          <w:color w:val="1A1A1A"/>
          <w:sz w:val="22"/>
          <w:szCs w:val="22"/>
        </w:rPr>
        <w:t xml:space="preserve">Allowed: inviting their own audience to back the crowdfund during its window.</w:t>
      </w:r>
    </w:p>
    <w:p>
      <w:pPr>
        <w:pStyle w:val="ListParagraph"/>
        <w:numPr>
          <w:ilvl w:val="0"/>
          <w:numId w:val="2"/>
        </w:numPr>
        <w:spacing w:after="60" w:before="30" w:line="280"/>
      </w:pPr>
      <w:r>
        <w:rPr>
          <w:rFonts w:ascii="Calibri" w:cs="Calibri" w:eastAsia="Calibri" w:hAnsi="Calibri"/>
          <w:color w:val="1A1A1A"/>
          <w:sz w:val="22"/>
          <w:szCs w:val="22"/>
        </w:rPr>
        <w:t xml:space="preserve">Not allowed: running paid digital advertising promoting Moatly, under any circumstance.</w:t>
      </w:r>
    </w:p>
    <w:p>
      <w:pPr>
        <w:pStyle w:val="ListParagraph"/>
        <w:numPr>
          <w:ilvl w:val="0"/>
          <w:numId w:val="2"/>
        </w:numPr>
        <w:spacing w:after="60" w:before="30" w:line="280"/>
      </w:pPr>
      <w:r>
        <w:rPr>
          <w:rFonts w:ascii="Calibri" w:cs="Calibri" w:eastAsia="Calibri" w:hAnsi="Calibri"/>
          <w:color w:val="1A1A1A"/>
          <w:sz w:val="22"/>
          <w:szCs w:val="22"/>
        </w:rPr>
        <w:t xml:space="preserve">Not allowed: using a referral code, unique discount link, or other affiliate mechanism that introduces the attribution infrastructure we have specifically refused to build.</w:t>
      </w:r>
    </w:p>
    <w:p>
      <w:pPr>
        <w:pStyle w:val="ListParagraph"/>
        <w:numPr>
          <w:ilvl w:val="0"/>
          <w:numId w:val="2"/>
        </w:numPr>
        <w:spacing w:after="60" w:before="30" w:line="280"/>
      </w:pPr>
      <w:r>
        <w:rPr>
          <w:rFonts w:ascii="Calibri" w:cs="Calibri" w:eastAsia="Calibri" w:hAnsi="Calibri"/>
          <w:color w:val="1A1A1A"/>
          <w:sz w:val="22"/>
          <w:szCs w:val="22"/>
        </w:rPr>
        <w:t xml:space="preserve">Not allowed: quoting or paraphrasing Moat content — theirs or anyone else's — in any public-facing material.</w:t>
      </w:r>
    </w:p>
    <w:p>
      <w:pPr>
        <w:spacing w:after="120" w:before="60" w:line="300"/>
      </w:pPr>
      <w:r>
        <w:rPr>
          <w:rFonts w:ascii="Calibri" w:cs="Calibri" w:eastAsia="Calibri" w:hAnsi="Calibri"/>
          <w:b w:val="false"/>
          <w:bCs w:val="false"/>
          <w:i w:val="false"/>
          <w:iCs w:val="false"/>
          <w:color w:val="1A1A1A"/>
          <w:sz w:val="22"/>
          <w:szCs w:val="22"/>
        </w:rPr>
        <w:t xml:space="preserve">These constraints are written into the Founding Host agreement. A breach is grounds for termination of the revenue share; two breaches is grounds for unwinding the relationship entirely.</w:t>
      </w:r>
    </w:p>
    <w:p>
      <w:pPr>
        <w:pStyle w:val="Heading3"/>
        <w:spacing w:after="100" w:before="220"/>
      </w:pPr>
      <w:r>
        <w:rPr>
          <w:rFonts w:ascii="Calibri" w:cs="Calibri" w:eastAsia="Calibri" w:hAnsi="Calibri"/>
          <w:b/>
          <w:bCs/>
          <w:color w:val="1A1A1A"/>
          <w:sz w:val="24"/>
          <w:szCs w:val="24"/>
        </w:rPr>
        <w:t xml:space="preserve">Who the Founding Hosts should be</w:t>
      </w:r>
    </w:p>
    <w:p>
      <w:pPr>
        <w:spacing w:after="120" w:before="60" w:line="300"/>
      </w:pPr>
      <w:r>
        <w:rPr>
          <w:rFonts w:ascii="Calibri" w:cs="Calibri" w:eastAsia="Calibri" w:hAnsi="Calibri"/>
          <w:b w:val="false"/>
          <w:bCs w:val="false"/>
          <w:i w:val="false"/>
          <w:iCs w:val="false"/>
          <w:color w:val="1A1A1A"/>
          <w:sz w:val="22"/>
          <w:szCs w:val="22"/>
        </w:rPr>
        <w:t xml:space="preserve">With only six places, every Founding Host matters disproportionately. The right mix — to be decided by the founder — is probably:</w:t>
      </w:r>
    </w:p>
    <w:p>
      <w:pPr>
        <w:pStyle w:val="ListParagraph"/>
        <w:numPr>
          <w:ilvl w:val="0"/>
          <w:numId w:val="2"/>
        </w:numPr>
        <w:spacing w:after="60" w:before="30" w:line="280"/>
      </w:pPr>
      <w:r>
        <w:rPr>
          <w:rFonts w:ascii="Calibri" w:cs="Calibri" w:eastAsia="Calibri" w:hAnsi="Calibri"/>
          <w:color w:val="1A1A1A"/>
          <w:sz w:val="22"/>
          <w:szCs w:val="22"/>
        </w:rPr>
        <w:t xml:space="preserve">Two or three culturally-positioned thinkers — a writer, a philosopher, a therapist-author, a long-form broadcaster. They bring an audience of 50,000 to several million who trust their recommendations. In an Australian context: Hugh Mackay, Julia Baird, Leigh Sales, Helen Garner, Charlotte Wood, Richard Flanagan, Waleed Aly, Sarah Wilson (for her specific history of wellness credibility), Tim Winton. These are provocations, not commitments.</w:t>
      </w:r>
    </w:p>
    <w:p>
      <w:pPr>
        <w:pStyle w:val="ListParagraph"/>
        <w:numPr>
          <w:ilvl w:val="0"/>
          <w:numId w:val="2"/>
        </w:numPr>
        <w:spacing w:after="60" w:before="30" w:line="280"/>
      </w:pPr>
      <w:r>
        <w:rPr>
          <w:rFonts w:ascii="Calibri" w:cs="Calibri" w:eastAsia="Calibri" w:hAnsi="Calibri"/>
          <w:color w:val="1A1A1A"/>
          <w:sz w:val="22"/>
          <w:szCs w:val="22"/>
        </w:rPr>
        <w:t xml:space="preserve">Three or four cross-cultural authentic couples — host couples from different countries, languages, generations, life experiences, whose presence signals that Moatly is not a monocultural product. These hosts are less famous but culturally crucial. They are discovered rather than recruited from public life.</w:t>
      </w:r>
    </w:p>
    <w:p>
      <w:pPr>
        <w:spacing w:after="120" w:before="60" w:line="300"/>
      </w:pPr>
      <w:r>
        <w:rPr>
          <w:rFonts w:ascii="Calibri" w:cs="Calibri" w:eastAsia="Calibri" w:hAnsi="Calibri"/>
          <w:b w:val="false"/>
          <w:bCs w:val="false"/>
          <w:i w:val="false"/>
          <w:iCs w:val="false"/>
          <w:color w:val="1A1A1A"/>
          <w:sz w:val="22"/>
          <w:szCs w:val="22"/>
        </w:rPr>
        <w:t xml:space="preserve">Six is enough to establish diversity of voice without diluting per-host economics. If recruitment produces fewer than six compelling candidates, it is better to launch with four than to compromise.</w:t>
      </w:r>
    </w:p>
    <w:p>
      <w:pPr>
        <w:pStyle w:val="Heading3"/>
        <w:spacing w:after="100" w:before="220"/>
      </w:pPr>
      <w:r>
        <w:rPr>
          <w:rFonts w:ascii="Calibri" w:cs="Calibri" w:eastAsia="Calibri" w:hAnsi="Calibri"/>
          <w:b/>
          <w:bCs/>
          <w:color w:val="1A1A1A"/>
          <w:sz w:val="24"/>
          <w:szCs w:val="24"/>
        </w:rPr>
        <w:t xml:space="preserve">Commercial impact</w:t>
      </w:r>
    </w:p>
    <w:p>
      <w:pPr>
        <w:spacing w:after="120" w:before="60" w:line="300"/>
      </w:pPr>
      <w:r>
        <w:rPr>
          <w:rFonts w:ascii="Calibri" w:cs="Calibri" w:eastAsia="Calibri" w:hAnsi="Calibri"/>
          <w:b w:val="false"/>
          <w:bCs w:val="false"/>
          <w:i w:val="false"/>
          <w:iCs w:val="false"/>
          <w:color w:val="1A1A1A"/>
          <w:sz w:val="22"/>
          <w:szCs w:val="22"/>
        </w:rPr>
        <w:t xml:space="preserve">The Founding Host profit-share reduces subscription contribution margin by approximately AUD $0.62 per user per month (4% of blended subscription revenue), applied from Year 1. This is built into the revised unit economics in section 10 as a new COGS line. In exchange we expect:</w:t>
      </w:r>
    </w:p>
    <w:p>
      <w:pPr>
        <w:pStyle w:val="ListParagraph"/>
        <w:numPr>
          <w:ilvl w:val="0"/>
          <w:numId w:val="2"/>
        </w:numPr>
        <w:spacing w:after="60" w:before="30" w:line="280"/>
      </w:pPr>
      <w:r>
        <w:rPr>
          <w:rFonts w:ascii="Calibri" w:cs="Calibri" w:eastAsia="Calibri" w:hAnsi="Calibri"/>
          <w:color w:val="1A1A1A"/>
          <w:sz w:val="22"/>
          <w:szCs w:val="22"/>
        </w:rPr>
        <w:t xml:space="preserve">Founding Host referred users to comprise 20–30% of Year 1 and Year 2 new-user acquisition — a smaller share than a larger cohort would drive, but still meaningful.</w:t>
      </w:r>
    </w:p>
    <w:p>
      <w:pPr>
        <w:pStyle w:val="ListParagraph"/>
        <w:numPr>
          <w:ilvl w:val="0"/>
          <w:numId w:val="2"/>
        </w:numPr>
        <w:spacing w:after="60" w:before="30" w:line="280"/>
      </w:pPr>
      <w:r>
        <w:rPr>
          <w:rFonts w:ascii="Calibri" w:cs="Calibri" w:eastAsia="Calibri" w:hAnsi="Calibri"/>
          <w:color w:val="1A1A1A"/>
          <w:sz w:val="22"/>
          <w:szCs w:val="22"/>
        </w:rPr>
        <w:t xml:space="preserve">Crowdfund campaign performance uplift of 40–75% compared to a campaign without Founding Host endorsement.</w:t>
      </w:r>
    </w:p>
    <w:p>
      <w:pPr>
        <w:pStyle w:val="ListParagraph"/>
        <w:numPr>
          <w:ilvl w:val="0"/>
          <w:numId w:val="2"/>
        </w:numPr>
        <w:spacing w:after="60" w:before="30" w:line="280"/>
      </w:pPr>
      <w:r>
        <w:rPr>
          <w:rFonts w:ascii="Calibri" w:cs="Calibri" w:eastAsia="Calibri" w:hAnsi="Calibri"/>
          <w:color w:val="1A1A1A"/>
          <w:sz w:val="22"/>
          <w:szCs w:val="22"/>
        </w:rPr>
        <w:t xml:space="preserve">Editorial coverage uplift — at least half the Year 1 editorial features we land will cite a Founding Host by name.</w:t>
      </w:r>
    </w:p>
    <w:p>
      <w:pPr>
        <w:spacing w:after="120" w:before="60" w:line="300"/>
      </w:pPr>
      <w:r>
        <w:rPr>
          <w:rFonts w:ascii="Calibri" w:cs="Calibri" w:eastAsia="Calibri" w:hAnsi="Calibri"/>
          <w:b w:val="false"/>
          <w:bCs w:val="false"/>
          <w:i w:val="false"/>
          <w:iCs w:val="false"/>
          <w:color w:val="1A1A1A"/>
          <w:sz w:val="22"/>
          <w:szCs w:val="22"/>
        </w:rPr>
        <w:t xml:space="preserve">On any reasonable model these effects more than compensate for the 4% of revenue they cost. The Founding Host channel is net accretive, and the smaller cohort produces a tighter, more cohesive group of hosts who genuinely know each other and the product.</w:t>
      </w:r>
    </w:p>
    <w:p>
      <w:pPr>
        <w:pStyle w:val="Heading2"/>
        <w:spacing w:after="140" w:before="280"/>
      </w:pPr>
      <w:r>
        <w:rPr>
          <w:rFonts w:ascii="Calibri" w:cs="Calibri" w:eastAsia="Calibri" w:hAnsi="Calibri"/>
          <w:b/>
          <w:bCs/>
          <w:color w:val="2E4057"/>
          <w:sz w:val="28"/>
          <w:szCs w:val="28"/>
        </w:rPr>
        <w:t xml:space="preserve">12.4  The launch sequence</w:t>
      </w:r>
    </w:p>
    <w:p>
      <w:pPr>
        <w:pStyle w:val="ListParagraph"/>
        <w:numPr>
          <w:ilvl w:val="0"/>
          <w:numId w:val="3"/>
        </w:numPr>
        <w:spacing w:after="60" w:before="30" w:line="280"/>
      </w:pPr>
      <w:r>
        <w:rPr>
          <w:rFonts w:ascii="Calibri" w:cs="Calibri" w:eastAsia="Calibri" w:hAnsi="Calibri"/>
          <w:color w:val="1A1A1A"/>
          <w:sz w:val="22"/>
          <w:szCs w:val="22"/>
        </w:rPr>
        <w:t xml:space="preserve">Months 1–3: build in public. Commit to GitHub from day one. Occasional founder-voiced updates.</w:t>
      </w:r>
    </w:p>
    <w:p>
      <w:pPr>
        <w:pStyle w:val="ListParagraph"/>
        <w:numPr>
          <w:ilvl w:val="0"/>
          <w:numId w:val="3"/>
        </w:numPr>
        <w:spacing w:after="60" w:before="30" w:line="280"/>
      </w:pPr>
      <w:r>
        <w:rPr>
          <w:rFonts w:ascii="Calibri" w:cs="Calibri" w:eastAsia="Calibri" w:hAnsi="Calibri"/>
          <w:color w:val="1A1A1A"/>
          <w:sz w:val="22"/>
          <w:szCs w:val="22"/>
        </w:rPr>
        <w:t xml:space="preserve">Months 3–4: Founding Host recruitment. Quiet conversations. Agreements signed. Cohort confirmed before crowdfunding begins.</w:t>
      </w:r>
    </w:p>
    <w:p>
      <w:pPr>
        <w:pStyle w:val="ListParagraph"/>
        <w:numPr>
          <w:ilvl w:val="0"/>
          <w:numId w:val="3"/>
        </w:numPr>
        <w:spacing w:after="60" w:before="30" w:line="280"/>
      </w:pPr>
      <w:r>
        <w:rPr>
          <w:rFonts w:ascii="Calibri" w:cs="Calibri" w:eastAsia="Calibri" w:hAnsi="Calibri"/>
          <w:color w:val="1A1A1A"/>
          <w:sz w:val="22"/>
          <w:szCs w:val="22"/>
        </w:rPr>
        <w:t xml:space="preserve">Months 4–6: crowdfunding campaign. Founding Hosts publicly endorse on their own channels. Campaign video features the already-complete Unity MOATLY app prominently.</w:t>
      </w:r>
    </w:p>
    <w:p>
      <w:pPr>
        <w:pStyle w:val="ListParagraph"/>
        <w:numPr>
          <w:ilvl w:val="0"/>
          <w:numId w:val="3"/>
        </w:numPr>
        <w:spacing w:after="60" w:before="30" w:line="280"/>
      </w:pPr>
      <w:r>
        <w:rPr>
          <w:rFonts w:ascii="Calibri" w:cs="Calibri" w:eastAsia="Calibri" w:hAnsi="Calibri"/>
          <w:color w:val="1A1A1A"/>
          <w:sz w:val="22"/>
          <w:szCs w:val="22"/>
        </w:rPr>
        <w:t xml:space="preserve">Month 7: crowdfund payments clear. Inventory ordering begins with confidence informed by actual backer demand.</w:t>
      </w:r>
    </w:p>
    <w:p>
      <w:pPr>
        <w:pStyle w:val="ListParagraph"/>
        <w:numPr>
          <w:ilvl w:val="0"/>
          <w:numId w:val="3"/>
        </w:numPr>
        <w:spacing w:after="60" w:before="30" w:line="280"/>
      </w:pPr>
      <w:r>
        <w:rPr>
          <w:rFonts w:ascii="Calibri" w:cs="Calibri" w:eastAsia="Calibri" w:hAnsi="Calibri"/>
          <w:color w:val="1A1A1A"/>
          <w:sz w:val="22"/>
          <w:szCs w:val="22"/>
        </w:rPr>
        <w:t xml:space="preserve">Month 8: physical goods ship to crowdfund backers. Unity MOATLY app access opens via TestFlight / Play Internal Testing.</w:t>
      </w:r>
    </w:p>
    <w:p>
      <w:pPr>
        <w:pStyle w:val="ListParagraph"/>
        <w:numPr>
          <w:ilvl w:val="0"/>
          <w:numId w:val="3"/>
        </w:numPr>
        <w:spacing w:after="60" w:before="30" w:line="280"/>
      </w:pPr>
      <w:r>
        <w:rPr>
          <w:rFonts w:ascii="Calibri" w:cs="Calibri" w:eastAsia="Calibri" w:hAnsi="Calibri"/>
          <w:color w:val="1A1A1A"/>
          <w:sz w:val="22"/>
          <w:szCs w:val="22"/>
        </w:rPr>
        <w:t xml:space="preserve">Month 9: soft launch. 500 Full Rite packages sent, free, to a hand-selected list of Australian writers, therapists, philosophers, cultural commentators, and selected New Zealand counterparts beyond the Founding Host cohort. No ask attached. Just the box.</w:t>
      </w:r>
    </w:p>
    <w:p>
      <w:pPr>
        <w:pStyle w:val="ListParagraph"/>
        <w:numPr>
          <w:ilvl w:val="0"/>
          <w:numId w:val="3"/>
        </w:numPr>
        <w:spacing w:after="60" w:before="30" w:line="280"/>
      </w:pPr>
      <w:r>
        <w:rPr>
          <w:rFonts w:ascii="Calibri" w:cs="Calibri" w:eastAsia="Calibri" w:hAnsi="Calibri"/>
          <w:color w:val="1A1A1A"/>
          <w:sz w:val="22"/>
          <w:szCs w:val="22"/>
        </w:rPr>
        <w:t xml:space="preserve">Months 10–12: editorial window. The soft-launch recipients will, over these months, either write about the product or not. Either result is acceptable. Track coverage. Do not chase it.</w:t>
      </w:r>
    </w:p>
    <w:p>
      <w:pPr>
        <w:pStyle w:val="ListParagraph"/>
        <w:numPr>
          <w:ilvl w:val="0"/>
          <w:numId w:val="3"/>
        </w:numPr>
        <w:spacing w:after="60" w:before="30" w:line="280"/>
      </w:pPr>
      <w:r>
        <w:rPr>
          <w:rFonts w:ascii="Calibri" w:cs="Calibri" w:eastAsia="Calibri" w:hAnsi="Calibri"/>
          <w:color w:val="1A1A1A"/>
          <w:sz w:val="22"/>
          <w:szCs w:val="22"/>
        </w:rPr>
        <w:t xml:space="preserve">Month 13: public launch in Australia and New Zealand. Crowdfund backers transition fully into MOATS. The website opens for new orders. Our first Q4 gifting season (summer Christmas in AU/NZ) begins.</w:t>
      </w:r>
    </w:p>
    <w:p>
      <w:pPr>
        <w:pStyle w:val="ListParagraph"/>
        <w:numPr>
          <w:ilvl w:val="0"/>
          <w:numId w:val="3"/>
        </w:numPr>
        <w:spacing w:after="60" w:before="30" w:line="280"/>
      </w:pPr>
      <w:r>
        <w:rPr>
          <w:rFonts w:ascii="Calibri" w:cs="Calibri" w:eastAsia="Calibri" w:hAnsi="Calibri"/>
          <w:color w:val="1A1A1A"/>
          <w:sz w:val="22"/>
          <w:szCs w:val="22"/>
        </w:rPr>
        <w:t xml:space="preserve">Month 18: United Kingdom market opens. Editorial push into UK long-form publications. Northern-hemisphere gifting cadence joins the seasonal calendar.</w:t>
      </w:r>
    </w:p>
    <w:p>
      <w:pPr>
        <w:pStyle w:val="ListParagraph"/>
        <w:numPr>
          <w:ilvl w:val="0"/>
          <w:numId w:val="3"/>
        </w:numPr>
        <w:spacing w:after="60" w:before="30" w:line="280"/>
      </w:pPr>
      <w:r>
        <w:rPr>
          <w:rFonts w:ascii="Calibri" w:cs="Calibri" w:eastAsia="Calibri" w:hAnsi="Calibri"/>
          <w:color w:val="1A1A1A"/>
          <w:sz w:val="22"/>
          <w:szCs w:val="22"/>
        </w:rPr>
        <w:t xml:space="preserve">Ongoing from month 13: quarterly product improvement, one annual transparency report, one annual public retrospective on where the business is against the plan.</w:t>
      </w:r>
    </w:p>
    <w:p>
      <w:r>
        <w:br w:type="page"/>
      </w:r>
    </w:p>
    <w:p>
      <w:pPr>
        <w:pStyle w:val="Heading1"/>
        <w:spacing w:after="180" w:before="360"/>
      </w:pPr>
      <w:r>
        <w:rPr>
          <w:rFonts w:ascii="Calibri" w:cs="Calibri" w:eastAsia="Calibri" w:hAnsi="Calibri"/>
          <w:b/>
          <w:bCs/>
          <w:color w:val="2E4057"/>
          <w:sz w:val="36"/>
          <w:szCs w:val="36"/>
        </w:rPr>
        <w:t xml:space="preserve">13.  Risks to the business</w:t>
      </w:r>
    </w:p>
    <w:p>
      <w:pPr>
        <w:spacing w:after="120" w:before="60" w:line="300"/>
      </w:pPr>
      <w:r>
        <w:rPr>
          <w:rFonts w:ascii="Calibri" w:cs="Calibri" w:eastAsia="Calibri" w:hAnsi="Calibri"/>
          <w:b w:val="false"/>
          <w:bCs w:val="false"/>
          <w:i w:val="false"/>
          <w:iCs w:val="false"/>
          <w:color w:val="1A1A1A"/>
          <w:sz w:val="22"/>
          <w:szCs w:val="22"/>
        </w:rPr>
        <w:t xml:space="preserve">Distinct from the engineering risks in the Build Brief. These are the commercial, strategic, and cultural risks that could prevent Moatly from becoming a sustainable business even if the engineering works perfectly.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300"/>
        <w:gridCol w:w="3360"/>
      </w:tblGrid>
      <w:tr>
        <w:trPr>
          <w:tblHeader/>
        </w:trPr>
        <w:tc>
          <w:tcPr>
            <w:tcW w:type="dxa" w:w="34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Risk</w:t>
            </w:r>
          </w:p>
        </w:tc>
        <w:tc>
          <w:tcPr>
            <w:tcW w:type="dxa" w:w="13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Likelihood</w:t>
            </w:r>
          </w:p>
        </w:tc>
        <w:tc>
          <w:tcPr>
            <w:tcW w:type="dxa" w:w="13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Impact</w:t>
            </w:r>
          </w:p>
        </w:tc>
        <w:tc>
          <w:tcPr>
            <w:tcW w:type="dxa" w:w="33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Mitigation</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TOLA Act — Australian authorities issue a Technical Capability Notice compelling weakened future builds or compromised updates.</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Low-Medium</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Existential</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Jurisdictional separation (section 9.4): infrastructure entity outside Australia, key personnel distributed, no single individual's compelled cooperation can compromise the system. Retain specialist AU tech-law counsel from Phase 0.</w:t>
            </w:r>
          </w:p>
        </w:tc>
      </w:tr>
      <w:tr>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Crowdfund underperforms — fails to hit AUD $400k minimum or hits it but cannot sustain backer communication through the delivery window.</w:t>
            </w:r>
          </w:p>
        </w:tc>
        <w:tc>
          <w:tcPr>
            <w:tcW w:type="dxa" w:w="13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3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High</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all-or-nothing Kickstarter model protects against sub-minimum raises. If minimum not hit, replan with a conventional AUD $700k pre-seed before continuing to Phase 2. Monthly backer updates are non-negotiable. Founder writes every update personally.</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Founding Host breach — a Founding Host violates the agreement (runs paid ads, uses referral mechanics, quotes Moat content publicly).</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Agreement is clear on consequences: first breach is grounds for revenue-share termination, second is grounds for full relationship unwind. Legal review of the Founding Host agreement before the cohort is recruited.</w:t>
            </w:r>
          </w:p>
        </w:tc>
      </w:tr>
      <w:tr>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Founding Host audience erosion — a Founding Host's own public standing collapses (personal scandal, cultural shift). Moatly's brand becomes entangled with their reputation.</w:t>
            </w:r>
          </w:p>
        </w:tc>
        <w:tc>
          <w:tcPr>
            <w:tcW w:type="dxa" w:w="13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Low-Medium</w:t>
            </w:r>
          </w:p>
        </w:tc>
        <w:tc>
          <w:tcPr>
            <w:tcW w:type="dxa" w:w="13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With a six-host cohort, concentration risk is real — each host represents roughly one-sixth of the public-face exposure. Mitigate by diversifying archetypes (thinkers + cross-cultural authentics) and by writing mutual termination rights into the agreement with a fair buyout for the remaining cap. Watch individual hosts' public trajectories in year one.</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Domestic market size — AU+NZ is not large enough to sustain the business without timely international expansion.</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High</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Year 2 UK launch is a hard commitment on the plan. If it slips, the Year 3 US launch is brought forward. Alternative: slower-growth trajectory with flatter team hiring.</w:t>
            </w:r>
          </w:p>
        </w:tc>
      </w:tr>
      <w:tr>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Word-of-mouth and gifting do not generate enough growth without paid channels.</w:t>
            </w:r>
          </w:p>
        </w:tc>
        <w:tc>
          <w:tcPr>
            <w:tcW w:type="dxa" w:w="13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3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High</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Editorial and partnership programmes are deliberate backstops. If insufficient at end of Year 2, re-evaluate whether the business is viable at its current pricing and refuse to compromise on the principles.</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Australian logistics and fulfilment costs erode the margin embedded in the pricing.</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Margin is already set conservatively at 50% Year 1 to account for this. Monitor monthly; consider price adjustment at annual review if COGS drift materially above plan.</w:t>
            </w:r>
          </w:p>
        </w:tc>
      </w:tr>
      <w:tr>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Hardware inventory risk — too much or too little stock going into peak gifting seasons, compounded by AU's distance from manufacturing.</w:t>
            </w:r>
          </w:p>
        </w:tc>
        <w:tc>
          <w:tcPr>
            <w:tcW w:type="dxa" w:w="13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3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Start with conservative stock levels; longer lead times from Shenzhen to Sydney mean earlier order commitments. Use working-capital facility rather than equity for seasonal buildup.</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Founder key-person risk — the product's editorial voice cannot easily be delegated.</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High</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High</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Early hire of a second voice partner who becomes genuinely authorial, not a ghostwriter. Document the editorial principles so voice can scale.</w:t>
            </w:r>
          </w:p>
        </w:tc>
      </w:tr>
      <w:tr>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Australian Online Safety Act — eSafety Commissioner may interpret anonymous encrypted messaging as creating a duty the product architecture cannot fulfil.</w:t>
            </w:r>
          </w:p>
        </w:tc>
        <w:tc>
          <w:tcPr>
            <w:tcW w:type="dxa" w:w="13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3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complaint and reassignment flow plus the Lamp materially strengthen our compliance posture. Legal review before launch; transparent published policy. Engage with eSafety proactively rather than reactively.</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Competitor response — a large wellness app copies the Moat concept.</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Our advantage is that they cannot copy the privacy commitments without abandoning their business model. Invest in the open-source repo as defensive positioning.</w:t>
            </w:r>
          </w:p>
        </w:tc>
      </w:tr>
      <w:tr>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Cultural timing — the ‘inner life matters’ cultural moment fades.</w:t>
            </w:r>
          </w:p>
        </w:tc>
        <w:tc>
          <w:tcPr>
            <w:tcW w:type="dxa" w:w="13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Low</w:t>
            </w:r>
          </w:p>
        </w:tc>
        <w:tc>
          <w:tcPr>
            <w:tcW w:type="dxa" w:w="13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High</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cultural moment is broader than it looks and predates us by decades (Jung, Frankl, Brené Brown, contemporary therapy culture, and the distinct Australian tradition of Hugh Mackay and his readership). Unlikely to collapse in our launch window. But a risk to watch.</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Gift season concentration — AU Q4 is a high-stakes window and summer-holiday shipping is logistically unforgiving.</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High</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AU gifting calendar is less concentrated than UK equivalents (section 8.5). Diversify deliberately across Mother's Day, Father's Day, EOFY, and spring. Build year-round self-purchase baseline.</w:t>
            </w:r>
          </w:p>
        </w:tc>
      </w:tr>
      <w:tr>
        <w:tc>
          <w:tcPr>
            <w:tcW w:type="dxa" w:w="34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Founder burnout — running a business with these constraints is emotionally demanding.</w:t>
            </w:r>
          </w:p>
        </w:tc>
        <w:tc>
          <w:tcPr>
            <w:tcW w:type="dxa" w:w="13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3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Existential</w:t>
            </w:r>
          </w:p>
        </w:tc>
        <w:tc>
          <w:tcPr>
            <w:tcW w:type="dxa" w:w="33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Build a senior team early. Take the covenant seriously for the founder as well as the user. The product's own practice is available and encouraged.</w:t>
            </w:r>
          </w:p>
        </w:tc>
      </w:tr>
      <w:tr>
        <w:tc>
          <w:tcPr>
            <w:tcW w:type="dxa" w:w="34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Inadvertent cultural borrowing — the Moat concept's resonance with First Nations yarning circles is not acknowledged or is acknowledged clumsily.</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13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Medium</w:t>
            </w:r>
          </w:p>
        </w:tc>
        <w:tc>
          <w:tcPr>
            <w:tcW w:type="dxa" w:w="33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Engage First Nations consultants before any AU marketing activity that approaches these parallels. Consultation is structured and properly resourced. See section 9.4.</w:t>
            </w:r>
          </w:p>
        </w:tc>
      </w:tr>
    </w:tbl>
    <w:p>
      <w:r>
        <w:br w:type="page"/>
      </w:r>
    </w:p>
    <w:p>
      <w:pPr>
        <w:pStyle w:val="Heading1"/>
        <w:spacing w:after="180" w:before="360"/>
      </w:pPr>
      <w:r>
        <w:rPr>
          <w:rFonts w:ascii="Calibri" w:cs="Calibri" w:eastAsia="Calibri" w:hAnsi="Calibri"/>
          <w:b/>
          <w:bCs/>
          <w:color w:val="2E4057"/>
          <w:sz w:val="36"/>
          <w:szCs w:val="36"/>
        </w:rPr>
        <w:t xml:space="preserve">14.  Roadmap</w:t>
      </w:r>
    </w:p>
    <w:p>
      <w:pPr>
        <w:spacing w:after="120" w:before="60" w:line="300"/>
      </w:pPr>
      <w:r>
        <w:rPr>
          <w:rFonts w:ascii="Calibri" w:cs="Calibri" w:eastAsia="Calibri" w:hAnsi="Calibri"/>
          <w:b w:val="false"/>
          <w:bCs w:val="false"/>
          <w:i w:val="false"/>
          <w:iCs w:val="false"/>
          <w:color w:val="1A1A1A"/>
          <w:sz w:val="22"/>
          <w:szCs w:val="22"/>
        </w:rPr>
        <w:t xml:space="preserve">Commercial milestones mapped to the engineering phases in the Build Brief. Each phase has a clear commercial gate as well as an engineering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560"/>
      </w:tblGrid>
      <w:tr>
        <w:trPr>
          <w:tblHeader/>
        </w:trPr>
        <w:tc>
          <w:tcPr>
            <w:tcW w:type="dxa" w:w="16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Phase</w:t>
            </w:r>
          </w:p>
        </w:tc>
        <w:tc>
          <w:tcPr>
            <w:tcW w:type="dxa" w:w="22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Engineering deliverable</w:t>
            </w:r>
          </w:p>
        </w:tc>
        <w:tc>
          <w:tcPr>
            <w:tcW w:type="dxa" w:w="30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Commercial deliverable</w:t>
            </w:r>
          </w:p>
        </w:tc>
        <w:tc>
          <w:tcPr>
            <w:tcW w:type="dxa" w:w="25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Gate</w:t>
            </w:r>
          </w:p>
        </w:tc>
      </w:tr>
      <w:tr>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Phase 0 (months 1–2)</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Threat model, ADRs, public repo.</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Australian Pty Ltd incorporated. NZ or EU infrastructure entity scoped with legal. Founder signed on full-time. First two hires. TOLA counsel retained.</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Engineering ADRs approved. Legal structure decision made. Bank account open. First hire started.</w:t>
            </w:r>
          </w:p>
        </w:tc>
      </w:tr>
      <w:tr>
        <w:tc>
          <w:tcPr>
            <w:tcW w:type="dxa" w:w="1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Phase 1 (months 2–5)</w:t>
            </w:r>
          </w:p>
        </w:tc>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MOATS MVP, onboarding, safety lamp, linkage service to MOATLY.</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Founding Hosts recruited and agreements signed. AU supplier relationships confirmed: journal stationer, tea partner, AU 3PL. First Nations consultation initiated.</w:t>
            </w:r>
          </w:p>
        </w:tc>
        <w:tc>
          <w:tcPr>
            <w:tcW w:type="dxa" w:w="2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Ten internal dogfooders complete two cycles. Founding Host cohort confirmed. First physical goods samples in hand.</w:t>
            </w:r>
          </w:p>
        </w:tc>
      </w:tr>
      <w:tr>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Phase 2 (months 5–8)</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Moats live, Olm/Megolm group messaging, 7-day deletion pipeline, complaint flow.</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Kickstarter campaign live months 4–6. Shopify storefront built. welcome.moatly.com live. Crowdfund backers fulfilled with physical goods and Unity MOATLY access by month 8. Editorial plan for AU/NZ locked.</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Crowdfund closes successfully (≥AUD $400k gross). 50-person closed alpha completes four cycles. First transparency report published.</w:t>
            </w:r>
          </w:p>
        </w:tc>
      </w:tr>
      <w:tr>
        <w:tc>
          <w:tcPr>
            <w:tcW w:type="dxa" w:w="1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Phase 3 (months 8–11)</w:t>
            </w:r>
          </w:p>
        </w:tc>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Device integration (Premium + Simple + Virtual tiers).</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Soft launch: 500 Full Rite packages sent free to hand-selected AU/NZ cohort. Editorial window opens.</w:t>
            </w:r>
          </w:p>
        </w:tc>
        <w:tc>
          <w:tcPr>
            <w:tcW w:type="dxa" w:w="2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100-person device cohort authenticates via device only. Editorial placement confirmed for at least two AU publications.</w:t>
            </w:r>
          </w:p>
        </w:tc>
      </w:tr>
      <w:tr>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Phase 4 (months 11–13)</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Public beta, harden, external audit.</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Public launch in AU and NZ. First summer (Q4) gifting season live.</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Audit passes. First 2,500 paid users onboarded across AU and NZ.</w:t>
            </w:r>
          </w:p>
        </w:tc>
      </w:tr>
      <w:tr>
        <w:tc>
          <w:tcPr>
            <w:tcW w:type="dxa" w:w="1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Year 2 (months 13–24)</w:t>
            </w:r>
          </w:p>
        </w:tc>
        <w:tc>
          <w:tcPr>
            <w:tcW w:type="dxa" w:w="22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Second audit, stability, UK-ready content, currency localisation.</w:t>
            </w:r>
          </w:p>
        </w:tc>
        <w:tc>
          <w:tcPr>
            <w:tcW w:type="dxa" w:w="30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AU/NZ subscriber base to 8,000. UK launch (month 18). First Author Moat event. UK editorial push.</w:t>
            </w:r>
          </w:p>
        </w:tc>
        <w:tc>
          <w:tcPr>
            <w:tcW w:type="dxa" w:w="25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End-Y2 retention median ≥18 months. Tea subscription attach rate ≥30%. UK soft-launch complete.</w:t>
            </w:r>
          </w:p>
        </w:tc>
      </w:tr>
      <w:tr>
        <w:tc>
          <w:tcPr>
            <w:tcW w:type="dxa" w:w="1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Year 3 (months 24–36)</w:t>
            </w:r>
          </w:p>
        </w:tc>
        <w:tc>
          <w:tcPr>
            <w:tcW w:type="dxa" w:w="22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Incremental improvements. Localisation groundwork for non-English markets.</w:t>
            </w:r>
          </w:p>
        </w:tc>
        <w:tc>
          <w:tcPr>
            <w:tcW w:type="dxa" w:w="30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45,000 paid users across AU, NZ, UK, US, SG. Profitable. Team at 14 FTE.</w:t>
            </w:r>
          </w:p>
        </w:tc>
        <w:tc>
          <w:tcPr>
            <w:tcW w:type="dxa" w:w="25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EBITDA positive. First annual review published.</w:t>
            </w:r>
          </w:p>
        </w:tc>
      </w:tr>
    </w:tbl>
    <w:p>
      <w:r>
        <w:br w:type="page"/>
      </w:r>
    </w:p>
    <w:p>
      <w:pPr>
        <w:pStyle w:val="Heading1"/>
        <w:spacing w:after="180" w:before="360"/>
      </w:pPr>
      <w:r>
        <w:rPr>
          <w:rFonts w:ascii="Calibri" w:cs="Calibri" w:eastAsia="Calibri" w:hAnsi="Calibri"/>
          <w:b/>
          <w:bCs/>
          <w:color w:val="2E4057"/>
          <w:sz w:val="36"/>
          <w:szCs w:val="36"/>
        </w:rPr>
        <w:t xml:space="preserve">15.  Appendices</w:t>
      </w:r>
    </w:p>
    <w:p>
      <w:pPr>
        <w:pStyle w:val="Heading2"/>
        <w:spacing w:after="140" w:before="280"/>
      </w:pPr>
      <w:r>
        <w:rPr>
          <w:rFonts w:ascii="Calibri" w:cs="Calibri" w:eastAsia="Calibri" w:hAnsi="Calibri"/>
          <w:b/>
          <w:bCs/>
          <w:color w:val="2E4057"/>
          <w:sz w:val="28"/>
          <w:szCs w:val="28"/>
        </w:rPr>
        <w:t xml:space="preserve">A.  Glossary of business terms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Term</w:t>
            </w:r>
          </w:p>
        </w:tc>
        <w:tc>
          <w:tcPr>
            <w:tcW w:type="dxa" w:w="6760"/>
            <w:tcBorders>
              <w:top w:val="single" w:color="CCCCCC" w:sz="4"/>
              <w:left w:val="single" w:color="CCCCCC" w:sz="4"/>
              <w:bottom w:val="single" w:color="CCCCCC" w:sz="4"/>
              <w:right w:val="single" w:color="CCCCCC" w:sz="4"/>
            </w:tcBorders>
            <w:shd w:fill="2E4057" w:color="auto" w:val="clear"/>
            <w:tcMar>
              <w:top w:type="dxa" w:w="120"/>
              <w:left w:type="dxa" w:w="140"/>
              <w:bottom w:type="dxa" w:w="120"/>
              <w:right w:type="dxa" w:w="140"/>
            </w:tcMar>
          </w:tcPr>
          <w:p>
            <w:pPr>
              <w:spacing w:after="0" w:before="0"/>
            </w:pPr>
            <w:r>
              <w:rPr>
                <w:rFonts w:ascii="Calibri" w:cs="Calibri" w:eastAsia="Calibri" w:hAnsi="Calibri"/>
                <w:b/>
                <w:bCs/>
                <w:color w:val="FFFFFF"/>
                <w:sz w:val="22"/>
                <w:szCs w:val="22"/>
              </w:rPr>
              <w:t xml:space="preserve">Meaning in this document</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Blended revenue per user</w:t>
            </w:r>
          </w:p>
        </w:tc>
        <w:tc>
          <w:tcPr>
            <w:tcW w:type="dxa" w:w="6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monthly revenue a retained user contributes across subscription, tea, journal, and device — averaged across all users.</w:t>
            </w:r>
          </w:p>
        </w:tc>
      </w:tr>
      <w:tr>
        <w:tc>
          <w:tcPr>
            <w:tcW w:type="dxa" w:w="2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CAC</w:t>
            </w:r>
          </w:p>
        </w:tc>
        <w:tc>
          <w:tcPr>
            <w:tcW w:type="dxa" w:w="6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Customer acquisition cost — what it costs us, all-in, to acquire one paying user.</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Concession pathway</w:t>
            </w:r>
          </w:p>
        </w:tc>
        <w:tc>
          <w:tcPr>
            <w:tcW w:type="dxa" w:w="6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self-declared, no-verification route to reduced pricing for users who cannot afford the standard tiers.</w:t>
            </w:r>
          </w:p>
        </w:tc>
      </w:tr>
      <w:tr>
        <w:tc>
          <w:tcPr>
            <w:tcW w:type="dxa" w:w="2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Contribution margin</w:t>
            </w:r>
          </w:p>
        </w:tc>
        <w:tc>
          <w:tcPr>
            <w:tcW w:type="dxa" w:w="6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Revenue per user minus variable cost per user. What each user contributes toward fixed costs and profit.</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Crowdfund</w:t>
            </w:r>
          </w:p>
        </w:tc>
        <w:tc>
          <w:tcPr>
            <w:tcW w:type="dxa" w:w="6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Kickstarter campaign in month 4–6 that replaces a conventional pre-seed equity round. Gross target AUD $400k, stretch AUD $800k, all-or-nothing. See section 11.3.</w:t>
            </w:r>
          </w:p>
        </w:tc>
      </w:tr>
      <w:tr>
        <w:tc>
          <w:tcPr>
            <w:tcW w:type="dxa" w:w="2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Cycle</w:t>
            </w:r>
          </w:p>
        </w:tc>
        <w:tc>
          <w:tcPr>
            <w:tcW w:type="dxa" w:w="6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seven-day unit of practice in MOATS. Also the natural unit of retention measurement.</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Founding Circle</w:t>
            </w:r>
          </w:p>
        </w:tc>
        <w:tc>
          <w:tcPr>
            <w:tcW w:type="dxa" w:w="6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capped 50-place crowdfund tier (AUD $1,500) for deeply early backers, including a dedicated founders' Moat in the first year and an invitation to an annual founders' gathering.</w:t>
            </w:r>
          </w:p>
        </w:tc>
      </w:tr>
      <w:tr>
        <w:tc>
          <w:tcPr>
            <w:tcW w:type="dxa" w:w="2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Founding Host</w:t>
            </w:r>
          </w:p>
        </w:tc>
        <w:tc>
          <w:tcPr>
            <w:tcW w:type="dxa" w:w="6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One of six host couples who perform the MOATLY ritual and are paid in revenue share rather than flat fees (approximately 0.7% of gross subscription revenue each, combined 4%). Bounded by an agreement that forbids paid advertising and referral mechanics. See section 12.3.</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Gift bridge service</w:t>
            </w:r>
          </w:p>
        </w:tc>
        <w:tc>
          <w:tcPr>
            <w:tcW w:type="dxa" w:w="6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thin custom service that translates a Shopify order or a Kickstarter pledge into a gift code and an account entitlement.</w:t>
            </w:r>
          </w:p>
        </w:tc>
      </w:tr>
      <w:tr>
        <w:tc>
          <w:tcPr>
            <w:tcW w:type="dxa" w:w="2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Gift pledge</w:t>
            </w:r>
          </w:p>
        </w:tc>
        <w:tc>
          <w:tcPr>
            <w:tcW w:type="dxa" w:w="6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single crowdfund backer pledging for multiple recipient units. Each unit generates its own gift code during post-campaign pledge confirmation.</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LTV</w:t>
            </w:r>
          </w:p>
        </w:tc>
        <w:tc>
          <w:tcPr>
            <w:tcW w:type="dxa" w:w="6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Lifetime value — expected total contribution margin from an average acquired user, across their lifetime with the product.</w:t>
            </w:r>
          </w:p>
        </w:tc>
      </w:tr>
      <w:tr>
        <w:tc>
          <w:tcPr>
            <w:tcW w:type="dxa" w:w="2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MOATLY</w:t>
            </w:r>
          </w:p>
        </w:tc>
        <w:tc>
          <w:tcPr>
            <w:tcW w:type="dxa" w:w="6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Unity ritual app. Complete. Shipping.</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MOATS</w:t>
            </w:r>
          </w:p>
        </w:tc>
        <w:tc>
          <w:tcPr>
            <w:tcW w:type="dxa" w:w="6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encrypted witnessing practice app. Being built, per the Developer Build Brief.</w:t>
            </w:r>
          </w:p>
        </w:tc>
      </w:tr>
      <w:tr>
        <w:tc>
          <w:tcPr>
            <w:tcW w:type="dxa" w:w="2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Patron</w:t>
            </w:r>
          </w:p>
        </w:tc>
        <w:tc>
          <w:tcPr>
            <w:tcW w:type="dxa" w:w="6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A capped 10-place crowdfund tier (AUD $7,500) for backers funding the launch at meaningful scale. Includes a named dedication in the first Declaration of Inner Rights printed edition.</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Ring 1 / Ring 2 / Ring 3</w:t>
            </w:r>
          </w:p>
        </w:tc>
        <w:tc>
          <w:tcPr>
            <w:tcW w:type="dxa" w:w="6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three concentric audiences described in section 2.3.</w:t>
            </w:r>
          </w:p>
        </w:tc>
      </w:tr>
      <w:tr>
        <w:tc>
          <w:tcPr>
            <w:tcW w:type="dxa" w:w="260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Tier</w:t>
            </w:r>
          </w:p>
        </w:tc>
        <w:tc>
          <w:tcPr>
            <w:tcW w:type="dxa" w:w="6760"/>
            <w:tcBorders>
              <w:top w:val="single" w:color="CCCCCC" w:sz="4"/>
              <w:left w:val="single" w:color="CCCCCC" w:sz="4"/>
              <w:bottom w:val="single" w:color="CCCCCC" w:sz="4"/>
              <w:right w:val="single" w:color="CCCCCC" w:sz="4"/>
            </w:tcBorders>
            <w:shd w:fill="F4F6F8"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One of the three packaging options: Threshold, Practice, Full Rite. Also used for Device tier (Premium, Simple, Virtual) and crowdfund pledge tier.</w:t>
            </w:r>
          </w:p>
        </w:tc>
      </w:tr>
      <w:tr>
        <w:tc>
          <w:tcPr>
            <w:tcW w:type="dxa" w:w="260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Witness (crowdfund tier)</w:t>
            </w:r>
          </w:p>
        </w:tc>
        <w:tc>
          <w:tcPr>
            <w:tcW w:type="dxa" w:w="6760"/>
            <w:tcBorders>
              <w:top w:val="single" w:color="CCCCCC" w:sz="4"/>
              <w:left w:val="single" w:color="CCCCCC" w:sz="4"/>
              <w:bottom w:val="single" w:color="CCCCCC" w:sz="4"/>
              <w:right w:val="single" w:color="CCCCCC" w:sz="4"/>
            </w:tcBorders>
            <w:shd w:fill="FFFFFF" w:color="auto" w:val="clear"/>
            <w:tcMar>
              <w:top w:type="dxa" w:w="100"/>
              <w:left w:type="dxa" w:w="140"/>
              <w:bottom w:type="dxa" w:w="100"/>
              <w:right w:type="dxa" w:w="140"/>
            </w:tcMar>
          </w:tcPr>
          <w:p>
            <w:pPr>
              <w:spacing w:after="40" w:before="0" w:line="260"/>
            </w:pPr>
            <w:r>
              <w:rPr>
                <w:rFonts w:ascii="Calibri" w:cs="Calibri" w:eastAsia="Calibri" w:hAnsi="Calibri"/>
                <w:color w:val="1A1A1A"/>
                <w:sz w:val="20"/>
                <w:szCs w:val="20"/>
              </w:rPr>
              <w:t xml:space="preserve">The lowest crowdfund tier (AUD $49) — digital subscription only, no physical goods. Not to be confused with ‘witness’ in the MOATS practice sense.</w:t>
            </w:r>
          </w:p>
        </w:tc>
      </w:tr>
    </w:tbl>
    <w:p>
      <w:pPr>
        <w:pStyle w:val="Heading2"/>
        <w:spacing w:after="140" w:before="280"/>
      </w:pPr>
      <w:r>
        <w:rPr>
          <w:rFonts w:ascii="Calibri" w:cs="Calibri" w:eastAsia="Calibri" w:hAnsi="Calibri"/>
          <w:b/>
          <w:bCs/>
          <w:color w:val="2E4057"/>
          <w:sz w:val="28"/>
          <w:szCs w:val="28"/>
        </w:rPr>
        <w:t xml:space="preserve">B.  Key assumptions underlying this plan</w:t>
      </w:r>
    </w:p>
    <w:p>
      <w:pPr>
        <w:pStyle w:val="ListParagraph"/>
        <w:numPr>
          <w:ilvl w:val="0"/>
          <w:numId w:val="3"/>
        </w:numPr>
        <w:spacing w:after="60" w:before="30" w:line="280"/>
      </w:pPr>
      <w:r>
        <w:rPr>
          <w:rFonts w:ascii="Calibri" w:cs="Calibri" w:eastAsia="Calibri" w:hAnsi="Calibri"/>
          <w:color w:val="1A1A1A"/>
          <w:sz w:val="22"/>
          <w:szCs w:val="22"/>
        </w:rPr>
        <w:t xml:space="preserve">Average retention of 26 months at Year 3 maturity. This is the single most sensitive assumption; see section 10.5.</w:t>
      </w:r>
    </w:p>
    <w:p>
      <w:pPr>
        <w:pStyle w:val="ListParagraph"/>
        <w:numPr>
          <w:ilvl w:val="0"/>
          <w:numId w:val="3"/>
        </w:numPr>
        <w:spacing w:after="60" w:before="30" w:line="280"/>
      </w:pPr>
      <w:r>
        <w:rPr>
          <w:rFonts w:ascii="Calibri" w:cs="Calibri" w:eastAsia="Calibri" w:hAnsi="Calibri"/>
          <w:color w:val="1A1A1A"/>
          <w:sz w:val="22"/>
          <w:szCs w:val="22"/>
        </w:rPr>
        <w:t xml:space="preserve">Gift purchases comprise 70% of new-user acquisition at Year 3. Lower at Year 1 (40–50%, reliant on soft-launch cohort and early AU word-of-mouth) as the gifting infrastructure matures.</w:t>
      </w:r>
    </w:p>
    <w:p>
      <w:pPr>
        <w:pStyle w:val="ListParagraph"/>
        <w:numPr>
          <w:ilvl w:val="0"/>
          <w:numId w:val="3"/>
        </w:numPr>
        <w:spacing w:after="60" w:before="30" w:line="280"/>
      </w:pPr>
      <w:r>
        <w:rPr>
          <w:rFonts w:ascii="Calibri" w:cs="Calibri" w:eastAsia="Calibri" w:hAnsi="Calibri"/>
          <w:color w:val="1A1A1A"/>
          <w:sz w:val="22"/>
          <w:szCs w:val="22"/>
        </w:rPr>
        <w:t xml:space="preserve">Tea subscription attach rate of 35% of active users. Derived from analogous consumer subscription products at comparable price points in the AU market.</w:t>
      </w:r>
    </w:p>
    <w:p>
      <w:pPr>
        <w:pStyle w:val="ListParagraph"/>
        <w:numPr>
          <w:ilvl w:val="0"/>
          <w:numId w:val="3"/>
        </w:numPr>
        <w:spacing w:after="60" w:before="30" w:line="280"/>
      </w:pPr>
      <w:r>
        <w:rPr>
          <w:rFonts w:ascii="Calibri" w:cs="Calibri" w:eastAsia="Calibri" w:hAnsi="Calibri"/>
          <w:color w:val="1A1A1A"/>
          <w:sz w:val="22"/>
          <w:szCs w:val="22"/>
        </w:rPr>
        <w:t xml:space="preserve">Editorial window will produce at least two long-form features in Australian publications within six months of soft launch. If it does not, commercial plan slips by six to nine months.</w:t>
      </w:r>
    </w:p>
    <w:p>
      <w:pPr>
        <w:pStyle w:val="ListParagraph"/>
        <w:numPr>
          <w:ilvl w:val="0"/>
          <w:numId w:val="3"/>
        </w:numPr>
        <w:spacing w:after="60" w:before="30" w:line="280"/>
      </w:pPr>
      <w:r>
        <w:rPr>
          <w:rFonts w:ascii="Calibri" w:cs="Calibri" w:eastAsia="Calibri" w:hAnsi="Calibri"/>
          <w:color w:val="1A1A1A"/>
          <w:sz w:val="22"/>
          <w:szCs w:val="22"/>
        </w:rPr>
        <w:t xml:space="preserve">No paid digital advertising. Ever. This assumption is a principle, not a variable to be relaxed.</w:t>
      </w:r>
    </w:p>
    <w:p>
      <w:pPr>
        <w:pStyle w:val="ListParagraph"/>
        <w:numPr>
          <w:ilvl w:val="0"/>
          <w:numId w:val="3"/>
        </w:numPr>
        <w:spacing w:after="60" w:before="30" w:line="280"/>
      </w:pPr>
      <w:r>
        <w:rPr>
          <w:rFonts w:ascii="Calibri" w:cs="Calibri" w:eastAsia="Calibri" w:hAnsi="Calibri"/>
          <w:color w:val="1A1A1A"/>
          <w:sz w:val="22"/>
          <w:szCs w:val="22"/>
        </w:rPr>
        <w:t xml:space="preserve">AU + NZ launch at month 13. UK launch at month 18. US and Singapore at months 25–30. Non-English European markets in Year 4.</w:t>
      </w:r>
    </w:p>
    <w:p>
      <w:pPr>
        <w:pStyle w:val="ListParagraph"/>
        <w:numPr>
          <w:ilvl w:val="0"/>
          <w:numId w:val="3"/>
        </w:numPr>
        <w:spacing w:after="60" w:before="30" w:line="280"/>
      </w:pPr>
      <w:r>
        <w:rPr>
          <w:rFonts w:ascii="Calibri" w:cs="Calibri" w:eastAsia="Calibri" w:hAnsi="Calibri"/>
          <w:color w:val="1A1A1A"/>
          <w:sz w:val="22"/>
          <w:szCs w:val="22"/>
        </w:rPr>
        <w:t xml:space="preserve">Fulfilment via an AU-based 3PL plus NZ partner in Year 1; UK 3PL added at UK launch.</w:t>
      </w:r>
    </w:p>
    <w:p>
      <w:pPr>
        <w:pStyle w:val="ListParagraph"/>
        <w:numPr>
          <w:ilvl w:val="0"/>
          <w:numId w:val="3"/>
        </w:numPr>
        <w:spacing w:after="60" w:before="30" w:line="280"/>
      </w:pPr>
      <w:r>
        <w:rPr>
          <w:rFonts w:ascii="Calibri" w:cs="Calibri" w:eastAsia="Calibri" w:hAnsi="Calibri"/>
          <w:color w:val="1A1A1A"/>
          <w:sz w:val="22"/>
          <w:szCs w:val="22"/>
        </w:rPr>
        <w:t xml:space="preserve">Jurisdictional structure — commercial Pty Ltd in Australia, infrastructure entity in New Zealand or Ireland. Final shape subject to legal advice before Phase 0 closes.</w:t>
      </w:r>
    </w:p>
    <w:p>
      <w:pPr>
        <w:pStyle w:val="ListParagraph"/>
        <w:numPr>
          <w:ilvl w:val="0"/>
          <w:numId w:val="3"/>
        </w:numPr>
        <w:spacing w:after="60" w:before="30" w:line="280"/>
      </w:pPr>
      <w:r>
        <w:rPr>
          <w:rFonts w:ascii="Calibri" w:cs="Calibri" w:eastAsia="Calibri" w:hAnsi="Calibri"/>
          <w:color w:val="1A1A1A"/>
          <w:sz w:val="22"/>
          <w:szCs w:val="22"/>
        </w:rPr>
        <w:t xml:space="preserve">Crowdfunding raise of AUD $400k gross (stretch AUD $800k) in month 4–6 as the pre-seed substitute. Seed round of AUD $2.0M in month 10–12.</w:t>
      </w:r>
    </w:p>
    <w:p>
      <w:pPr>
        <w:pStyle w:val="ListParagraph"/>
        <w:numPr>
          <w:ilvl w:val="0"/>
          <w:numId w:val="3"/>
        </w:numPr>
        <w:spacing w:after="60" w:before="30" w:line="280"/>
      </w:pPr>
      <w:r>
        <w:rPr>
          <w:rFonts w:ascii="Calibri" w:cs="Calibri" w:eastAsia="Calibri" w:hAnsi="Calibri"/>
          <w:color w:val="1A1A1A"/>
          <w:sz w:val="22"/>
          <w:szCs w:val="22"/>
        </w:rPr>
        <w:t xml:space="preserve">Founding Host cohort of 6 host couples at launch, paid a combined 4% of gross subscription revenue (approximately 0.7% each, cap AUD $500k per host over 7 years).</w:t>
      </w:r>
    </w:p>
    <w:p>
      <w:pPr>
        <w:pStyle w:val="Heading2"/>
        <w:spacing w:after="140" w:before="280"/>
      </w:pPr>
      <w:r>
        <w:rPr>
          <w:rFonts w:ascii="Calibri" w:cs="Calibri" w:eastAsia="Calibri" w:hAnsi="Calibri"/>
          <w:b/>
          <w:bCs/>
          <w:color w:val="2E4057"/>
          <w:sz w:val="28"/>
          <w:szCs w:val="28"/>
        </w:rPr>
        <w:t xml:space="preserve">C.  Open questions for the founder</w:t>
      </w:r>
    </w:p>
    <w:p>
      <w:pPr>
        <w:pStyle w:val="ListParagraph"/>
        <w:numPr>
          <w:ilvl w:val="0"/>
          <w:numId w:val="3"/>
        </w:numPr>
        <w:spacing w:after="60" w:before="30" w:line="280"/>
      </w:pPr>
      <w:r>
        <w:rPr>
          <w:rFonts w:ascii="Calibri" w:cs="Calibri" w:eastAsia="Calibri" w:hAnsi="Calibri"/>
          <w:color w:val="1A1A1A"/>
          <w:sz w:val="22"/>
          <w:szCs w:val="22"/>
        </w:rPr>
        <w:t xml:space="preserve">Pricing — are the AUD $89 / $199 / $499 tiers right for your market? Test with the crowdfund response before final commitment. UK and US equivalents will need adjustment when those markets open.</w:t>
      </w:r>
    </w:p>
    <w:p>
      <w:pPr>
        <w:pStyle w:val="ListParagraph"/>
        <w:numPr>
          <w:ilvl w:val="0"/>
          <w:numId w:val="3"/>
        </w:numPr>
        <w:spacing w:after="60" w:before="30" w:line="280"/>
      </w:pPr>
      <w:r>
        <w:rPr>
          <w:rFonts w:ascii="Calibri" w:cs="Calibri" w:eastAsia="Calibri" w:hAnsi="Calibri"/>
          <w:color w:val="1A1A1A"/>
          <w:sz w:val="22"/>
          <w:szCs w:val="22"/>
        </w:rPr>
        <w:t xml:space="preserve">Crowdfund timing — does month 4 give enough runway for a confident campaign video featuring the Unity MOATLY app and early MOATS concept? Or should the campaign slip to month 6 to show more?</w:t>
      </w:r>
    </w:p>
    <w:p>
      <w:pPr>
        <w:pStyle w:val="ListParagraph"/>
        <w:numPr>
          <w:ilvl w:val="0"/>
          <w:numId w:val="3"/>
        </w:numPr>
        <w:spacing w:after="60" w:before="30" w:line="280"/>
      </w:pPr>
      <w:r>
        <w:rPr>
          <w:rFonts w:ascii="Calibri" w:cs="Calibri" w:eastAsia="Calibri" w:hAnsi="Calibri"/>
          <w:color w:val="1A1A1A"/>
          <w:sz w:val="22"/>
          <w:szCs w:val="22"/>
        </w:rPr>
        <w:t xml:space="preserve">Founding Host cohort composition — six places have been decided on. Which six? The archetypes are described in section 12.3 (two or three culturally-positioned thinkers plus three or four cross-cultural authentic couples); the actual names are the founder's call. Early conversations needed before recruitment opens.</w:t>
      </w:r>
    </w:p>
    <w:p>
      <w:pPr>
        <w:pStyle w:val="ListParagraph"/>
        <w:numPr>
          <w:ilvl w:val="0"/>
          <w:numId w:val="3"/>
        </w:numPr>
        <w:spacing w:after="60" w:before="30" w:line="280"/>
      </w:pPr>
      <w:r>
        <w:rPr>
          <w:rFonts w:ascii="Calibri" w:cs="Calibri" w:eastAsia="Calibri" w:hAnsi="Calibri"/>
          <w:color w:val="1A1A1A"/>
          <w:sz w:val="22"/>
          <w:szCs w:val="22"/>
        </w:rPr>
        <w:t xml:space="preserve">Founding Host revenue share terms — is 0.7% per host / AUD $500k cap / 7 years right? Legal and tax review needed before first agreement is drafted.</w:t>
      </w:r>
    </w:p>
    <w:p>
      <w:pPr>
        <w:pStyle w:val="ListParagraph"/>
        <w:numPr>
          <w:ilvl w:val="0"/>
          <w:numId w:val="3"/>
        </w:numPr>
        <w:spacing w:after="60" w:before="30" w:line="280"/>
      </w:pPr>
      <w:r>
        <w:rPr>
          <w:rFonts w:ascii="Calibri" w:cs="Calibri" w:eastAsia="Calibri" w:hAnsi="Calibri"/>
          <w:color w:val="1A1A1A"/>
          <w:sz w:val="22"/>
          <w:szCs w:val="22"/>
        </w:rPr>
        <w:t xml:space="preserve">Tea partner — who makes the tea? An Australian artisan partnership is strongly preferable to a white-label. Candidates worth early conversation: specialist ceremonial tea houses in Melbourne and the Blue Mountains.</w:t>
      </w:r>
    </w:p>
    <w:p>
      <w:pPr>
        <w:pStyle w:val="ListParagraph"/>
        <w:numPr>
          <w:ilvl w:val="0"/>
          <w:numId w:val="3"/>
        </w:numPr>
        <w:spacing w:after="60" w:before="30" w:line="280"/>
      </w:pPr>
      <w:r>
        <w:rPr>
          <w:rFonts w:ascii="Calibri" w:cs="Calibri" w:eastAsia="Calibri" w:hAnsi="Calibri"/>
          <w:color w:val="1A1A1A"/>
          <w:sz w:val="22"/>
          <w:szCs w:val="22"/>
        </w:rPr>
        <w:t xml:space="preserve">Journal partner — Milligram have a strong AU presence for the standard tier; a specialist bookbinder (there are several in Tasmania and Victoria) for the Full Rite leather-bound. Who?</w:t>
      </w:r>
    </w:p>
    <w:p>
      <w:pPr>
        <w:pStyle w:val="ListParagraph"/>
        <w:numPr>
          <w:ilvl w:val="0"/>
          <w:numId w:val="3"/>
        </w:numPr>
        <w:spacing w:after="60" w:before="30" w:line="280"/>
      </w:pPr>
      <w:r>
        <w:rPr>
          <w:rFonts w:ascii="Calibri" w:cs="Calibri" w:eastAsia="Calibri" w:hAnsi="Calibri"/>
          <w:color w:val="1A1A1A"/>
          <w:sz w:val="22"/>
          <w:szCs w:val="22"/>
        </w:rPr>
        <w:t xml:space="preserve">Device manufacturer — separate question from the build brief; this is about industrial design partnership. Australian industrial design talent exists; manufacturing likely still Shenzhen. Who designs, who makes?</w:t>
      </w:r>
    </w:p>
    <w:p>
      <w:pPr>
        <w:pStyle w:val="ListParagraph"/>
        <w:numPr>
          <w:ilvl w:val="0"/>
          <w:numId w:val="3"/>
        </w:numPr>
        <w:spacing w:after="60" w:before="30" w:line="280"/>
      </w:pPr>
      <w:r>
        <w:rPr>
          <w:rFonts w:ascii="Calibri" w:cs="Calibri" w:eastAsia="Calibri" w:hAnsi="Calibri"/>
          <w:color w:val="1A1A1A"/>
          <w:sz w:val="22"/>
          <w:szCs w:val="22"/>
        </w:rPr>
        <w:t xml:space="preserve">Co-founder / second voice — who is the editorial partner who will scale the product's voice beyond the founder? This hire matters more than any engineering role.</w:t>
      </w:r>
    </w:p>
    <w:p>
      <w:pPr>
        <w:pStyle w:val="ListParagraph"/>
        <w:numPr>
          <w:ilvl w:val="0"/>
          <w:numId w:val="3"/>
        </w:numPr>
        <w:spacing w:after="60" w:before="30" w:line="280"/>
      </w:pPr>
      <w:r>
        <w:rPr>
          <w:rFonts w:ascii="Calibri" w:cs="Calibri" w:eastAsia="Calibri" w:hAnsi="Calibri"/>
          <w:color w:val="1A1A1A"/>
          <w:sz w:val="22"/>
          <w:szCs w:val="22"/>
        </w:rPr>
        <w:t xml:space="preserve">Seed round timing — raise during the crowdfund (warm intros from backer energy), after the crowdfund closes (proof of demand), or after first alpha completes (proof of product)? Different investor conversations flow from each timing.</w:t>
      </w:r>
    </w:p>
    <w:p>
      <w:pPr>
        <w:pStyle w:val="ListParagraph"/>
        <w:numPr>
          <w:ilvl w:val="0"/>
          <w:numId w:val="3"/>
        </w:numPr>
        <w:spacing w:after="60" w:before="30" w:line="280"/>
      </w:pPr>
      <w:r>
        <w:rPr>
          <w:rFonts w:ascii="Calibri" w:cs="Calibri" w:eastAsia="Calibri" w:hAnsi="Calibri"/>
          <w:color w:val="1A1A1A"/>
          <w:sz w:val="22"/>
          <w:szCs w:val="22"/>
        </w:rPr>
        <w:t xml:space="preserve">Legal and jurisdictional structure — AU Pty Ltd for commercial, NZ or Irish subsidiary for infrastructure? Final shape requires a tech-savvy corporate lawyer with experience in both TOLA-exposed consumer products and international tax structuring.</w:t>
      </w:r>
    </w:p>
    <w:p>
      <w:pPr>
        <w:pStyle w:val="ListParagraph"/>
        <w:numPr>
          <w:ilvl w:val="0"/>
          <w:numId w:val="3"/>
        </w:numPr>
        <w:spacing w:after="60" w:before="30" w:line="280"/>
      </w:pPr>
      <w:r>
        <w:rPr>
          <w:rFonts w:ascii="Calibri" w:cs="Calibri" w:eastAsia="Calibri" w:hAnsi="Calibri"/>
          <w:color w:val="1A1A1A"/>
          <w:sz w:val="22"/>
          <w:szCs w:val="22"/>
        </w:rPr>
        <w:t xml:space="preserve">First Nations consultation — who, when, and what is the brief? This is not a marketing question. It is a cultural integrity question that must be resolved before any Australian marketing activity that touches yarning-circle or council-sitting parallels.</w:t>
      </w:r>
    </w:p>
    <w:p>
      <w:pPr>
        <w:pStyle w:val="ListParagraph"/>
        <w:numPr>
          <w:ilvl w:val="0"/>
          <w:numId w:val="3"/>
        </w:numPr>
        <w:spacing w:after="60" w:before="30" w:line="280"/>
      </w:pPr>
      <w:r>
        <w:rPr>
          <w:rFonts w:ascii="Calibri" w:cs="Calibri" w:eastAsia="Calibri" w:hAnsi="Calibri"/>
          <w:color w:val="1A1A1A"/>
          <w:sz w:val="22"/>
          <w:szCs w:val="22"/>
        </w:rPr>
        <w:t xml:space="preserve">Editorial voice beyond the covenant — founder authors a weekly public reflection? Quarterly? Annually? The product's cultural presence in AU depends on something like this.</w:t>
      </w:r>
    </w:p>
    <w:p>
      <w:pPr>
        <w:pStyle w:val="ListParagraph"/>
        <w:numPr>
          <w:ilvl w:val="0"/>
          <w:numId w:val="3"/>
        </w:numPr>
        <w:spacing w:after="60" w:before="30" w:line="280"/>
      </w:pPr>
      <w:r>
        <w:rPr>
          <w:rFonts w:ascii="Calibri" w:cs="Calibri" w:eastAsia="Calibri" w:hAnsi="Calibri"/>
          <w:color w:val="1A1A1A"/>
          <w:sz w:val="22"/>
          <w:szCs w:val="22"/>
        </w:rPr>
        <w:t xml:space="preserve">Author Moat cadence — how frequent? Who first? Distinct from the Founding Host cohort? Named Australian candidates help to make this concrete.</w:t>
      </w:r>
    </w:p>
    <w:p>
      <w:pPr>
        <w:pStyle w:val="Heading2"/>
        <w:spacing w:after="140" w:before="280"/>
      </w:pPr>
      <w:r>
        <w:rPr>
          <w:rFonts w:ascii="Calibri" w:cs="Calibri" w:eastAsia="Calibri" w:hAnsi="Calibri"/>
          <w:b/>
          <w:bCs/>
          <w:color w:val="2E4057"/>
          <w:sz w:val="28"/>
          <w:szCs w:val="28"/>
        </w:rPr>
        <w:t xml:space="preserve">D.  Closing note</w:t>
      </w:r>
    </w:p>
    <w:p>
      <w:pPr>
        <w:spacing w:after="120" w:before="60" w:line="300"/>
      </w:pPr>
      <w:r>
        <w:rPr>
          <w:rFonts w:ascii="Calibri" w:cs="Calibri" w:eastAsia="Calibri" w:hAnsi="Calibri"/>
          <w:b w:val="false"/>
          <w:bCs w:val="false"/>
          <w:i w:val="false"/>
          <w:iCs w:val="false"/>
          <w:color w:val="1A1A1A"/>
          <w:sz w:val="22"/>
          <w:szCs w:val="22"/>
        </w:rPr>
        <w:t xml:space="preserve">Moatly is an attempt to build a business whose commercial interests and stated principles do not diverge. This is rarer than it should be and harder than it looks. The plan above is deliberately conservative because a business built on the refusal of growth-hacking tactics has to grow slowly on its merits.</w:t>
      </w:r>
    </w:p>
    <w:p>
      <w:pPr>
        <w:spacing w:after="120" w:before="60" w:line="300"/>
      </w:pPr>
      <w:r>
        <w:rPr>
          <w:rFonts w:ascii="Calibri" w:cs="Calibri" w:eastAsia="Calibri" w:hAnsi="Calibri"/>
          <w:b w:val="false"/>
          <w:bCs w:val="false"/>
          <w:i w:val="false"/>
          <w:iCs w:val="false"/>
          <w:color w:val="1A1A1A"/>
          <w:sz w:val="22"/>
          <w:szCs w:val="22"/>
        </w:rPr>
        <w:t xml:space="preserve">The numbers will be wrong in the specifics. The direction is the thing to hold onto. Two apps that work together. A gift-led acquisition model. A concession pathway that is real. A refusal to surveil, rank, monetise attention, or do any of the things the rest of the industry takes as table stakes. A product that, used honestly over years, produces a kind of change that matters.</w:t>
      </w:r>
    </w:p>
    <w:p>
      <w:pPr>
        <w:spacing w:after="120" w:before="60" w:line="300"/>
      </w:pPr>
      <w:r>
        <w:rPr>
          <w:rFonts w:ascii="Calibri" w:cs="Calibri" w:eastAsia="Calibri" w:hAnsi="Calibri"/>
          <w:b w:val="false"/>
          <w:bCs w:val="false"/>
          <w:i w:val="false"/>
          <w:iCs w:val="false"/>
          <w:color w:val="1A1A1A"/>
          <w:sz w:val="22"/>
          <w:szCs w:val="22"/>
        </w:rPr>
        <w:t xml:space="preserve">If it works at all, it will work for a long time.</w:t>
      </w:r>
    </w:p>
    <w:p>
      <w:pPr>
        <w:spacing w:after="240" w:before="240"/>
      </w:pPr>
      <w:r>
        <w:t xml:space="preserve"/>
      </w:r>
    </w:p>
    <w:p>
      <w:pPr>
        <w:spacing w:after="120" w:before="240"/>
        <w:jc w:val="center"/>
      </w:pPr>
      <w:r>
        <w:rPr>
          <w:rFonts w:ascii="Calibri" w:cs="Calibri" w:eastAsia="Calibri" w:hAnsi="Calibri"/>
          <w:i/>
          <w:iCs/>
          <w:color w:val="4A4A4A"/>
          <w:sz w:val="22"/>
          <w:szCs w:val="22"/>
        </w:rPr>
        <w:t xml:space="preserve">— End of Business Plan —</w:t>
      </w:r>
    </w:p>
    <w:p>
      <w:pPr>
        <w:spacing w:after="0" w:before="80"/>
        <w:jc w:val="center"/>
      </w:pPr>
      <w:r>
        <w:rPr>
          <w:rFonts w:ascii="Calibri" w:cs="Calibri" w:eastAsia="Calibri" w:hAnsi="Calibri"/>
          <w:color w:val="4A4A4A"/>
          <w:sz w:val="20"/>
          <w:szCs w:val="20"/>
        </w:rPr>
        <w:t xml:space="preserve">Moatly  ·  Australian edition  ·  April 2026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405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4057"/>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A1A1A"/>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Moatly &amp; Moats — Business Plan and System of Change (Australian edition)</dc:title>
  <dc:creator>Moatly</dc:creator>
  <dc:description>The business plan, theory of change, and financial model for the Moatly product system.</dc:description>
  <cp:lastModifiedBy>Un-named</cp:lastModifiedBy>
  <cp:revision>1</cp:revision>
  <dcterms:created xsi:type="dcterms:W3CDTF">2026-04-20T05:12:30.030Z</dcterms:created>
  <dcterms:modified xsi:type="dcterms:W3CDTF">2026-04-20T05:12:30.031Z</dcterms:modified>
</cp:coreProperties>
</file>

<file path=docProps/custom.xml><?xml version="1.0" encoding="utf-8"?>
<Properties xmlns="http://schemas.openxmlformats.org/officeDocument/2006/custom-properties" xmlns:vt="http://schemas.openxmlformats.org/officeDocument/2006/docPropsVTypes"/>
</file>