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FBCED" w14:textId="77777777" w:rsidR="00854980" w:rsidRPr="00DF2746" w:rsidRDefault="00854980">
      <w:pPr>
        <w:rPr>
          <w:rFonts w:ascii="Calibri" w:hAnsi="Calibri" w:cs="Calibri"/>
          <w:sz w:val="24"/>
          <w:szCs w:val="24"/>
        </w:rPr>
      </w:pPr>
      <w:r w:rsidRPr="00DF2746">
        <w:rPr>
          <w:rFonts w:ascii="Calibri" w:hAnsi="Calibri" w:cs="Calibri"/>
          <w:sz w:val="24"/>
          <w:szCs w:val="24"/>
        </w:rPr>
        <w:t>Dear Colleagues,</w:t>
      </w:r>
    </w:p>
    <w:p w14:paraId="067298F1" w14:textId="0863A5F0" w:rsidR="00DF2746" w:rsidRPr="00DF2746" w:rsidRDefault="00854980" w:rsidP="00854980">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sidRPr="00DF2746">
        <w:rPr>
          <w:rFonts w:ascii="Calibri" w:hAnsi="Calibri" w:cs="Calibri"/>
          <w:sz w:val="24"/>
          <w:szCs w:val="24"/>
        </w:rPr>
        <w:t>We are excited to bring you a</w:t>
      </w:r>
      <w:r w:rsidR="00F05E92">
        <w:rPr>
          <w:rFonts w:ascii="Calibri" w:hAnsi="Calibri" w:cs="Calibri"/>
          <w:sz w:val="24"/>
          <w:szCs w:val="24"/>
        </w:rPr>
        <w:t>n October</w:t>
      </w:r>
      <w:r w:rsidR="00017603">
        <w:rPr>
          <w:rFonts w:ascii="Calibri" w:hAnsi="Calibri" w:cs="Calibri"/>
          <w:sz w:val="24"/>
          <w:szCs w:val="24"/>
        </w:rPr>
        <w:t xml:space="preserve"> </w:t>
      </w:r>
      <w:r w:rsidRPr="00DF2746">
        <w:rPr>
          <w:rFonts w:ascii="Calibri" w:hAnsi="Calibri" w:cs="Calibri"/>
          <w:sz w:val="24"/>
          <w:szCs w:val="24"/>
        </w:rPr>
        <w:t xml:space="preserve">edition of Psychiatric Practice Updates! </w:t>
      </w:r>
      <w:r w:rsidRPr="00DF2746">
        <w:rPr>
          <w:rFonts w:ascii="Calibri" w:eastAsia="Times New Roman" w:hAnsi="Calibri" w:cs="Calibri"/>
          <w:color w:val="000000"/>
          <w:sz w:val="24"/>
          <w:szCs w:val="24"/>
          <w:bdr w:val="none" w:sz="0" w:space="0" w:color="auto" w:frame="1"/>
        </w:rPr>
        <w:t>We conduc</w:t>
      </w:r>
      <w:r w:rsidR="008017D8">
        <w:rPr>
          <w:rFonts w:ascii="Calibri" w:eastAsia="Times New Roman" w:hAnsi="Calibri" w:cs="Calibri"/>
          <w:color w:val="000000"/>
          <w:sz w:val="24"/>
          <w:szCs w:val="24"/>
          <w:bdr w:val="none" w:sz="0" w:space="0" w:color="auto" w:frame="1"/>
        </w:rPr>
        <w:t xml:space="preserve">t </w:t>
      </w:r>
      <w:r w:rsidRPr="00DF2746">
        <w:rPr>
          <w:rFonts w:ascii="Calibri" w:eastAsia="Times New Roman" w:hAnsi="Calibri" w:cs="Calibri"/>
          <w:color w:val="000000"/>
          <w:sz w:val="24"/>
          <w:szCs w:val="24"/>
          <w:bdr w:val="none" w:sz="0" w:space="0" w:color="auto" w:frame="1"/>
        </w:rPr>
        <w:t xml:space="preserve">reviews of over 20 peer-reviewed journals </w:t>
      </w:r>
      <w:r w:rsidR="00DF2746" w:rsidRPr="00DF2746">
        <w:rPr>
          <w:rFonts w:ascii="Calibri" w:eastAsia="Times New Roman" w:hAnsi="Calibri" w:cs="Calibri"/>
          <w:color w:val="000000"/>
          <w:sz w:val="24"/>
          <w:szCs w:val="24"/>
          <w:bdr w:val="none" w:sz="0" w:space="0" w:color="auto" w:frame="1"/>
        </w:rPr>
        <w:t>each month with the goal of selecting</w:t>
      </w:r>
      <w:r w:rsidRPr="00DF2746">
        <w:rPr>
          <w:rFonts w:ascii="Calibri" w:eastAsia="Times New Roman" w:hAnsi="Calibri" w:cs="Calibri"/>
          <w:color w:val="000000"/>
          <w:sz w:val="24"/>
          <w:szCs w:val="24"/>
          <w:bdr w:val="none" w:sz="0" w:space="0" w:color="auto" w:frame="1"/>
        </w:rPr>
        <w:t xml:space="preserve"> articles that are interesting, impactful, and clinically relevant. Through our reviews, we may also highlight </w:t>
      </w:r>
      <w:r w:rsidR="00DF2746">
        <w:rPr>
          <w:rFonts w:ascii="Calibri" w:eastAsia="Times New Roman" w:hAnsi="Calibri" w:cs="Calibri"/>
          <w:color w:val="000000"/>
          <w:sz w:val="24"/>
          <w:szCs w:val="24"/>
          <w:bdr w:val="none" w:sz="0" w:space="0" w:color="auto" w:frame="1"/>
        </w:rPr>
        <w:t>articles that advance</w:t>
      </w:r>
      <w:r w:rsidRPr="00DF2746">
        <w:rPr>
          <w:rFonts w:ascii="Calibri" w:eastAsia="Times New Roman" w:hAnsi="Calibri" w:cs="Calibri"/>
          <w:color w:val="000000"/>
          <w:sz w:val="24"/>
          <w:szCs w:val="24"/>
          <w:bdr w:val="none" w:sz="0" w:space="0" w:color="auto" w:frame="1"/>
        </w:rPr>
        <w:t xml:space="preserve"> our scientific understanding of mental illness or service </w:t>
      </w:r>
      <w:r w:rsidR="000423E0">
        <w:rPr>
          <w:rFonts w:ascii="Calibri" w:eastAsia="Times New Roman" w:hAnsi="Calibri" w:cs="Calibri"/>
          <w:color w:val="000000"/>
          <w:sz w:val="24"/>
          <w:szCs w:val="24"/>
          <w:bdr w:val="none" w:sz="0" w:space="0" w:color="auto" w:frame="1"/>
        </w:rPr>
        <w:t xml:space="preserve">delivery. </w:t>
      </w:r>
    </w:p>
    <w:p w14:paraId="7562195C" w14:textId="77777777" w:rsidR="00854980" w:rsidRPr="00DF2746" w:rsidRDefault="00854980" w:rsidP="00854980">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p>
    <w:p w14:paraId="4F73C705" w14:textId="3DFC1537" w:rsidR="00854980" w:rsidRPr="00854980" w:rsidRDefault="000423E0" w:rsidP="00854980">
      <w:pPr>
        <w:shd w:val="clear" w:color="auto" w:fill="FFFFFF"/>
        <w:spacing w:after="0" w:line="254" w:lineRule="atLeast"/>
        <w:textAlignment w:val="baseline"/>
        <w:rPr>
          <w:rFonts w:ascii="Calibri" w:eastAsia="Times New Roman" w:hAnsi="Calibri" w:cs="Calibri"/>
          <w:color w:val="201F1E"/>
          <w:sz w:val="24"/>
          <w:szCs w:val="24"/>
        </w:rPr>
      </w:pPr>
      <w:r>
        <w:rPr>
          <w:rFonts w:ascii="Calibri" w:eastAsia="Times New Roman" w:hAnsi="Calibri" w:cs="Calibri"/>
          <w:color w:val="000000"/>
          <w:sz w:val="24"/>
          <w:szCs w:val="24"/>
          <w:bdr w:val="none" w:sz="0" w:space="0" w:color="auto" w:frame="1"/>
        </w:rPr>
        <w:t xml:space="preserve">We have provided a </w:t>
      </w:r>
      <w:r w:rsidR="00854980" w:rsidRPr="00854980">
        <w:rPr>
          <w:rFonts w:ascii="Calibri" w:eastAsia="Times New Roman" w:hAnsi="Calibri" w:cs="Calibri"/>
          <w:color w:val="000000"/>
          <w:sz w:val="24"/>
          <w:szCs w:val="24"/>
          <w:bdr w:val="none" w:sz="0" w:space="0" w:color="auto" w:frame="1"/>
        </w:rPr>
        <w:t>list of</w:t>
      </w:r>
      <w:r w:rsidR="00DF2746" w:rsidRPr="00DF2746">
        <w:rPr>
          <w:rFonts w:ascii="Calibri" w:eastAsia="Times New Roman" w:hAnsi="Calibri" w:cs="Calibri"/>
          <w:color w:val="000000"/>
          <w:sz w:val="24"/>
          <w:szCs w:val="24"/>
          <w:bdr w:val="none" w:sz="0" w:space="0" w:color="auto" w:frame="1"/>
        </w:rPr>
        <w:t xml:space="preserve"> articles that we</w:t>
      </w:r>
      <w:r w:rsidR="00854980" w:rsidRPr="00854980">
        <w:rPr>
          <w:rFonts w:ascii="Calibri" w:eastAsia="Times New Roman" w:hAnsi="Calibri" w:cs="Calibri"/>
          <w:color w:val="000000"/>
          <w:sz w:val="24"/>
          <w:szCs w:val="24"/>
          <w:bdr w:val="none" w:sz="0" w:space="0" w:color="auto" w:frame="1"/>
        </w:rPr>
        <w:t xml:space="preserve"> </w:t>
      </w:r>
      <w:r w:rsidR="00DF2746" w:rsidRPr="00DF2746">
        <w:rPr>
          <w:rFonts w:ascii="Calibri" w:eastAsia="Times New Roman" w:hAnsi="Calibri" w:cs="Calibri"/>
          <w:color w:val="000000"/>
          <w:sz w:val="24"/>
          <w:szCs w:val="24"/>
          <w:bdr w:val="none" w:sz="0" w:space="0" w:color="auto" w:frame="1"/>
        </w:rPr>
        <w:t xml:space="preserve">selected from our </w:t>
      </w:r>
      <w:r w:rsidR="006E769A">
        <w:rPr>
          <w:rFonts w:ascii="Calibri" w:eastAsia="Times New Roman" w:hAnsi="Calibri" w:cs="Calibri"/>
          <w:color w:val="000000"/>
          <w:sz w:val="24"/>
          <w:szCs w:val="24"/>
          <w:bdr w:val="none" w:sz="0" w:space="0" w:color="auto" w:frame="1"/>
        </w:rPr>
        <w:t>October</w:t>
      </w:r>
      <w:r w:rsidR="00FC0F56">
        <w:rPr>
          <w:rFonts w:ascii="Calibri" w:eastAsia="Times New Roman" w:hAnsi="Calibri" w:cs="Calibri"/>
          <w:color w:val="000000"/>
          <w:sz w:val="24"/>
          <w:szCs w:val="24"/>
          <w:bdr w:val="none" w:sz="0" w:space="0" w:color="auto" w:frame="1"/>
        </w:rPr>
        <w:t xml:space="preserve"> </w:t>
      </w:r>
      <w:r>
        <w:rPr>
          <w:rFonts w:ascii="Calibri" w:eastAsia="Times New Roman" w:hAnsi="Calibri" w:cs="Calibri"/>
          <w:color w:val="000000"/>
          <w:sz w:val="24"/>
          <w:szCs w:val="24"/>
          <w:bdr w:val="none" w:sz="0" w:space="0" w:color="auto" w:frame="1"/>
        </w:rPr>
        <w:t xml:space="preserve">reviews, followed by the abstracts and </w:t>
      </w:r>
      <w:proofErr w:type="spellStart"/>
      <w:r>
        <w:rPr>
          <w:rFonts w:ascii="Calibri" w:eastAsia="Times New Roman" w:hAnsi="Calibri" w:cs="Calibri"/>
          <w:color w:val="000000"/>
          <w:sz w:val="24"/>
          <w:szCs w:val="24"/>
          <w:bdr w:val="none" w:sz="0" w:space="0" w:color="auto" w:frame="1"/>
        </w:rPr>
        <w:t>pubmed</w:t>
      </w:r>
      <w:proofErr w:type="spellEnd"/>
      <w:r>
        <w:rPr>
          <w:rFonts w:ascii="Calibri" w:eastAsia="Times New Roman" w:hAnsi="Calibri" w:cs="Calibri"/>
          <w:color w:val="000000"/>
          <w:sz w:val="24"/>
          <w:szCs w:val="24"/>
          <w:bdr w:val="none" w:sz="0" w:space="0" w:color="auto" w:frame="1"/>
        </w:rPr>
        <w:t xml:space="preserve"> links. Clicking in the table of contents will take you to that section of the document. </w:t>
      </w:r>
      <w:r w:rsidR="00854980" w:rsidRPr="00854980">
        <w:rPr>
          <w:rFonts w:ascii="Calibri" w:eastAsia="Times New Roman" w:hAnsi="Calibri" w:cs="Calibri"/>
          <w:color w:val="000000"/>
          <w:sz w:val="24"/>
          <w:szCs w:val="24"/>
          <w:bdr w:val="none" w:sz="0" w:space="0" w:color="auto" w:frame="1"/>
        </w:rPr>
        <w:t xml:space="preserve"> Feel free to share and disseminate.</w:t>
      </w:r>
    </w:p>
    <w:p w14:paraId="27A6FA89" w14:textId="77777777" w:rsidR="00854980" w:rsidRPr="00854980" w:rsidRDefault="00854980" w:rsidP="00854980">
      <w:pPr>
        <w:shd w:val="clear" w:color="auto" w:fill="FFFFFF"/>
        <w:spacing w:after="0" w:line="240" w:lineRule="auto"/>
        <w:textAlignment w:val="baseline"/>
        <w:rPr>
          <w:rFonts w:ascii="Calibri" w:eastAsia="Times New Roman" w:hAnsi="Calibri" w:cs="Calibri"/>
          <w:color w:val="000000"/>
          <w:sz w:val="24"/>
          <w:szCs w:val="24"/>
        </w:rPr>
      </w:pPr>
    </w:p>
    <w:p w14:paraId="4BE62CF1" w14:textId="77777777" w:rsidR="00854980"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sidRPr="00DF2746">
        <w:rPr>
          <w:rFonts w:ascii="Calibri" w:eastAsia="Times New Roman" w:hAnsi="Calibri" w:cs="Calibri"/>
          <w:color w:val="000000"/>
          <w:sz w:val="24"/>
          <w:szCs w:val="24"/>
          <w:bdr w:val="none" w:sz="0" w:space="0" w:color="auto" w:frame="1"/>
        </w:rPr>
        <w:t xml:space="preserve">If you would like to receive the monthly Psychiatric Practice Updates email, please send an email with SUBSCRIBE in the subject to </w:t>
      </w:r>
      <w:hyperlink r:id="rId7" w:history="1">
        <w:r w:rsidRPr="00DF2746">
          <w:rPr>
            <w:rStyle w:val="Hyperlink"/>
            <w:rFonts w:ascii="Calibri" w:eastAsia="Times New Roman" w:hAnsi="Calibri" w:cs="Calibri"/>
            <w:sz w:val="24"/>
            <w:szCs w:val="24"/>
            <w:bdr w:val="none" w:sz="0" w:space="0" w:color="auto" w:frame="1"/>
          </w:rPr>
          <w:t>PsychiatricPracticeUpdates@gmail.com</w:t>
        </w:r>
      </w:hyperlink>
    </w:p>
    <w:p w14:paraId="5856E4DA"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18966E18"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r w:rsidRPr="00DF2746">
        <w:rPr>
          <w:rFonts w:ascii="Calibri" w:eastAsia="Times New Roman" w:hAnsi="Calibri" w:cs="Calibri"/>
          <w:color w:val="000000"/>
          <w:sz w:val="24"/>
          <w:szCs w:val="24"/>
        </w:rPr>
        <w:t>Happy learning!</w:t>
      </w:r>
    </w:p>
    <w:p w14:paraId="5E0A3B99"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499D5537" w14:textId="77777777" w:rsidR="00DF2746" w:rsidRPr="00DF2746" w:rsidRDefault="00DF2746" w:rsidP="00DF2746">
      <w:pPr>
        <w:shd w:val="clear" w:color="auto" w:fill="FFFFFF"/>
        <w:spacing w:after="0" w:line="240" w:lineRule="auto"/>
        <w:textAlignment w:val="baseline"/>
        <w:rPr>
          <w:rFonts w:ascii="Calibri" w:eastAsia="Times New Roman" w:hAnsi="Calibri" w:cs="Calibri"/>
          <w:b/>
          <w:color w:val="000000"/>
          <w:sz w:val="24"/>
          <w:szCs w:val="24"/>
        </w:rPr>
      </w:pPr>
      <w:r w:rsidRPr="00DF2746">
        <w:rPr>
          <w:rFonts w:ascii="Calibri" w:eastAsia="Times New Roman" w:hAnsi="Calibri" w:cs="Calibri"/>
          <w:b/>
          <w:color w:val="000000"/>
          <w:sz w:val="24"/>
          <w:szCs w:val="24"/>
        </w:rPr>
        <w:t>The Psychiatric Practice Updates Committee</w:t>
      </w:r>
    </w:p>
    <w:p w14:paraId="33DB09C1"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751204BB"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4F4C6F0C" w14:textId="77777777" w:rsidR="00DF2746" w:rsidRPr="00DF2746" w:rsidRDefault="00DF2746" w:rsidP="00DF2746">
      <w:pPr>
        <w:rPr>
          <w:rFonts w:ascii="Calibri" w:hAnsi="Calibri" w:cs="Calibri"/>
          <w:sz w:val="24"/>
          <w:szCs w:val="24"/>
          <w:u w:val="single"/>
        </w:rPr>
      </w:pPr>
      <w:r w:rsidRPr="00DF2746">
        <w:rPr>
          <w:rFonts w:ascii="Calibri" w:hAnsi="Calibri" w:cs="Calibri"/>
          <w:sz w:val="24"/>
          <w:szCs w:val="24"/>
          <w:u w:val="single"/>
        </w:rPr>
        <w:t>Chairs:</w:t>
      </w:r>
    </w:p>
    <w:p w14:paraId="424CF59A"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Katrina DeBonis, MD</w:t>
      </w:r>
    </w:p>
    <w:p w14:paraId="1D76F169"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 xml:space="preserve">Jane Eisen, MD </w:t>
      </w:r>
    </w:p>
    <w:p w14:paraId="77180229" w14:textId="77777777" w:rsidR="00DF2746" w:rsidRPr="00DF2746" w:rsidRDefault="00DF2746" w:rsidP="00DF2746">
      <w:pPr>
        <w:rPr>
          <w:rFonts w:ascii="Calibri" w:hAnsi="Calibri" w:cs="Calibri"/>
          <w:sz w:val="24"/>
          <w:szCs w:val="24"/>
          <w:u w:val="single"/>
        </w:rPr>
      </w:pPr>
      <w:r w:rsidRPr="00DF2746">
        <w:rPr>
          <w:rFonts w:ascii="Calibri" w:hAnsi="Calibri" w:cs="Calibri"/>
          <w:sz w:val="24"/>
          <w:szCs w:val="24"/>
          <w:u w:val="single"/>
        </w:rPr>
        <w:t>Committee Members:</w:t>
      </w:r>
    </w:p>
    <w:p w14:paraId="6F17E7DC"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Michael Fiori, MD</w:t>
      </w:r>
    </w:p>
    <w:p w14:paraId="0326E4A0"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Michael Gitlin, MD</w:t>
      </w:r>
    </w:p>
    <w:p w14:paraId="061D91CA" w14:textId="77777777" w:rsidR="00DF2746" w:rsidRDefault="00DF2746" w:rsidP="00DF2746">
      <w:pPr>
        <w:rPr>
          <w:rFonts w:ascii="Calibri" w:hAnsi="Calibri" w:cs="Calibri"/>
          <w:sz w:val="24"/>
          <w:szCs w:val="24"/>
        </w:rPr>
      </w:pPr>
      <w:proofErr w:type="spellStart"/>
      <w:r w:rsidRPr="00DF2746">
        <w:rPr>
          <w:rFonts w:ascii="Calibri" w:hAnsi="Calibri" w:cs="Calibri"/>
          <w:sz w:val="24"/>
          <w:szCs w:val="24"/>
        </w:rPr>
        <w:t>Raphaela</w:t>
      </w:r>
      <w:proofErr w:type="spellEnd"/>
      <w:r w:rsidRPr="00DF2746">
        <w:rPr>
          <w:rFonts w:ascii="Calibri" w:hAnsi="Calibri" w:cs="Calibri"/>
          <w:sz w:val="24"/>
          <w:szCs w:val="24"/>
        </w:rPr>
        <w:t xml:space="preserve"> Gold, MD, MSc</w:t>
      </w:r>
    </w:p>
    <w:p w14:paraId="6AF522FF" w14:textId="020DB01D" w:rsidR="00FC0F56" w:rsidRPr="00DF2746" w:rsidRDefault="00FC0F56" w:rsidP="00DF2746">
      <w:pPr>
        <w:rPr>
          <w:rFonts w:ascii="Calibri" w:hAnsi="Calibri" w:cs="Calibri"/>
          <w:sz w:val="24"/>
          <w:szCs w:val="24"/>
        </w:rPr>
      </w:pPr>
      <w:r>
        <w:rPr>
          <w:rFonts w:ascii="Calibri" w:hAnsi="Calibri" w:cs="Calibri"/>
          <w:sz w:val="24"/>
          <w:szCs w:val="24"/>
        </w:rPr>
        <w:t>Kevin Kennedy, MD</w:t>
      </w:r>
    </w:p>
    <w:p w14:paraId="376EA6B0"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Stephen Marder, MD</w:t>
      </w:r>
    </w:p>
    <w:p w14:paraId="2AFD702B" w14:textId="77777777" w:rsidR="00DF2746" w:rsidRDefault="00DF2746" w:rsidP="000423E0">
      <w:pPr>
        <w:rPr>
          <w:rFonts w:ascii="Calibri" w:hAnsi="Calibri" w:cs="Calibri"/>
          <w:sz w:val="24"/>
          <w:szCs w:val="24"/>
        </w:rPr>
      </w:pPr>
      <w:r w:rsidRPr="00DF2746">
        <w:rPr>
          <w:rFonts w:ascii="Calibri" w:hAnsi="Calibri" w:cs="Calibri"/>
          <w:sz w:val="24"/>
          <w:szCs w:val="24"/>
        </w:rPr>
        <w:t>Collin Price, MD</w:t>
      </w:r>
    </w:p>
    <w:p w14:paraId="4BD7344B" w14:textId="77777777" w:rsidR="00E070C5" w:rsidRDefault="00E070C5" w:rsidP="000423E0">
      <w:pPr>
        <w:rPr>
          <w:rFonts w:ascii="Calibri" w:hAnsi="Calibri" w:cs="Calibri"/>
          <w:sz w:val="24"/>
          <w:szCs w:val="24"/>
        </w:rPr>
      </w:pPr>
    </w:p>
    <w:p w14:paraId="62989C61" w14:textId="77777777" w:rsidR="00960961" w:rsidRDefault="00960961" w:rsidP="000423E0">
      <w:pPr>
        <w:rPr>
          <w:rFonts w:ascii="Calibri" w:hAnsi="Calibri" w:cs="Calibri"/>
          <w:sz w:val="24"/>
          <w:szCs w:val="24"/>
        </w:rPr>
      </w:pPr>
    </w:p>
    <w:p w14:paraId="4150F8C0" w14:textId="77777777" w:rsidR="00E070C5" w:rsidRDefault="00E070C5" w:rsidP="000423E0">
      <w:pPr>
        <w:rPr>
          <w:rFonts w:ascii="Calibri" w:hAnsi="Calibri" w:cs="Calibri"/>
          <w:sz w:val="24"/>
          <w:szCs w:val="24"/>
        </w:rPr>
      </w:pPr>
    </w:p>
    <w:p w14:paraId="3B569242" w14:textId="77777777" w:rsidR="00E070C5" w:rsidRDefault="00E070C5" w:rsidP="000423E0">
      <w:pPr>
        <w:rPr>
          <w:rFonts w:ascii="Calibri" w:hAnsi="Calibri" w:cs="Calibri"/>
          <w:sz w:val="24"/>
          <w:szCs w:val="24"/>
        </w:rPr>
      </w:pPr>
    </w:p>
    <w:p w14:paraId="3E59CFF7" w14:textId="77777777" w:rsidR="00E070C5" w:rsidRPr="000423E0" w:rsidRDefault="00E070C5" w:rsidP="000423E0">
      <w:pPr>
        <w:rPr>
          <w:rFonts w:ascii="Calibri" w:hAnsi="Calibri" w:cs="Calibri"/>
          <w:sz w:val="24"/>
          <w:szCs w:val="24"/>
        </w:rPr>
      </w:pPr>
    </w:p>
    <w:sdt>
      <w:sdtPr>
        <w:rPr>
          <w:rFonts w:eastAsiaTheme="minorHAnsi" w:cstheme="minorHAnsi"/>
          <w:caps w:val="0"/>
          <w:color w:val="auto"/>
          <w:spacing w:val="0"/>
        </w:rPr>
        <w:id w:val="-703247796"/>
        <w:docPartObj>
          <w:docPartGallery w:val="Table of Contents"/>
          <w:docPartUnique/>
        </w:docPartObj>
      </w:sdtPr>
      <w:sdtEndPr>
        <w:rPr>
          <w:noProof/>
        </w:rPr>
      </w:sdtEndPr>
      <w:sdtContent>
        <w:p w14:paraId="57C4DBB0" w14:textId="4DF8F254" w:rsidR="00DF2746" w:rsidRPr="00F05E92" w:rsidRDefault="00DF2746" w:rsidP="00DF2746">
          <w:pPr>
            <w:pStyle w:val="TOCHeading"/>
            <w:rPr>
              <w:rFonts w:eastAsiaTheme="minorHAnsi" w:cstheme="minorHAnsi"/>
              <w:color w:val="auto"/>
            </w:rPr>
          </w:pPr>
          <w:r w:rsidRPr="00F05E92">
            <w:rPr>
              <w:rFonts w:cstheme="minorHAnsi"/>
            </w:rPr>
            <w:t xml:space="preserve">Psychiatric Practice Updates – </w:t>
          </w:r>
          <w:r w:rsidR="00AB4610" w:rsidRPr="00F05E92">
            <w:rPr>
              <w:rFonts w:cstheme="minorHAnsi"/>
            </w:rPr>
            <w:t>october</w:t>
          </w:r>
        </w:p>
        <w:p w14:paraId="362CE660" w14:textId="77777777" w:rsidR="00DF2746" w:rsidRPr="00F05E92" w:rsidRDefault="00DF2746" w:rsidP="00DF2746">
          <w:pPr>
            <w:pStyle w:val="TOC1"/>
            <w:tabs>
              <w:tab w:val="right" w:leader="dot" w:pos="9350"/>
            </w:tabs>
            <w:rPr>
              <w:rFonts w:cstheme="minorHAnsi"/>
              <w:sz w:val="22"/>
              <w:szCs w:val="22"/>
            </w:rPr>
          </w:pPr>
        </w:p>
        <w:p w14:paraId="64EDF814" w14:textId="7598861C" w:rsidR="00B002B4" w:rsidRPr="00F05E92" w:rsidRDefault="00DF2746">
          <w:pPr>
            <w:pStyle w:val="TOC1"/>
            <w:tabs>
              <w:tab w:val="right" w:leader="dot" w:pos="9350"/>
            </w:tabs>
            <w:rPr>
              <w:rFonts w:cstheme="minorHAnsi"/>
              <w:noProof/>
              <w:kern w:val="2"/>
              <w:sz w:val="22"/>
              <w:szCs w:val="22"/>
              <w14:ligatures w14:val="standardContextual"/>
            </w:rPr>
          </w:pPr>
          <w:r w:rsidRPr="00F05E92">
            <w:rPr>
              <w:rFonts w:cstheme="minorHAnsi"/>
              <w:sz w:val="22"/>
              <w:szCs w:val="22"/>
            </w:rPr>
            <w:fldChar w:fldCharType="begin"/>
          </w:r>
          <w:r w:rsidRPr="00F05E92">
            <w:rPr>
              <w:rFonts w:cstheme="minorHAnsi"/>
              <w:sz w:val="22"/>
              <w:szCs w:val="22"/>
            </w:rPr>
            <w:instrText xml:space="preserve"> TOC \o "1-3" \h \z \u </w:instrText>
          </w:r>
          <w:r w:rsidRPr="00F05E92">
            <w:rPr>
              <w:rFonts w:cstheme="minorHAnsi"/>
              <w:sz w:val="22"/>
              <w:szCs w:val="22"/>
            </w:rPr>
            <w:fldChar w:fldCharType="separate"/>
          </w:r>
          <w:hyperlink w:anchor="_Toc149913346" w:history="1">
            <w:r w:rsidR="00B002B4" w:rsidRPr="00F05E92">
              <w:rPr>
                <w:rStyle w:val="Hyperlink"/>
                <w:rFonts w:cstheme="minorHAnsi"/>
                <w:noProof/>
                <w:sz w:val="22"/>
                <w:szCs w:val="22"/>
              </w:rPr>
              <w:t>Antipsychotic dose reduction and discontinuation versus maintenance treatment in people with schizophrenia and other recurrent psychotic disorders in England (the RADAR trial): an open, parallel-group, randomised controlled trial</w:t>
            </w:r>
            <w:r w:rsidR="00B002B4" w:rsidRPr="00F05E92">
              <w:rPr>
                <w:rFonts w:cstheme="minorHAnsi"/>
                <w:noProof/>
                <w:webHidden/>
                <w:sz w:val="22"/>
                <w:szCs w:val="22"/>
              </w:rPr>
              <w:tab/>
            </w:r>
            <w:r w:rsidR="00B002B4" w:rsidRPr="00F05E92">
              <w:rPr>
                <w:rFonts w:cstheme="minorHAnsi"/>
                <w:noProof/>
                <w:webHidden/>
                <w:sz w:val="22"/>
                <w:szCs w:val="22"/>
              </w:rPr>
              <w:fldChar w:fldCharType="begin"/>
            </w:r>
            <w:r w:rsidR="00B002B4" w:rsidRPr="00F05E92">
              <w:rPr>
                <w:rFonts w:cstheme="minorHAnsi"/>
                <w:noProof/>
                <w:webHidden/>
                <w:sz w:val="22"/>
                <w:szCs w:val="22"/>
              </w:rPr>
              <w:instrText xml:space="preserve"> PAGEREF _Toc149913346 \h </w:instrText>
            </w:r>
            <w:r w:rsidR="00B002B4" w:rsidRPr="00F05E92">
              <w:rPr>
                <w:rFonts w:cstheme="minorHAnsi"/>
                <w:noProof/>
                <w:webHidden/>
                <w:sz w:val="22"/>
                <w:szCs w:val="22"/>
              </w:rPr>
            </w:r>
            <w:r w:rsidR="00B002B4" w:rsidRPr="00F05E92">
              <w:rPr>
                <w:rFonts w:cstheme="minorHAnsi"/>
                <w:noProof/>
                <w:webHidden/>
                <w:sz w:val="22"/>
                <w:szCs w:val="22"/>
              </w:rPr>
              <w:fldChar w:fldCharType="separate"/>
            </w:r>
            <w:r w:rsidR="00B002B4" w:rsidRPr="00F05E92">
              <w:rPr>
                <w:rFonts w:cstheme="minorHAnsi"/>
                <w:noProof/>
                <w:webHidden/>
                <w:sz w:val="22"/>
                <w:szCs w:val="22"/>
              </w:rPr>
              <w:t>2</w:t>
            </w:r>
            <w:r w:rsidR="00B002B4" w:rsidRPr="00F05E92">
              <w:rPr>
                <w:rFonts w:cstheme="minorHAnsi"/>
                <w:noProof/>
                <w:webHidden/>
                <w:sz w:val="22"/>
                <w:szCs w:val="22"/>
              </w:rPr>
              <w:fldChar w:fldCharType="end"/>
            </w:r>
          </w:hyperlink>
        </w:p>
        <w:p w14:paraId="1852F108" w14:textId="30B94502" w:rsidR="00B002B4" w:rsidRPr="00F05E92" w:rsidRDefault="00B002B4">
          <w:pPr>
            <w:pStyle w:val="TOC1"/>
            <w:tabs>
              <w:tab w:val="right" w:leader="dot" w:pos="9350"/>
            </w:tabs>
            <w:rPr>
              <w:rFonts w:cstheme="minorHAnsi"/>
              <w:noProof/>
              <w:kern w:val="2"/>
              <w:sz w:val="22"/>
              <w:szCs w:val="22"/>
              <w14:ligatures w14:val="standardContextual"/>
            </w:rPr>
          </w:pPr>
          <w:hyperlink w:anchor="_Toc149913347" w:history="1">
            <w:r w:rsidRPr="00F05E92">
              <w:rPr>
                <w:rStyle w:val="Hyperlink"/>
                <w:rFonts w:cstheme="minorHAnsi"/>
                <w:noProof/>
                <w:sz w:val="22"/>
                <w:szCs w:val="22"/>
              </w:rPr>
              <w:t>Treatment Outcomes With Licensed and Unlicensed Stimulant Doses for Adults With Attention-Deficit/Hyperactivity Disorder: A Systematic Review and Meta-Analysis</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_Toc149913347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4</w:t>
            </w:r>
            <w:r w:rsidRPr="00F05E92">
              <w:rPr>
                <w:rFonts w:cstheme="minorHAnsi"/>
                <w:noProof/>
                <w:webHidden/>
                <w:sz w:val="22"/>
                <w:szCs w:val="22"/>
              </w:rPr>
              <w:fldChar w:fldCharType="end"/>
            </w:r>
          </w:hyperlink>
        </w:p>
        <w:p w14:paraId="40F58A9C" w14:textId="49A4D591" w:rsidR="00B002B4" w:rsidRPr="00F05E92" w:rsidRDefault="00B002B4">
          <w:pPr>
            <w:pStyle w:val="TOC1"/>
            <w:tabs>
              <w:tab w:val="right" w:leader="dot" w:pos="9350"/>
            </w:tabs>
            <w:rPr>
              <w:rFonts w:cstheme="minorHAnsi"/>
              <w:noProof/>
              <w:kern w:val="2"/>
              <w:sz w:val="22"/>
              <w:szCs w:val="22"/>
              <w14:ligatures w14:val="standardContextual"/>
            </w:rPr>
          </w:pPr>
          <w:hyperlink w:anchor="_Toc149913348" w:history="1">
            <w:r w:rsidRPr="00F05E92">
              <w:rPr>
                <w:rStyle w:val="Hyperlink"/>
                <w:rFonts w:cstheme="minorHAnsi"/>
                <w:noProof/>
                <w:sz w:val="22"/>
                <w:szCs w:val="22"/>
              </w:rPr>
              <w:t>Changes in Cannabis-Attributable Hospitalizations Following Nonmedical Cannabis Legalization in Canada</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_Toc149913348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5</w:t>
            </w:r>
            <w:r w:rsidRPr="00F05E92">
              <w:rPr>
                <w:rFonts w:cstheme="minorHAnsi"/>
                <w:noProof/>
                <w:webHidden/>
                <w:sz w:val="22"/>
                <w:szCs w:val="22"/>
              </w:rPr>
              <w:fldChar w:fldCharType="end"/>
            </w:r>
          </w:hyperlink>
        </w:p>
        <w:p w14:paraId="26D3602F" w14:textId="6CF2CEC5" w:rsidR="00B002B4" w:rsidRPr="00F05E92" w:rsidRDefault="00B002B4">
          <w:pPr>
            <w:pStyle w:val="TOC1"/>
            <w:tabs>
              <w:tab w:val="right" w:leader="dot" w:pos="9350"/>
            </w:tabs>
            <w:rPr>
              <w:rFonts w:cstheme="minorHAnsi"/>
              <w:noProof/>
              <w:kern w:val="2"/>
              <w:sz w:val="22"/>
              <w:szCs w:val="22"/>
              <w14:ligatures w14:val="standardContextual"/>
            </w:rPr>
          </w:pPr>
          <w:hyperlink w:anchor="_Toc149913349" w:history="1">
            <w:r w:rsidRPr="00F05E92">
              <w:rPr>
                <w:rStyle w:val="Hyperlink"/>
                <w:rFonts w:cstheme="minorHAnsi"/>
                <w:noProof/>
                <w:sz w:val="22"/>
                <w:szCs w:val="22"/>
              </w:rPr>
              <w:t>Use of hypnotic-sedative medication and risk of falls and fractures in adults: A self-controlled case series study</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_Toc149913349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6</w:t>
            </w:r>
            <w:r w:rsidRPr="00F05E92">
              <w:rPr>
                <w:rFonts w:cstheme="minorHAnsi"/>
                <w:noProof/>
                <w:webHidden/>
                <w:sz w:val="22"/>
                <w:szCs w:val="22"/>
              </w:rPr>
              <w:fldChar w:fldCharType="end"/>
            </w:r>
          </w:hyperlink>
        </w:p>
        <w:p w14:paraId="161DB8ED" w14:textId="71678CBF" w:rsidR="00B002B4" w:rsidRPr="00F05E92" w:rsidRDefault="00B002B4">
          <w:pPr>
            <w:pStyle w:val="TOC1"/>
            <w:tabs>
              <w:tab w:val="right" w:leader="dot" w:pos="9350"/>
            </w:tabs>
            <w:rPr>
              <w:rFonts w:cstheme="minorHAnsi"/>
              <w:noProof/>
              <w:kern w:val="2"/>
              <w:sz w:val="22"/>
              <w:szCs w:val="22"/>
              <w14:ligatures w14:val="standardContextual"/>
            </w:rPr>
          </w:pPr>
          <w:hyperlink w:anchor="_Toc149913350" w:history="1">
            <w:r w:rsidRPr="00F05E92">
              <w:rPr>
                <w:rStyle w:val="Hyperlink"/>
                <w:rFonts w:cstheme="minorHAnsi"/>
                <w:noProof/>
                <w:sz w:val="22"/>
                <w:szCs w:val="22"/>
              </w:rPr>
              <w:t>Esketamine Nasal Spray versus Quetiapine for Treatment-Resistant Depression</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_Toc149913350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7</w:t>
            </w:r>
            <w:r w:rsidRPr="00F05E92">
              <w:rPr>
                <w:rFonts w:cstheme="minorHAnsi"/>
                <w:noProof/>
                <w:webHidden/>
                <w:sz w:val="22"/>
                <w:szCs w:val="22"/>
              </w:rPr>
              <w:fldChar w:fldCharType="end"/>
            </w:r>
          </w:hyperlink>
        </w:p>
        <w:p w14:paraId="0D4C2B60" w14:textId="506F2242" w:rsidR="00B002B4" w:rsidRPr="00F05E92" w:rsidRDefault="00B002B4">
          <w:pPr>
            <w:pStyle w:val="TOC1"/>
            <w:tabs>
              <w:tab w:val="right" w:leader="dot" w:pos="9350"/>
            </w:tabs>
            <w:rPr>
              <w:rFonts w:cstheme="minorHAnsi"/>
              <w:noProof/>
              <w:kern w:val="2"/>
              <w:sz w:val="22"/>
              <w:szCs w:val="22"/>
              <w14:ligatures w14:val="standardContextual"/>
            </w:rPr>
          </w:pPr>
          <w:hyperlink w:anchor="_Toc149913351" w:history="1">
            <w:r w:rsidRPr="00F05E92">
              <w:rPr>
                <w:rStyle w:val="Hyperlink"/>
                <w:rFonts w:cstheme="minorHAnsi"/>
                <w:noProof/>
                <w:sz w:val="22"/>
                <w:szCs w:val="22"/>
              </w:rPr>
              <w:t>Racial disparities in utilization of first-generation versus second-generation long-acting injectable antipsychotics in Medicaid beneficiaries with schizophrenia</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_Toc149913351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8</w:t>
            </w:r>
            <w:r w:rsidRPr="00F05E92">
              <w:rPr>
                <w:rFonts w:cstheme="minorHAnsi"/>
                <w:noProof/>
                <w:webHidden/>
                <w:sz w:val="22"/>
                <w:szCs w:val="22"/>
              </w:rPr>
              <w:fldChar w:fldCharType="end"/>
            </w:r>
          </w:hyperlink>
        </w:p>
        <w:p w14:paraId="3E28BC18" w14:textId="4432C4CA" w:rsidR="00B002B4" w:rsidRPr="00F05E92" w:rsidRDefault="00B002B4">
          <w:pPr>
            <w:pStyle w:val="TOC1"/>
            <w:tabs>
              <w:tab w:val="right" w:leader="dot" w:pos="9350"/>
            </w:tabs>
            <w:rPr>
              <w:rFonts w:cstheme="minorHAnsi"/>
              <w:noProof/>
              <w:kern w:val="2"/>
              <w:sz w:val="22"/>
              <w:szCs w:val="22"/>
              <w14:ligatures w14:val="standardContextual"/>
            </w:rPr>
          </w:pPr>
          <w:hyperlink w:anchor="_Toc149913352" w:history="1">
            <w:r w:rsidRPr="00F05E92">
              <w:rPr>
                <w:rStyle w:val="Hyperlink"/>
                <w:rFonts w:cstheme="minorHAnsi"/>
                <w:noProof/>
                <w:sz w:val="22"/>
                <w:szCs w:val="22"/>
              </w:rPr>
              <w:t>Efficacy and safety of </w:t>
            </w:r>
            <w:r w:rsidRPr="00F05E92">
              <w:rPr>
                <w:rStyle w:val="Hyperlink"/>
                <w:rFonts w:cstheme="minorHAnsi"/>
                <w:i/>
                <w:iCs/>
                <w:noProof/>
                <w:sz w:val="22"/>
                <w:szCs w:val="22"/>
              </w:rPr>
              <w:t>n</w:t>
            </w:r>
            <w:r w:rsidRPr="00F05E92">
              <w:rPr>
                <w:rStyle w:val="Hyperlink"/>
                <w:rFonts w:cstheme="minorHAnsi"/>
                <w:noProof/>
                <w:sz w:val="22"/>
                <w:szCs w:val="22"/>
              </w:rPr>
              <w:t>-3 fatty acids supplementation on depression: a systematic review and dose-response meta-analysis of randomised controlled trials</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_Toc149913352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9</w:t>
            </w:r>
            <w:r w:rsidRPr="00F05E92">
              <w:rPr>
                <w:rFonts w:cstheme="minorHAnsi"/>
                <w:noProof/>
                <w:webHidden/>
                <w:sz w:val="22"/>
                <w:szCs w:val="22"/>
              </w:rPr>
              <w:fldChar w:fldCharType="end"/>
            </w:r>
          </w:hyperlink>
        </w:p>
        <w:p w14:paraId="3BC4C3BA" w14:textId="65762BA5" w:rsidR="00B002B4" w:rsidRPr="00F05E92" w:rsidRDefault="00B002B4">
          <w:pPr>
            <w:pStyle w:val="TOC1"/>
            <w:tabs>
              <w:tab w:val="right" w:leader="dot" w:pos="9350"/>
            </w:tabs>
            <w:rPr>
              <w:rFonts w:cstheme="minorHAnsi"/>
              <w:noProof/>
              <w:kern w:val="2"/>
              <w:sz w:val="22"/>
              <w:szCs w:val="22"/>
              <w14:ligatures w14:val="standardContextual"/>
            </w:rPr>
          </w:pPr>
          <w:hyperlink w:anchor="_Toc149913353" w:history="1">
            <w:r w:rsidRPr="00F05E92">
              <w:rPr>
                <w:rStyle w:val="Hyperlink"/>
                <w:rFonts w:cstheme="minorHAnsi"/>
                <w:noProof/>
                <w:sz w:val="22"/>
                <w:szCs w:val="22"/>
              </w:rPr>
              <w:t>Bipolar At-Risk Criteria and Risk of Bipolar Disorder Over 10 or More Years</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_Toc149913353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10</w:t>
            </w:r>
            <w:r w:rsidRPr="00F05E92">
              <w:rPr>
                <w:rFonts w:cstheme="minorHAnsi"/>
                <w:noProof/>
                <w:webHidden/>
                <w:sz w:val="22"/>
                <w:szCs w:val="22"/>
              </w:rPr>
              <w:fldChar w:fldCharType="end"/>
            </w:r>
          </w:hyperlink>
        </w:p>
        <w:p w14:paraId="06959CB4" w14:textId="4251F0F2" w:rsidR="00B002B4" w:rsidRPr="00F05E92" w:rsidRDefault="00B002B4">
          <w:pPr>
            <w:pStyle w:val="TOC1"/>
            <w:tabs>
              <w:tab w:val="right" w:leader="dot" w:pos="9350"/>
            </w:tabs>
            <w:rPr>
              <w:rFonts w:cstheme="minorHAnsi"/>
              <w:noProof/>
              <w:kern w:val="2"/>
              <w:sz w:val="22"/>
              <w:szCs w:val="22"/>
              <w14:ligatures w14:val="standardContextual"/>
            </w:rPr>
          </w:pPr>
          <w:hyperlink w:anchor="_Toc149913354" w:history="1">
            <w:r w:rsidRPr="00F05E92">
              <w:rPr>
                <w:rStyle w:val="Hyperlink"/>
                <w:rFonts w:cstheme="minorHAnsi"/>
                <w:noProof/>
                <w:sz w:val="22"/>
                <w:szCs w:val="22"/>
              </w:rPr>
              <w:t>The effects of cannabidiol on worry and anxiety among high trait worriers: a double-blind, randomized placebo controlled trial</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_Toc149913354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11</w:t>
            </w:r>
            <w:r w:rsidRPr="00F05E92">
              <w:rPr>
                <w:rFonts w:cstheme="minorHAnsi"/>
                <w:noProof/>
                <w:webHidden/>
                <w:sz w:val="22"/>
                <w:szCs w:val="22"/>
              </w:rPr>
              <w:fldChar w:fldCharType="end"/>
            </w:r>
          </w:hyperlink>
        </w:p>
        <w:p w14:paraId="34A9489C" w14:textId="1730C8CC" w:rsidR="00B002B4" w:rsidRPr="00F05E92" w:rsidRDefault="00B002B4">
          <w:pPr>
            <w:pStyle w:val="TOC1"/>
            <w:tabs>
              <w:tab w:val="right" w:leader="dot" w:pos="9350"/>
            </w:tabs>
            <w:rPr>
              <w:rFonts w:cstheme="minorHAnsi"/>
              <w:noProof/>
              <w:kern w:val="2"/>
              <w:sz w:val="22"/>
              <w:szCs w:val="22"/>
              <w14:ligatures w14:val="standardContextual"/>
            </w:rPr>
          </w:pPr>
          <w:hyperlink w:anchor="_Toc149913355" w:history="1">
            <w:r w:rsidRPr="00F05E92">
              <w:rPr>
                <w:rStyle w:val="Hyperlink"/>
                <w:rFonts w:cstheme="minorHAnsi"/>
                <w:noProof/>
                <w:sz w:val="22"/>
                <w:szCs w:val="22"/>
              </w:rPr>
              <w:t>Efficacy and safety of zuranolone co-initiated with an antidepressant in adults with major depressive disorder: results from the phase 3 CORAL study</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_Toc149913355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12</w:t>
            </w:r>
            <w:r w:rsidRPr="00F05E92">
              <w:rPr>
                <w:rFonts w:cstheme="minorHAnsi"/>
                <w:noProof/>
                <w:webHidden/>
                <w:sz w:val="22"/>
                <w:szCs w:val="22"/>
              </w:rPr>
              <w:fldChar w:fldCharType="end"/>
            </w:r>
          </w:hyperlink>
        </w:p>
        <w:p w14:paraId="5D534A62" w14:textId="7D55A833" w:rsidR="00B002B4" w:rsidRPr="00F05E92" w:rsidRDefault="00B002B4">
          <w:pPr>
            <w:pStyle w:val="TOC2"/>
            <w:tabs>
              <w:tab w:val="right" w:leader="dot" w:pos="9350"/>
            </w:tabs>
            <w:rPr>
              <w:rFonts w:eastAsiaTheme="minorEastAsia" w:cstheme="minorHAnsi"/>
              <w:noProof/>
              <w:kern w:val="2"/>
              <w14:ligatures w14:val="standardContextual"/>
            </w:rPr>
          </w:pPr>
          <w:hyperlink w:anchor="_Toc149913356" w:history="1">
            <w:r w:rsidRPr="00F05E92">
              <w:rPr>
                <w:rStyle w:val="Hyperlink"/>
                <w:rFonts w:cstheme="minorHAnsi"/>
                <w:caps/>
                <w:noProof/>
                <w:spacing w:val="15"/>
                <w:shd w:val="clear" w:color="auto" w:fill="5B9BD5" w:themeFill="accent1"/>
              </w:rPr>
              <w:t>clinical reviews</w:t>
            </w:r>
            <w:r w:rsidRPr="00F05E92">
              <w:rPr>
                <w:rFonts w:cstheme="minorHAnsi"/>
                <w:noProof/>
                <w:webHidden/>
              </w:rPr>
              <w:tab/>
            </w:r>
            <w:r w:rsidRPr="00F05E92">
              <w:rPr>
                <w:rFonts w:cstheme="minorHAnsi"/>
                <w:noProof/>
                <w:webHidden/>
              </w:rPr>
              <w:fldChar w:fldCharType="begin"/>
            </w:r>
            <w:r w:rsidRPr="00F05E92">
              <w:rPr>
                <w:rFonts w:cstheme="minorHAnsi"/>
                <w:noProof/>
                <w:webHidden/>
              </w:rPr>
              <w:instrText xml:space="preserve"> PAGEREF _Toc149913356 \h </w:instrText>
            </w:r>
            <w:r w:rsidRPr="00F05E92">
              <w:rPr>
                <w:rFonts w:cstheme="minorHAnsi"/>
                <w:noProof/>
                <w:webHidden/>
              </w:rPr>
            </w:r>
            <w:r w:rsidRPr="00F05E92">
              <w:rPr>
                <w:rFonts w:cstheme="minorHAnsi"/>
                <w:noProof/>
                <w:webHidden/>
              </w:rPr>
              <w:fldChar w:fldCharType="separate"/>
            </w:r>
            <w:r w:rsidRPr="00F05E92">
              <w:rPr>
                <w:rFonts w:cstheme="minorHAnsi"/>
                <w:noProof/>
                <w:webHidden/>
              </w:rPr>
              <w:t>12</w:t>
            </w:r>
            <w:r w:rsidRPr="00F05E92">
              <w:rPr>
                <w:rFonts w:cstheme="minorHAnsi"/>
                <w:noProof/>
                <w:webHidden/>
              </w:rPr>
              <w:fldChar w:fldCharType="end"/>
            </w:r>
          </w:hyperlink>
        </w:p>
        <w:p w14:paraId="5F5976E7" w14:textId="78038A42" w:rsidR="00B002B4" w:rsidRPr="00F05E92" w:rsidRDefault="00B002B4">
          <w:pPr>
            <w:pStyle w:val="TOC1"/>
            <w:tabs>
              <w:tab w:val="right" w:leader="dot" w:pos="9350"/>
            </w:tabs>
            <w:rPr>
              <w:rFonts w:cstheme="minorHAnsi"/>
              <w:noProof/>
              <w:kern w:val="2"/>
              <w:sz w:val="22"/>
              <w:szCs w:val="22"/>
              <w14:ligatures w14:val="standardContextual"/>
            </w:rPr>
          </w:pPr>
          <w:hyperlink w:anchor="_Toc149913357" w:history="1">
            <w:r w:rsidRPr="00F05E92">
              <w:rPr>
                <w:rStyle w:val="Hyperlink"/>
                <w:rFonts w:cstheme="minorHAnsi"/>
                <w:noProof/>
                <w:sz w:val="22"/>
                <w:szCs w:val="22"/>
              </w:rPr>
              <w:t>Treatment-resistant depression: definition, prevalence, detection, management, and investigational interventions</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_Toc149913357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12</w:t>
            </w:r>
            <w:r w:rsidRPr="00F05E92">
              <w:rPr>
                <w:rFonts w:cstheme="minorHAnsi"/>
                <w:noProof/>
                <w:webHidden/>
                <w:sz w:val="22"/>
                <w:szCs w:val="22"/>
              </w:rPr>
              <w:fldChar w:fldCharType="end"/>
            </w:r>
          </w:hyperlink>
        </w:p>
        <w:p w14:paraId="06336BF1" w14:textId="2F90AD6D" w:rsidR="00B002B4" w:rsidRPr="00F05E92" w:rsidRDefault="00B002B4">
          <w:pPr>
            <w:pStyle w:val="TOC1"/>
            <w:tabs>
              <w:tab w:val="right" w:leader="dot" w:pos="9350"/>
            </w:tabs>
            <w:rPr>
              <w:rFonts w:cstheme="minorHAnsi"/>
              <w:noProof/>
              <w:kern w:val="2"/>
              <w:sz w:val="22"/>
              <w:szCs w:val="22"/>
              <w14:ligatures w14:val="standardContextual"/>
            </w:rPr>
          </w:pPr>
          <w:hyperlink w:anchor="_Toc149913358" w:history="1">
            <w:r w:rsidRPr="00F05E92">
              <w:rPr>
                <w:rStyle w:val="Hyperlink"/>
                <w:rFonts w:cstheme="minorHAnsi"/>
                <w:noProof/>
                <w:sz w:val="22"/>
                <w:szCs w:val="22"/>
              </w:rPr>
              <w:t>Psychotherapies for Generalized Anxiety Disorder in Adults: A Systematic Review and Network Meta-Analysis of Randomized Clinical Trials</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_Toc149913358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13</w:t>
            </w:r>
            <w:r w:rsidRPr="00F05E92">
              <w:rPr>
                <w:rFonts w:cstheme="minorHAnsi"/>
                <w:noProof/>
                <w:webHidden/>
                <w:sz w:val="22"/>
                <w:szCs w:val="22"/>
              </w:rPr>
              <w:fldChar w:fldCharType="end"/>
            </w:r>
          </w:hyperlink>
        </w:p>
        <w:p w14:paraId="7DC09EDD" w14:textId="178071CF" w:rsidR="00B002B4" w:rsidRPr="00F05E92" w:rsidRDefault="00B002B4">
          <w:pPr>
            <w:pStyle w:val="TOC2"/>
            <w:tabs>
              <w:tab w:val="right" w:leader="dot" w:pos="9350"/>
            </w:tabs>
            <w:rPr>
              <w:rFonts w:eastAsiaTheme="minorEastAsia" w:cstheme="minorHAnsi"/>
              <w:noProof/>
              <w:kern w:val="2"/>
              <w14:ligatures w14:val="standardContextual"/>
            </w:rPr>
          </w:pPr>
          <w:hyperlink w:anchor="_Toc149913359" w:history="1">
            <w:r w:rsidRPr="00F05E92">
              <w:rPr>
                <w:rStyle w:val="Hyperlink"/>
                <w:rFonts w:cstheme="minorHAnsi"/>
                <w:caps/>
                <w:noProof/>
                <w:spacing w:val="15"/>
                <w:shd w:val="clear" w:color="auto" w:fill="5B9BD5" w:themeFill="accent1"/>
              </w:rPr>
              <w:t>Interesting Viewpoints</w:t>
            </w:r>
            <w:r w:rsidRPr="00F05E92">
              <w:rPr>
                <w:rStyle w:val="Hyperlink"/>
                <w:rFonts w:cstheme="minorHAnsi"/>
                <w:noProof/>
              </w:rPr>
              <w:t>:</w:t>
            </w:r>
            <w:r w:rsidRPr="00F05E92">
              <w:rPr>
                <w:rFonts w:cstheme="minorHAnsi"/>
                <w:noProof/>
                <w:webHidden/>
              </w:rPr>
              <w:tab/>
            </w:r>
            <w:r w:rsidRPr="00F05E92">
              <w:rPr>
                <w:rFonts w:cstheme="minorHAnsi"/>
                <w:noProof/>
                <w:webHidden/>
              </w:rPr>
              <w:fldChar w:fldCharType="begin"/>
            </w:r>
            <w:r w:rsidRPr="00F05E92">
              <w:rPr>
                <w:rFonts w:cstheme="minorHAnsi"/>
                <w:noProof/>
                <w:webHidden/>
              </w:rPr>
              <w:instrText xml:space="preserve"> PAGEREF _Toc149913359 \h </w:instrText>
            </w:r>
            <w:r w:rsidRPr="00F05E92">
              <w:rPr>
                <w:rFonts w:cstheme="minorHAnsi"/>
                <w:noProof/>
                <w:webHidden/>
              </w:rPr>
            </w:r>
            <w:r w:rsidRPr="00F05E92">
              <w:rPr>
                <w:rFonts w:cstheme="minorHAnsi"/>
                <w:noProof/>
                <w:webHidden/>
              </w:rPr>
              <w:fldChar w:fldCharType="separate"/>
            </w:r>
            <w:r w:rsidRPr="00F05E92">
              <w:rPr>
                <w:rFonts w:cstheme="minorHAnsi"/>
                <w:noProof/>
                <w:webHidden/>
              </w:rPr>
              <w:t>15</w:t>
            </w:r>
            <w:r w:rsidRPr="00F05E92">
              <w:rPr>
                <w:rFonts w:cstheme="minorHAnsi"/>
                <w:noProof/>
                <w:webHidden/>
              </w:rPr>
              <w:fldChar w:fldCharType="end"/>
            </w:r>
          </w:hyperlink>
        </w:p>
        <w:p w14:paraId="619B8BD4" w14:textId="5DC84EF3" w:rsidR="00B002B4" w:rsidRPr="00F05E92" w:rsidRDefault="00B002B4">
          <w:pPr>
            <w:pStyle w:val="TOC1"/>
            <w:tabs>
              <w:tab w:val="right" w:leader="dot" w:pos="9350"/>
            </w:tabs>
            <w:rPr>
              <w:rFonts w:cstheme="minorHAnsi"/>
              <w:noProof/>
              <w:kern w:val="2"/>
              <w:sz w:val="22"/>
              <w:szCs w:val="22"/>
              <w14:ligatures w14:val="standardContextual"/>
            </w:rPr>
          </w:pPr>
          <w:hyperlink w:anchor="_Toc149913360" w:history="1">
            <w:r w:rsidRPr="00F05E92">
              <w:rPr>
                <w:rStyle w:val="Hyperlink"/>
                <w:rFonts w:cstheme="minorHAnsi"/>
                <w:noProof/>
                <w:sz w:val="22"/>
                <w:szCs w:val="22"/>
              </w:rPr>
              <w:t>Choosing Between Ketamine and Electroconvulsive Therapy for Outpatients With Treatment-Resistant Depression-Advantage Ketamine?</w:t>
            </w:r>
            <w:r w:rsidRPr="00F05E92">
              <w:rPr>
                <w:rFonts w:cstheme="minorHAnsi"/>
                <w:noProof/>
                <w:webHidden/>
                <w:sz w:val="22"/>
                <w:szCs w:val="22"/>
              </w:rPr>
              <w:tab/>
            </w:r>
            <w:r w:rsidRPr="00F05E92">
              <w:rPr>
                <w:rFonts w:cstheme="minorHAnsi"/>
                <w:noProof/>
                <w:webHidden/>
                <w:sz w:val="22"/>
                <w:szCs w:val="22"/>
              </w:rPr>
              <w:fldChar w:fldCharType="begin"/>
            </w:r>
            <w:r w:rsidRPr="00F05E92">
              <w:rPr>
                <w:rFonts w:cstheme="minorHAnsi"/>
                <w:noProof/>
                <w:webHidden/>
                <w:sz w:val="22"/>
                <w:szCs w:val="22"/>
              </w:rPr>
              <w:instrText xml:space="preserve"> PAGEREF _Toc149913360 \h </w:instrText>
            </w:r>
            <w:r w:rsidRPr="00F05E92">
              <w:rPr>
                <w:rFonts w:cstheme="minorHAnsi"/>
                <w:noProof/>
                <w:webHidden/>
                <w:sz w:val="22"/>
                <w:szCs w:val="22"/>
              </w:rPr>
            </w:r>
            <w:r w:rsidRPr="00F05E92">
              <w:rPr>
                <w:rFonts w:cstheme="minorHAnsi"/>
                <w:noProof/>
                <w:webHidden/>
                <w:sz w:val="22"/>
                <w:szCs w:val="22"/>
              </w:rPr>
              <w:fldChar w:fldCharType="separate"/>
            </w:r>
            <w:r w:rsidRPr="00F05E92">
              <w:rPr>
                <w:rFonts w:cstheme="minorHAnsi"/>
                <w:noProof/>
                <w:webHidden/>
                <w:sz w:val="22"/>
                <w:szCs w:val="22"/>
              </w:rPr>
              <w:t>15</w:t>
            </w:r>
            <w:r w:rsidRPr="00F05E92">
              <w:rPr>
                <w:rFonts w:cstheme="minorHAnsi"/>
                <w:noProof/>
                <w:webHidden/>
                <w:sz w:val="22"/>
                <w:szCs w:val="22"/>
              </w:rPr>
              <w:fldChar w:fldCharType="end"/>
            </w:r>
          </w:hyperlink>
        </w:p>
        <w:p w14:paraId="47C94D3A" w14:textId="2750347C" w:rsidR="0045378A" w:rsidRPr="00F05E92" w:rsidRDefault="00DF2746" w:rsidP="0045378A">
          <w:pPr>
            <w:rPr>
              <w:rFonts w:cstheme="minorHAnsi"/>
              <w:noProof/>
            </w:rPr>
          </w:pPr>
          <w:r w:rsidRPr="00F05E92">
            <w:rPr>
              <w:rFonts w:cstheme="minorHAnsi"/>
              <w:noProof/>
            </w:rPr>
            <w:fldChar w:fldCharType="end"/>
          </w:r>
        </w:p>
      </w:sdtContent>
    </w:sdt>
    <w:p w14:paraId="6D8D8253" w14:textId="77777777" w:rsidR="00941E18" w:rsidRPr="00F05E92" w:rsidRDefault="00941E18" w:rsidP="0045378A">
      <w:pPr>
        <w:rPr>
          <w:rFonts w:cstheme="minorHAnsi"/>
          <w:noProof/>
        </w:rPr>
      </w:pPr>
    </w:p>
    <w:p w14:paraId="3E22BF1B" w14:textId="18602239" w:rsidR="008D1928" w:rsidRPr="00F05E92" w:rsidRDefault="008D1928" w:rsidP="008D1928">
      <w:pPr>
        <w:pStyle w:val="paragraph"/>
        <w:spacing w:before="0" w:beforeAutospacing="0" w:after="0" w:afterAutospacing="0"/>
        <w:textAlignment w:val="baseline"/>
        <w:rPr>
          <w:rStyle w:val="eop"/>
          <w:rFonts w:asciiTheme="minorHAnsi" w:hAnsiTheme="minorHAnsi" w:cstheme="minorHAnsi"/>
          <w:color w:val="212121"/>
          <w:sz w:val="22"/>
          <w:szCs w:val="22"/>
        </w:rPr>
      </w:pPr>
      <w:r w:rsidRPr="00F05E92">
        <w:rPr>
          <w:rStyle w:val="eop"/>
          <w:rFonts w:asciiTheme="minorHAnsi" w:hAnsiTheme="minorHAnsi" w:cstheme="minorHAnsi"/>
          <w:color w:val="212121"/>
          <w:sz w:val="22"/>
          <w:szCs w:val="22"/>
        </w:rPr>
        <w:t>  </w:t>
      </w:r>
    </w:p>
    <w:p w14:paraId="1BF0F7EF" w14:textId="77777777" w:rsidR="00F05E92" w:rsidRPr="00F05E92" w:rsidRDefault="00F05E92" w:rsidP="008D1928">
      <w:pPr>
        <w:pStyle w:val="paragraph"/>
        <w:spacing w:before="0" w:beforeAutospacing="0" w:after="0" w:afterAutospacing="0"/>
        <w:textAlignment w:val="baseline"/>
        <w:rPr>
          <w:rStyle w:val="eop"/>
          <w:rFonts w:asciiTheme="minorHAnsi" w:hAnsiTheme="minorHAnsi" w:cstheme="minorHAnsi"/>
          <w:color w:val="212121"/>
          <w:sz w:val="22"/>
          <w:szCs w:val="22"/>
        </w:rPr>
      </w:pPr>
    </w:p>
    <w:p w14:paraId="105766B0" w14:textId="77777777" w:rsidR="00F05E92" w:rsidRPr="00F05E92" w:rsidRDefault="00F05E92" w:rsidP="008D1928">
      <w:pPr>
        <w:pStyle w:val="paragraph"/>
        <w:spacing w:before="0" w:beforeAutospacing="0" w:after="0" w:afterAutospacing="0"/>
        <w:textAlignment w:val="baseline"/>
        <w:rPr>
          <w:rStyle w:val="eop"/>
          <w:rFonts w:asciiTheme="minorHAnsi" w:hAnsiTheme="minorHAnsi" w:cstheme="minorHAnsi"/>
          <w:color w:val="212121"/>
          <w:sz w:val="22"/>
          <w:szCs w:val="22"/>
        </w:rPr>
      </w:pPr>
    </w:p>
    <w:p w14:paraId="7E578FE2" w14:textId="77777777" w:rsidR="00F05E92" w:rsidRPr="00F05E92" w:rsidRDefault="00F05E92" w:rsidP="008D1928">
      <w:pPr>
        <w:pStyle w:val="paragraph"/>
        <w:spacing w:before="0" w:beforeAutospacing="0" w:after="0" w:afterAutospacing="0"/>
        <w:textAlignment w:val="baseline"/>
        <w:rPr>
          <w:rFonts w:asciiTheme="minorHAnsi" w:hAnsiTheme="minorHAnsi" w:cstheme="minorHAnsi"/>
          <w:sz w:val="22"/>
          <w:szCs w:val="22"/>
        </w:rPr>
      </w:pPr>
    </w:p>
    <w:p w14:paraId="0BE974B8" w14:textId="38AD346C" w:rsidR="001E0169" w:rsidRPr="00F05E92" w:rsidRDefault="001E0169" w:rsidP="001E0169">
      <w:pPr>
        <w:pStyle w:val="Heading1"/>
        <w:shd w:val="clear" w:color="auto" w:fill="FFFFFF"/>
        <w:rPr>
          <w:rFonts w:cstheme="minorHAnsi"/>
          <w:color w:val="212121"/>
        </w:rPr>
      </w:pPr>
      <w:bookmarkStart w:id="0" w:name="_Toc149913346"/>
      <w:r w:rsidRPr="00F05E92">
        <w:rPr>
          <w:rFonts w:cstheme="minorHAnsi"/>
          <w:color w:val="212121"/>
        </w:rPr>
        <w:lastRenderedPageBreak/>
        <w:t>Antipsychotic dose reduction and discontinuation versus maintenance treatment in people with schizophrenia and other recurrent psychotic disorders in England (the RADAR trial): an open, parallel-group, randomised controlled trial</w:t>
      </w:r>
      <w:bookmarkEnd w:id="0"/>
    </w:p>
    <w:p w14:paraId="7DDF7194" w14:textId="77777777" w:rsidR="00FF2BF2" w:rsidRPr="00F05E92" w:rsidRDefault="00FF2BF2" w:rsidP="006C0895">
      <w:pPr>
        <w:pStyle w:val="Heading2"/>
        <w:rPr>
          <w:rStyle w:val="Heading1Char"/>
          <w:rFonts w:asciiTheme="minorHAnsi" w:hAnsiTheme="minorHAnsi" w:cstheme="minorHAnsi"/>
          <w:sz w:val="22"/>
          <w:szCs w:val="22"/>
        </w:rPr>
      </w:pPr>
    </w:p>
    <w:p w14:paraId="611A8B75" w14:textId="311EF610" w:rsidR="001E0169" w:rsidRPr="00F05E92" w:rsidRDefault="001E0169" w:rsidP="001E0169">
      <w:pPr>
        <w:rPr>
          <w:rFonts w:cstheme="minorHAnsi"/>
        </w:rPr>
      </w:pPr>
      <w:r w:rsidRPr="00F05E92">
        <w:rPr>
          <w:rFonts w:cstheme="minorHAnsi"/>
          <w:color w:val="212121"/>
          <w:shd w:val="clear" w:color="auto" w:fill="FFFFFF"/>
        </w:rPr>
        <w:t xml:space="preserve">Moncrieff J, </w:t>
      </w:r>
      <w:proofErr w:type="spellStart"/>
      <w:r w:rsidRPr="00F05E92">
        <w:rPr>
          <w:rFonts w:cstheme="minorHAnsi"/>
          <w:color w:val="212121"/>
          <w:shd w:val="clear" w:color="auto" w:fill="FFFFFF"/>
        </w:rPr>
        <w:t>Crellin</w:t>
      </w:r>
      <w:proofErr w:type="spellEnd"/>
      <w:r w:rsidRPr="00F05E92">
        <w:rPr>
          <w:rFonts w:cstheme="minorHAnsi"/>
          <w:color w:val="212121"/>
          <w:shd w:val="clear" w:color="auto" w:fill="FFFFFF"/>
        </w:rPr>
        <w:t xml:space="preserve"> N, </w:t>
      </w:r>
      <w:proofErr w:type="spellStart"/>
      <w:r w:rsidRPr="00F05E92">
        <w:rPr>
          <w:rFonts w:cstheme="minorHAnsi"/>
          <w:color w:val="212121"/>
          <w:shd w:val="clear" w:color="auto" w:fill="FFFFFF"/>
        </w:rPr>
        <w:t>Stansfeld</w:t>
      </w:r>
      <w:proofErr w:type="spellEnd"/>
      <w:r w:rsidRPr="00F05E92">
        <w:rPr>
          <w:rFonts w:cstheme="minorHAnsi"/>
          <w:color w:val="212121"/>
          <w:shd w:val="clear" w:color="auto" w:fill="FFFFFF"/>
        </w:rPr>
        <w:t xml:space="preserve"> J, Cooper R, Marston L, Freemantle N, Lewis G, Hunter R, Johnson S, Barnes T, Morant N, Pinfold V, Smith R, Kent L, </w:t>
      </w:r>
      <w:proofErr w:type="spellStart"/>
      <w:r w:rsidRPr="00F05E92">
        <w:rPr>
          <w:rFonts w:cstheme="minorHAnsi"/>
          <w:color w:val="212121"/>
          <w:shd w:val="clear" w:color="auto" w:fill="FFFFFF"/>
        </w:rPr>
        <w:t>Darton</w:t>
      </w:r>
      <w:proofErr w:type="spellEnd"/>
      <w:r w:rsidRPr="00F05E92">
        <w:rPr>
          <w:rFonts w:cstheme="minorHAnsi"/>
          <w:color w:val="212121"/>
          <w:shd w:val="clear" w:color="auto" w:fill="FFFFFF"/>
        </w:rPr>
        <w:t xml:space="preserve"> K, Long M, Horowitz M, Horne R, </w:t>
      </w:r>
      <w:proofErr w:type="spellStart"/>
      <w:r w:rsidRPr="00F05E92">
        <w:rPr>
          <w:rFonts w:cstheme="minorHAnsi"/>
          <w:color w:val="212121"/>
          <w:shd w:val="clear" w:color="auto" w:fill="FFFFFF"/>
        </w:rPr>
        <w:t>Vickerstaff</w:t>
      </w:r>
      <w:proofErr w:type="spellEnd"/>
      <w:r w:rsidRPr="00F05E92">
        <w:rPr>
          <w:rFonts w:cstheme="minorHAnsi"/>
          <w:color w:val="212121"/>
          <w:shd w:val="clear" w:color="auto" w:fill="FFFFFF"/>
        </w:rPr>
        <w:t xml:space="preserve"> V, Jha M, Priebe S. Antipsychotic dose reduction and discontinuation versus maintenance treatment in people with schizophrenia and other recurrent psychotic disorders in England (the RADAR trial): an open, parallel-group, </w:t>
      </w:r>
      <w:proofErr w:type="spellStart"/>
      <w:r w:rsidRPr="00F05E92">
        <w:rPr>
          <w:rFonts w:cstheme="minorHAnsi"/>
          <w:color w:val="212121"/>
          <w:shd w:val="clear" w:color="auto" w:fill="FFFFFF"/>
        </w:rPr>
        <w:t>randomised</w:t>
      </w:r>
      <w:proofErr w:type="spellEnd"/>
      <w:r w:rsidRPr="00F05E92">
        <w:rPr>
          <w:rFonts w:cstheme="minorHAnsi"/>
          <w:color w:val="212121"/>
          <w:shd w:val="clear" w:color="auto" w:fill="FFFFFF"/>
        </w:rPr>
        <w:t xml:space="preserve"> controlled trial. Lancet Psychiatry. 2023 Nov;10(11):848-859. </w:t>
      </w:r>
      <w:proofErr w:type="spellStart"/>
      <w:r w:rsidRPr="00F05E92">
        <w:rPr>
          <w:rFonts w:cstheme="minorHAnsi"/>
          <w:color w:val="212121"/>
          <w:shd w:val="clear" w:color="auto" w:fill="FFFFFF"/>
        </w:rPr>
        <w:t>doi</w:t>
      </w:r>
      <w:proofErr w:type="spellEnd"/>
      <w:r w:rsidRPr="00F05E92">
        <w:rPr>
          <w:rFonts w:cstheme="minorHAnsi"/>
          <w:color w:val="212121"/>
          <w:shd w:val="clear" w:color="auto" w:fill="FFFFFF"/>
        </w:rPr>
        <w:t xml:space="preserve">: 10.1016/S2215-0366(23)00258-4. </w:t>
      </w:r>
      <w:proofErr w:type="spellStart"/>
      <w:r w:rsidRPr="00F05E92">
        <w:rPr>
          <w:rFonts w:cstheme="minorHAnsi"/>
          <w:color w:val="212121"/>
          <w:shd w:val="clear" w:color="auto" w:fill="FFFFFF"/>
        </w:rPr>
        <w:t>Epub</w:t>
      </w:r>
      <w:proofErr w:type="spellEnd"/>
      <w:r w:rsidRPr="00F05E92">
        <w:rPr>
          <w:rFonts w:cstheme="minorHAnsi"/>
          <w:color w:val="212121"/>
          <w:shd w:val="clear" w:color="auto" w:fill="FFFFFF"/>
        </w:rPr>
        <w:t xml:space="preserve"> 2023 Sep 28. Erratum in: Lancet Psychiatry. 2023 Nov;10(11</w:t>
      </w:r>
      <w:proofErr w:type="gramStart"/>
      <w:r w:rsidRPr="00F05E92">
        <w:rPr>
          <w:rFonts w:cstheme="minorHAnsi"/>
          <w:color w:val="212121"/>
          <w:shd w:val="clear" w:color="auto" w:fill="FFFFFF"/>
        </w:rPr>
        <w:t>):e</w:t>
      </w:r>
      <w:proofErr w:type="gramEnd"/>
      <w:r w:rsidRPr="00F05E92">
        <w:rPr>
          <w:rFonts w:cstheme="minorHAnsi"/>
          <w:color w:val="212121"/>
          <w:shd w:val="clear" w:color="auto" w:fill="FFFFFF"/>
        </w:rPr>
        <w:t xml:space="preserve">29. </w:t>
      </w:r>
      <w:hyperlink r:id="rId8" w:history="1">
        <w:r w:rsidRPr="00F05E92">
          <w:rPr>
            <w:rStyle w:val="Hyperlink"/>
            <w:rFonts w:cstheme="minorHAnsi"/>
            <w:shd w:val="clear" w:color="auto" w:fill="FFFFFF"/>
          </w:rPr>
          <w:t>PMID: 37778356.</w:t>
        </w:r>
      </w:hyperlink>
    </w:p>
    <w:p w14:paraId="2DE7BE5D" w14:textId="77777777" w:rsidR="00C76551" w:rsidRPr="00F05E92" w:rsidRDefault="00C76551" w:rsidP="00C76551">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Background: </w:t>
      </w:r>
      <w:r w:rsidRPr="00F05E92">
        <w:rPr>
          <w:rFonts w:asciiTheme="minorHAnsi" w:hAnsiTheme="minorHAnsi" w:cstheme="minorHAnsi"/>
          <w:color w:val="212121"/>
          <w:sz w:val="22"/>
          <w:szCs w:val="22"/>
        </w:rPr>
        <w:t>Maintenance antipsychotic medication is recommended for people with schizophrenia or recurrent psychosis, but the adverse effects are burdensome, and evidence on long-term outcomes is sparse. We aimed to assess the benefits and harms of a gradual process of antipsychotic reduction compared with maintenance treatment. Our hypothesis was that antipsychotic reduction would improve social functioning with a short-term increase in relapse.</w:t>
      </w:r>
    </w:p>
    <w:p w14:paraId="2E7EB2C7" w14:textId="77777777" w:rsidR="00C76551" w:rsidRPr="00F05E92" w:rsidRDefault="00C76551" w:rsidP="00C76551">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Methods: </w:t>
      </w:r>
      <w:r w:rsidRPr="00F05E92">
        <w:rPr>
          <w:rFonts w:asciiTheme="minorHAnsi" w:hAnsiTheme="minorHAnsi" w:cstheme="minorHAnsi"/>
          <w:color w:val="212121"/>
          <w:sz w:val="22"/>
          <w:szCs w:val="22"/>
        </w:rPr>
        <w:t xml:space="preserve">RADAR was an open, parallel-group, </w:t>
      </w:r>
      <w:proofErr w:type="spellStart"/>
      <w:r w:rsidRPr="00F05E92">
        <w:rPr>
          <w:rFonts w:asciiTheme="minorHAnsi" w:hAnsiTheme="minorHAnsi" w:cstheme="minorHAnsi"/>
          <w:color w:val="212121"/>
          <w:sz w:val="22"/>
          <w:szCs w:val="22"/>
        </w:rPr>
        <w:t>randomised</w:t>
      </w:r>
      <w:proofErr w:type="spellEnd"/>
      <w:r w:rsidRPr="00F05E92">
        <w:rPr>
          <w:rFonts w:asciiTheme="minorHAnsi" w:hAnsiTheme="minorHAnsi" w:cstheme="minorHAnsi"/>
          <w:color w:val="212121"/>
          <w:sz w:val="22"/>
          <w:szCs w:val="22"/>
        </w:rPr>
        <w:t xml:space="preserve"> trial done in 19 National Health Service Trusts in England. Participants were aged 18 years and older, had a diagnosis of recurrent, non-affective psychotic disorder, and were prescribed an antipsychotic. Exclusion criteria included people who had a mental health crisis or hospital admission in the past month, were considered to pose a serious risk to themselves or others by a treating </w:t>
      </w:r>
      <w:proofErr w:type="gramStart"/>
      <w:r w:rsidRPr="00F05E92">
        <w:rPr>
          <w:rFonts w:asciiTheme="minorHAnsi" w:hAnsiTheme="minorHAnsi" w:cstheme="minorHAnsi"/>
          <w:color w:val="212121"/>
          <w:sz w:val="22"/>
          <w:szCs w:val="22"/>
        </w:rPr>
        <w:t>clinician, or</w:t>
      </w:r>
      <w:proofErr w:type="gramEnd"/>
      <w:r w:rsidRPr="00F05E92">
        <w:rPr>
          <w:rFonts w:asciiTheme="minorHAnsi" w:hAnsiTheme="minorHAnsi" w:cstheme="minorHAnsi"/>
          <w:color w:val="212121"/>
          <w:sz w:val="22"/>
          <w:szCs w:val="22"/>
        </w:rPr>
        <w:t xml:space="preserve"> were mandated to take antipsychotic medication under the Mental Health Act. Through an independent, internet-based system, participants were randomly assigned (1:1) to gradual, flexible antipsychotic reduction, overseen by treating clinicians, or to maintenance. Participants and clinicians were aware of treatment allocations, but assessors were masked to them. Follow-up was for 2 years. Social functioning, assessed by the Social Functioning Scale, was the primary outcome. The principal secondary outcome was severe relapse, defined as requiring admission to hospital. Analysis was done blind to group identity using intention-to-treat data. The trial is completed and has been registered with ISRCTN registry (ISRCTN90298520) and with ClinicalTrials.gov (</w:t>
      </w:r>
      <w:hyperlink r:id="rId9" w:tooltip="See in ClinicalTrials.gov" w:history="1">
        <w:r w:rsidRPr="00F05E92">
          <w:rPr>
            <w:rStyle w:val="Hyperlink"/>
            <w:rFonts w:asciiTheme="minorHAnsi" w:hAnsiTheme="minorHAnsi" w:cstheme="minorHAnsi"/>
            <w:color w:val="0071BC"/>
            <w:sz w:val="22"/>
            <w:szCs w:val="22"/>
          </w:rPr>
          <w:t>NCT03559426</w:t>
        </w:r>
      </w:hyperlink>
      <w:r w:rsidRPr="00F05E92">
        <w:rPr>
          <w:rFonts w:asciiTheme="minorHAnsi" w:hAnsiTheme="minorHAnsi" w:cstheme="minorHAnsi"/>
          <w:color w:val="212121"/>
          <w:sz w:val="22"/>
          <w:szCs w:val="22"/>
        </w:rPr>
        <w:t>).</w:t>
      </w:r>
    </w:p>
    <w:p w14:paraId="4D9D5096" w14:textId="77777777" w:rsidR="00C76551" w:rsidRPr="00F05E92" w:rsidRDefault="00C76551" w:rsidP="00C76551">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Findings: </w:t>
      </w:r>
      <w:r w:rsidRPr="00F05E92">
        <w:rPr>
          <w:rFonts w:asciiTheme="minorHAnsi" w:hAnsiTheme="minorHAnsi" w:cstheme="minorHAnsi"/>
          <w:color w:val="212121"/>
          <w:sz w:val="22"/>
          <w:szCs w:val="22"/>
        </w:rPr>
        <w:t xml:space="preserve">4157 people were screened, of whom 253 were randomly allocated, including 168 (66%) men, 82 (32%) women, and 3 (1%) transgender people, with a mean age of 46 years (SD 12, range 22-79). 171 (67%) participants were White, 52 (21%) were Black, 16 (6%) were Asian, and 12 (5%) were of </w:t>
      </w:r>
      <w:proofErr w:type="gramStart"/>
      <w:r w:rsidRPr="00F05E92">
        <w:rPr>
          <w:rFonts w:asciiTheme="minorHAnsi" w:hAnsiTheme="minorHAnsi" w:cstheme="minorHAnsi"/>
          <w:color w:val="212121"/>
          <w:sz w:val="22"/>
          <w:szCs w:val="22"/>
        </w:rPr>
        <w:t>other</w:t>
      </w:r>
      <w:proofErr w:type="gramEnd"/>
      <w:r w:rsidRPr="00F05E92">
        <w:rPr>
          <w:rFonts w:asciiTheme="minorHAnsi" w:hAnsiTheme="minorHAnsi" w:cstheme="minorHAnsi"/>
          <w:color w:val="212121"/>
          <w:sz w:val="22"/>
          <w:szCs w:val="22"/>
        </w:rPr>
        <w:t xml:space="preserve"> ethnicity. The median dose reduction at any point during the trial was 67% in the reduction group and zero in the maintenance group; at 24 months it was 33% versus zero. At the 24-month follow-up, we assessed 90 of 126 people assigned to the antipsychotic dose reduction group and 94 of 127 assigned to the maintenance group, finding no difference in the Social Functioning Scale (β 0·19, 95% CI -1·94 to 2·33; p=0·86). There were 93 serious adverse events in the reduction group affecting 49 individuals, mainly comprising admission for a mental health relapse, and 64 in the maintenance group, relating to 29 individuals.</w:t>
      </w:r>
    </w:p>
    <w:p w14:paraId="27297198" w14:textId="77777777" w:rsidR="00C76551" w:rsidRPr="00F05E92" w:rsidRDefault="00C76551" w:rsidP="00C76551">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lastRenderedPageBreak/>
        <w:t>Interpretation: </w:t>
      </w:r>
      <w:r w:rsidRPr="00F05E92">
        <w:rPr>
          <w:rFonts w:asciiTheme="minorHAnsi" w:hAnsiTheme="minorHAnsi" w:cstheme="minorHAnsi"/>
          <w:color w:val="212121"/>
          <w:sz w:val="22"/>
          <w:szCs w:val="22"/>
        </w:rPr>
        <w:t>At 2-year follow-up, a gradual, supported process of antipsychotic dose reduction had no effect on social functioning. Our data can help to inform decisions about the use of long-term antipsychotic medication.</w:t>
      </w:r>
    </w:p>
    <w:p w14:paraId="019CF280" w14:textId="77777777" w:rsidR="001E0169" w:rsidRPr="00F05E92" w:rsidRDefault="001E0169" w:rsidP="001E0169">
      <w:pPr>
        <w:rPr>
          <w:rFonts w:cstheme="minorHAnsi"/>
        </w:rPr>
      </w:pPr>
    </w:p>
    <w:p w14:paraId="1A14010B" w14:textId="77777777" w:rsidR="00731277" w:rsidRPr="00F05E92" w:rsidRDefault="00731277" w:rsidP="00731277">
      <w:pPr>
        <w:pStyle w:val="Heading1"/>
        <w:shd w:val="clear" w:color="auto" w:fill="FFFFFF"/>
        <w:rPr>
          <w:rFonts w:cstheme="minorHAnsi"/>
          <w:color w:val="212121"/>
        </w:rPr>
      </w:pPr>
      <w:bookmarkStart w:id="1" w:name="_Toc149913347"/>
      <w:r w:rsidRPr="00F05E92">
        <w:rPr>
          <w:rFonts w:cstheme="minorHAnsi"/>
          <w:color w:val="212121"/>
        </w:rPr>
        <w:t>Treatment Outcomes With Licensed and Unlicensed Stimulant Doses for Adults With Attention-Deficit/Hyperactivity Disorder: A Systematic Review and Meta-Analysis</w:t>
      </w:r>
      <w:bookmarkEnd w:id="1"/>
    </w:p>
    <w:p w14:paraId="468D2FFC" w14:textId="77777777" w:rsidR="00FF2BF2" w:rsidRPr="00F05E92" w:rsidRDefault="00FF2BF2" w:rsidP="006C0895">
      <w:pPr>
        <w:pStyle w:val="Heading2"/>
        <w:rPr>
          <w:rStyle w:val="Heading1Char"/>
          <w:rFonts w:asciiTheme="minorHAnsi" w:hAnsiTheme="minorHAnsi" w:cstheme="minorHAnsi"/>
          <w:sz w:val="22"/>
          <w:szCs w:val="22"/>
        </w:rPr>
      </w:pPr>
    </w:p>
    <w:p w14:paraId="6A829596" w14:textId="751D8F7D" w:rsidR="00731277" w:rsidRPr="00F05E92" w:rsidRDefault="00731277" w:rsidP="00731277">
      <w:pPr>
        <w:rPr>
          <w:rFonts w:cstheme="minorHAnsi"/>
          <w:color w:val="212121"/>
          <w:shd w:val="clear" w:color="auto" w:fill="FFFFFF"/>
        </w:rPr>
      </w:pPr>
      <w:r w:rsidRPr="00F05E92">
        <w:rPr>
          <w:rFonts w:cstheme="minorHAnsi"/>
          <w:color w:val="212121"/>
          <w:shd w:val="clear" w:color="auto" w:fill="FFFFFF"/>
        </w:rPr>
        <w:t xml:space="preserve">Farhat LC, Flores JM, Avila-Quintero VJ, </w:t>
      </w:r>
      <w:proofErr w:type="spellStart"/>
      <w:r w:rsidRPr="00F05E92">
        <w:rPr>
          <w:rFonts w:cstheme="minorHAnsi"/>
          <w:color w:val="212121"/>
          <w:shd w:val="clear" w:color="auto" w:fill="FFFFFF"/>
        </w:rPr>
        <w:t>Polanczyk</w:t>
      </w:r>
      <w:proofErr w:type="spellEnd"/>
      <w:r w:rsidRPr="00F05E92">
        <w:rPr>
          <w:rFonts w:cstheme="minorHAnsi"/>
          <w:color w:val="212121"/>
          <w:shd w:val="clear" w:color="auto" w:fill="FFFFFF"/>
        </w:rPr>
        <w:t xml:space="preserve"> GV, Cipriani A, Furukawa TA, Bloch MH, Cortese S. Treatment Outcomes </w:t>
      </w:r>
      <w:proofErr w:type="gramStart"/>
      <w:r w:rsidRPr="00F05E92">
        <w:rPr>
          <w:rFonts w:cstheme="minorHAnsi"/>
          <w:color w:val="212121"/>
          <w:shd w:val="clear" w:color="auto" w:fill="FFFFFF"/>
        </w:rPr>
        <w:t>With</w:t>
      </w:r>
      <w:proofErr w:type="gramEnd"/>
      <w:r w:rsidRPr="00F05E92">
        <w:rPr>
          <w:rFonts w:cstheme="minorHAnsi"/>
          <w:color w:val="212121"/>
          <w:shd w:val="clear" w:color="auto" w:fill="FFFFFF"/>
        </w:rPr>
        <w:t xml:space="preserve"> Licensed and Unlicensed Stimulant Doses for Adults With Attention-Deficit/Hyperactivity Disorder: A Systematic Review and Meta-Analysis. JAMA Psychiatry. 2023 Oct </w:t>
      </w:r>
      <w:proofErr w:type="gramStart"/>
      <w:r w:rsidRPr="00F05E92">
        <w:rPr>
          <w:rFonts w:cstheme="minorHAnsi"/>
          <w:color w:val="212121"/>
          <w:shd w:val="clear" w:color="auto" w:fill="FFFFFF"/>
        </w:rPr>
        <w:t>25:e</w:t>
      </w:r>
      <w:proofErr w:type="gramEnd"/>
      <w:r w:rsidRPr="00F05E92">
        <w:rPr>
          <w:rFonts w:cstheme="minorHAnsi"/>
          <w:color w:val="212121"/>
          <w:shd w:val="clear" w:color="auto" w:fill="FFFFFF"/>
        </w:rPr>
        <w:t xml:space="preserve">233985. </w:t>
      </w:r>
      <w:proofErr w:type="spellStart"/>
      <w:r w:rsidRPr="00F05E92">
        <w:rPr>
          <w:rFonts w:cstheme="minorHAnsi"/>
          <w:color w:val="212121"/>
          <w:shd w:val="clear" w:color="auto" w:fill="FFFFFF"/>
        </w:rPr>
        <w:t>doi</w:t>
      </w:r>
      <w:proofErr w:type="spellEnd"/>
      <w:r w:rsidRPr="00F05E92">
        <w:rPr>
          <w:rFonts w:cstheme="minorHAnsi"/>
          <w:color w:val="212121"/>
          <w:shd w:val="clear" w:color="auto" w:fill="FFFFFF"/>
        </w:rPr>
        <w:t xml:space="preserve">: 10.1001/jamapsychiatry.2023.3985. </w:t>
      </w:r>
      <w:proofErr w:type="spellStart"/>
      <w:r w:rsidRPr="00F05E92">
        <w:rPr>
          <w:rFonts w:cstheme="minorHAnsi"/>
          <w:color w:val="212121"/>
          <w:shd w:val="clear" w:color="auto" w:fill="FFFFFF"/>
        </w:rPr>
        <w:t>Epub</w:t>
      </w:r>
      <w:proofErr w:type="spellEnd"/>
      <w:r w:rsidRPr="00F05E92">
        <w:rPr>
          <w:rFonts w:cstheme="minorHAnsi"/>
          <w:color w:val="212121"/>
          <w:shd w:val="clear" w:color="auto" w:fill="FFFFFF"/>
        </w:rPr>
        <w:t xml:space="preserve"> ahead of print. </w:t>
      </w:r>
      <w:hyperlink r:id="rId10" w:history="1">
        <w:r w:rsidRPr="00F05E92">
          <w:rPr>
            <w:rStyle w:val="Hyperlink"/>
            <w:rFonts w:cstheme="minorHAnsi"/>
            <w:shd w:val="clear" w:color="auto" w:fill="FFFFFF"/>
          </w:rPr>
          <w:t>PMID: 37878348</w:t>
        </w:r>
      </w:hyperlink>
      <w:r w:rsidRPr="00F05E92">
        <w:rPr>
          <w:rFonts w:cstheme="minorHAnsi"/>
          <w:color w:val="212121"/>
          <w:shd w:val="clear" w:color="auto" w:fill="FFFFFF"/>
        </w:rPr>
        <w:t>; PMCID: PMC10600727.</w:t>
      </w:r>
    </w:p>
    <w:p w14:paraId="33CBB408"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Importance: </w:t>
      </w:r>
      <w:r w:rsidRPr="00F05E92">
        <w:rPr>
          <w:rFonts w:asciiTheme="minorHAnsi" w:hAnsiTheme="minorHAnsi" w:cstheme="minorHAnsi"/>
          <w:color w:val="212121"/>
          <w:sz w:val="22"/>
          <w:szCs w:val="22"/>
        </w:rPr>
        <w:t>Stimulants (methylphenidate and amphetamines) are often prescribed at unlicensed doses for adults with attention-deficit/hyperactivity disorder (ADHD). Whether dose escalation beyond US Food and Drug Administration recommendations is associated with positive risk benefits is unclear.</w:t>
      </w:r>
    </w:p>
    <w:p w14:paraId="28C6710C"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Objective: </w:t>
      </w:r>
      <w:r w:rsidRPr="00F05E92">
        <w:rPr>
          <w:rFonts w:asciiTheme="minorHAnsi" w:hAnsiTheme="minorHAnsi" w:cstheme="minorHAnsi"/>
          <w:color w:val="212121"/>
          <w:sz w:val="22"/>
          <w:szCs w:val="22"/>
        </w:rPr>
        <w:t>To investigate the impact, based on averages, of stimulant doses on treatment outcomes in adults with ADHD and to determine, based on averages, whether unlicensed doses are associated with positive risk benefits compared with licensed doses.</w:t>
      </w:r>
    </w:p>
    <w:p w14:paraId="5FEBA08A"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Data sources: </w:t>
      </w:r>
      <w:r w:rsidRPr="00F05E92">
        <w:rPr>
          <w:rFonts w:asciiTheme="minorHAnsi" w:hAnsiTheme="minorHAnsi" w:cstheme="minorHAnsi"/>
          <w:color w:val="212121"/>
          <w:sz w:val="22"/>
          <w:szCs w:val="22"/>
        </w:rPr>
        <w:t>Twelve databases, including published (PubMed, Cochrane Library, Embase, Web of Sciences) and unpublished (ClinicalTrials.gov) literature, up to February 22, 2023, without language restrictions.</w:t>
      </w:r>
    </w:p>
    <w:p w14:paraId="6D7ABD66"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Study selection: </w:t>
      </w:r>
      <w:r w:rsidRPr="00F05E92">
        <w:rPr>
          <w:rFonts w:asciiTheme="minorHAnsi" w:hAnsiTheme="minorHAnsi" w:cstheme="minorHAnsi"/>
          <w:color w:val="212121"/>
          <w:sz w:val="22"/>
          <w:szCs w:val="22"/>
        </w:rPr>
        <w:t>Two researchers independently screened records to identify double-blinded randomized clinical trials of stimulants against placebo in adults (18 years and older) with ADHD.</w:t>
      </w:r>
    </w:p>
    <w:p w14:paraId="18C0E825"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Data extraction and synthesis: </w:t>
      </w:r>
      <w:r w:rsidRPr="00F05E92">
        <w:rPr>
          <w:rFonts w:asciiTheme="minorHAnsi" w:hAnsiTheme="minorHAnsi" w:cstheme="minorHAnsi"/>
          <w:color w:val="212121"/>
          <w:sz w:val="22"/>
          <w:szCs w:val="22"/>
        </w:rPr>
        <w:t>Aggregate data were extracted and synthesized in random-effects dose-response meta-analyses and network meta-analyses.</w:t>
      </w:r>
    </w:p>
    <w:p w14:paraId="3B96911C"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Main outcome measures: </w:t>
      </w:r>
      <w:r w:rsidRPr="00F05E92">
        <w:rPr>
          <w:rFonts w:asciiTheme="minorHAnsi" w:hAnsiTheme="minorHAnsi" w:cstheme="minorHAnsi"/>
          <w:color w:val="212121"/>
          <w:sz w:val="22"/>
          <w:szCs w:val="22"/>
        </w:rPr>
        <w:t>Change in ADHD symptoms and discontinuations due to adverse events.</w:t>
      </w:r>
    </w:p>
    <w:p w14:paraId="1A49A575"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Results: </w:t>
      </w:r>
      <w:r w:rsidRPr="00F05E92">
        <w:rPr>
          <w:rFonts w:asciiTheme="minorHAnsi" w:hAnsiTheme="minorHAnsi" w:cstheme="minorHAnsi"/>
          <w:color w:val="212121"/>
          <w:sz w:val="22"/>
          <w:szCs w:val="22"/>
        </w:rPr>
        <w:t xml:space="preserve">A total of 47 randomized clinical trials (7714 participants; mean age, 35 (SD, 11) years; 4204 </w:t>
      </w:r>
      <w:proofErr w:type="gramStart"/>
      <w:r w:rsidRPr="00F05E92">
        <w:rPr>
          <w:rFonts w:asciiTheme="minorHAnsi" w:hAnsiTheme="minorHAnsi" w:cstheme="minorHAnsi"/>
          <w:color w:val="212121"/>
          <w:sz w:val="22"/>
          <w:szCs w:val="22"/>
        </w:rPr>
        <w:t>male</w:t>
      </w:r>
      <w:proofErr w:type="gramEnd"/>
      <w:r w:rsidRPr="00F05E92">
        <w:rPr>
          <w:rFonts w:asciiTheme="minorHAnsi" w:hAnsiTheme="minorHAnsi" w:cstheme="minorHAnsi"/>
          <w:color w:val="212121"/>
          <w:sz w:val="22"/>
          <w:szCs w:val="22"/>
        </w:rPr>
        <w:t xml:space="preserve"> [56%]) were included. For methylphenidate, dose-response curves indicated additional reductions of symptoms with increments in doses, but the gains were progressively smaller and accompanied by continued additional risk of adverse events dropouts. Network meta-analyses showed that unlicensed doses were associated with greater reductions of symptoms compared with licensed doses (standardized mean difference [SMD], -0.23; 95% CI, -0.44 to -0.02; very low certainty of evidence), but the additional gain was small and accompanied by increased risk of adverse event dropouts (odds ratio, 2.02; 95% CI, 1.19-3.43; moderate certainty of evidence). For amphetamines, the dose-response curve approached a plateau and increments in doses did not indicate additional reductions of symptoms, but there were continued increments in the risk of adverse event dropouts. Network meta-analysis did not </w:t>
      </w:r>
      <w:r w:rsidRPr="00F05E92">
        <w:rPr>
          <w:rFonts w:asciiTheme="minorHAnsi" w:hAnsiTheme="minorHAnsi" w:cstheme="minorHAnsi"/>
          <w:color w:val="212121"/>
          <w:sz w:val="22"/>
          <w:szCs w:val="22"/>
        </w:rPr>
        <w:lastRenderedPageBreak/>
        <w:t>identify differences between unlicensed and licensed doses for reductions of symptoms (SMD, -0.08; 95% CI, -0.24 to 0.08; very low certainty of evidence).</w:t>
      </w:r>
    </w:p>
    <w:p w14:paraId="165D3B85" w14:textId="77777777" w:rsidR="006A7B6C" w:rsidRPr="00F05E92" w:rsidRDefault="006A7B6C" w:rsidP="006A7B6C">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Conclusions and relevance: </w:t>
      </w:r>
      <w:r w:rsidRPr="00F05E92">
        <w:rPr>
          <w:rFonts w:asciiTheme="minorHAnsi" w:hAnsiTheme="minorHAnsi" w:cstheme="minorHAnsi"/>
          <w:color w:val="212121"/>
          <w:sz w:val="22"/>
          <w:szCs w:val="22"/>
        </w:rPr>
        <w:t>Based on group averages, unlicensed doses of stimulants may not have positive risk benefits compared with licensed doses for adults with ADHD. In general, practitioners should consider unlicensed doses cautiously. Practitioners may trial unlicensed doses if needed and tolerated but should be aware that there may not be large gains in the response to the medication with those further increments in dose. However, the findings are averages and will not generalize to every patient.</w:t>
      </w:r>
    </w:p>
    <w:p w14:paraId="7E07BE50" w14:textId="77777777" w:rsidR="00A108FA" w:rsidRPr="00F05E92" w:rsidRDefault="00A108FA" w:rsidP="00A108FA">
      <w:pPr>
        <w:pStyle w:val="Heading1"/>
        <w:shd w:val="clear" w:color="auto" w:fill="FFFFFF"/>
        <w:rPr>
          <w:rFonts w:cstheme="minorHAnsi"/>
          <w:color w:val="212121"/>
        </w:rPr>
      </w:pPr>
      <w:bookmarkStart w:id="2" w:name="_Toc149913348"/>
      <w:r w:rsidRPr="00F05E92">
        <w:rPr>
          <w:rFonts w:cstheme="minorHAnsi"/>
          <w:color w:val="212121"/>
        </w:rPr>
        <w:t>Changes in Cannabis-Attributable Hospitalizations Following Nonmedical Cannabis Legalization in Canada</w:t>
      </w:r>
      <w:bookmarkEnd w:id="2"/>
    </w:p>
    <w:p w14:paraId="63353679" w14:textId="77777777" w:rsidR="006A7B6C" w:rsidRPr="00F05E92" w:rsidRDefault="006A7B6C" w:rsidP="00731277">
      <w:pPr>
        <w:rPr>
          <w:rFonts w:cstheme="minorHAnsi"/>
        </w:rPr>
      </w:pPr>
    </w:p>
    <w:p w14:paraId="4E230599" w14:textId="51ED7751" w:rsidR="00A108FA" w:rsidRPr="00F05E92" w:rsidRDefault="00A108FA" w:rsidP="00731277">
      <w:pPr>
        <w:rPr>
          <w:rFonts w:cstheme="minorHAnsi"/>
          <w:color w:val="212121"/>
          <w:shd w:val="clear" w:color="auto" w:fill="FFFFFF"/>
        </w:rPr>
      </w:pPr>
      <w:proofErr w:type="spellStart"/>
      <w:r w:rsidRPr="00F05E92">
        <w:rPr>
          <w:rFonts w:cstheme="minorHAnsi"/>
          <w:color w:val="212121"/>
          <w:shd w:val="clear" w:color="auto" w:fill="FFFFFF"/>
        </w:rPr>
        <w:t>Myran</w:t>
      </w:r>
      <w:proofErr w:type="spellEnd"/>
      <w:r w:rsidRPr="00F05E92">
        <w:rPr>
          <w:rFonts w:cstheme="minorHAnsi"/>
          <w:color w:val="212121"/>
          <w:shd w:val="clear" w:color="auto" w:fill="FFFFFF"/>
        </w:rPr>
        <w:t xml:space="preserve"> DT, Gaudreault A, </w:t>
      </w:r>
      <w:proofErr w:type="spellStart"/>
      <w:r w:rsidRPr="00F05E92">
        <w:rPr>
          <w:rFonts w:cstheme="minorHAnsi"/>
          <w:color w:val="212121"/>
          <w:shd w:val="clear" w:color="auto" w:fill="FFFFFF"/>
        </w:rPr>
        <w:t>Konikoff</w:t>
      </w:r>
      <w:proofErr w:type="spellEnd"/>
      <w:r w:rsidRPr="00F05E92">
        <w:rPr>
          <w:rFonts w:cstheme="minorHAnsi"/>
          <w:color w:val="212121"/>
          <w:shd w:val="clear" w:color="auto" w:fill="FFFFFF"/>
        </w:rPr>
        <w:t xml:space="preserve"> L, </w:t>
      </w:r>
      <w:proofErr w:type="spellStart"/>
      <w:r w:rsidRPr="00F05E92">
        <w:rPr>
          <w:rFonts w:cstheme="minorHAnsi"/>
          <w:color w:val="212121"/>
          <w:shd w:val="clear" w:color="auto" w:fill="FFFFFF"/>
        </w:rPr>
        <w:t>Talarico</w:t>
      </w:r>
      <w:proofErr w:type="spellEnd"/>
      <w:r w:rsidRPr="00F05E92">
        <w:rPr>
          <w:rFonts w:cstheme="minorHAnsi"/>
          <w:color w:val="212121"/>
          <w:shd w:val="clear" w:color="auto" w:fill="FFFFFF"/>
        </w:rPr>
        <w:t xml:space="preserve"> R, </w:t>
      </w:r>
      <w:proofErr w:type="spellStart"/>
      <w:r w:rsidRPr="00F05E92">
        <w:rPr>
          <w:rFonts w:cstheme="minorHAnsi"/>
          <w:color w:val="212121"/>
          <w:shd w:val="clear" w:color="auto" w:fill="FFFFFF"/>
        </w:rPr>
        <w:t>Liccardo</w:t>
      </w:r>
      <w:proofErr w:type="spellEnd"/>
      <w:r w:rsidRPr="00F05E92">
        <w:rPr>
          <w:rFonts w:cstheme="minorHAnsi"/>
          <w:color w:val="212121"/>
          <w:shd w:val="clear" w:color="auto" w:fill="FFFFFF"/>
        </w:rPr>
        <w:t xml:space="preserve"> </w:t>
      </w:r>
      <w:proofErr w:type="spellStart"/>
      <w:r w:rsidRPr="00F05E92">
        <w:rPr>
          <w:rFonts w:cstheme="minorHAnsi"/>
          <w:color w:val="212121"/>
          <w:shd w:val="clear" w:color="auto" w:fill="FFFFFF"/>
        </w:rPr>
        <w:t>Pacula</w:t>
      </w:r>
      <w:proofErr w:type="spellEnd"/>
      <w:r w:rsidRPr="00F05E92">
        <w:rPr>
          <w:rFonts w:cstheme="minorHAnsi"/>
          <w:color w:val="212121"/>
          <w:shd w:val="clear" w:color="auto" w:fill="FFFFFF"/>
        </w:rPr>
        <w:t xml:space="preserve"> R. Changes in Cannabis-Attributable Hospitalizations Following Nonmedical Cannabis Legalization in Canada. JAMA </w:t>
      </w:r>
      <w:proofErr w:type="spellStart"/>
      <w:r w:rsidRPr="00F05E92">
        <w:rPr>
          <w:rFonts w:cstheme="minorHAnsi"/>
          <w:color w:val="212121"/>
          <w:shd w:val="clear" w:color="auto" w:fill="FFFFFF"/>
        </w:rPr>
        <w:t>Netw</w:t>
      </w:r>
      <w:proofErr w:type="spellEnd"/>
      <w:r w:rsidRPr="00F05E92">
        <w:rPr>
          <w:rFonts w:cstheme="minorHAnsi"/>
          <w:color w:val="212121"/>
          <w:shd w:val="clear" w:color="auto" w:fill="FFFFFF"/>
        </w:rPr>
        <w:t xml:space="preserve"> Open. 2023 Oct 2;6(10</w:t>
      </w:r>
      <w:proofErr w:type="gramStart"/>
      <w:r w:rsidRPr="00F05E92">
        <w:rPr>
          <w:rFonts w:cstheme="minorHAnsi"/>
          <w:color w:val="212121"/>
          <w:shd w:val="clear" w:color="auto" w:fill="FFFFFF"/>
        </w:rPr>
        <w:t>):e</w:t>
      </w:r>
      <w:proofErr w:type="gramEnd"/>
      <w:r w:rsidRPr="00F05E92">
        <w:rPr>
          <w:rFonts w:cstheme="minorHAnsi"/>
          <w:color w:val="212121"/>
          <w:shd w:val="clear" w:color="auto" w:fill="FFFFFF"/>
        </w:rPr>
        <w:t xml:space="preserve">2336113. </w:t>
      </w:r>
      <w:proofErr w:type="spellStart"/>
      <w:r w:rsidRPr="00F05E92">
        <w:rPr>
          <w:rFonts w:cstheme="minorHAnsi"/>
          <w:color w:val="212121"/>
          <w:shd w:val="clear" w:color="auto" w:fill="FFFFFF"/>
        </w:rPr>
        <w:t>doi</w:t>
      </w:r>
      <w:proofErr w:type="spellEnd"/>
      <w:r w:rsidRPr="00F05E92">
        <w:rPr>
          <w:rFonts w:cstheme="minorHAnsi"/>
          <w:color w:val="212121"/>
          <w:shd w:val="clear" w:color="auto" w:fill="FFFFFF"/>
        </w:rPr>
        <w:t xml:space="preserve">: 10.1001/jamanetworkopen.2023.36113. </w:t>
      </w:r>
      <w:hyperlink r:id="rId11" w:history="1">
        <w:r w:rsidRPr="00F05E92">
          <w:rPr>
            <w:rStyle w:val="Hyperlink"/>
            <w:rFonts w:cstheme="minorHAnsi"/>
            <w:shd w:val="clear" w:color="auto" w:fill="FFFFFF"/>
          </w:rPr>
          <w:t>PMID: 37796504</w:t>
        </w:r>
      </w:hyperlink>
      <w:r w:rsidRPr="00F05E92">
        <w:rPr>
          <w:rFonts w:cstheme="minorHAnsi"/>
          <w:color w:val="212121"/>
          <w:shd w:val="clear" w:color="auto" w:fill="FFFFFF"/>
        </w:rPr>
        <w:t>; PMCID: PMC10556968.</w:t>
      </w:r>
    </w:p>
    <w:p w14:paraId="6C8F5D5A" w14:textId="77777777" w:rsidR="00980C92" w:rsidRPr="00F05E92" w:rsidRDefault="00980C92" w:rsidP="00980C9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Importance: </w:t>
      </w:r>
      <w:r w:rsidRPr="00F05E92">
        <w:rPr>
          <w:rFonts w:asciiTheme="minorHAnsi" w:hAnsiTheme="minorHAnsi" w:cstheme="minorHAnsi"/>
          <w:color w:val="212121"/>
          <w:sz w:val="22"/>
          <w:szCs w:val="22"/>
        </w:rPr>
        <w:t>The impact of adult-use cannabis legalization and subsequent commercialization (</w:t>
      </w:r>
      <w:proofErr w:type="spellStart"/>
      <w:r w:rsidRPr="00F05E92">
        <w:rPr>
          <w:rFonts w:asciiTheme="minorHAnsi" w:hAnsiTheme="minorHAnsi" w:cstheme="minorHAnsi"/>
          <w:color w:val="212121"/>
          <w:sz w:val="22"/>
          <w:szCs w:val="22"/>
        </w:rPr>
        <w:t>ie</w:t>
      </w:r>
      <w:proofErr w:type="spellEnd"/>
      <w:r w:rsidRPr="00F05E92">
        <w:rPr>
          <w:rFonts w:asciiTheme="minorHAnsi" w:hAnsiTheme="minorHAnsi" w:cstheme="minorHAnsi"/>
          <w:color w:val="212121"/>
          <w:sz w:val="22"/>
          <w:szCs w:val="22"/>
        </w:rPr>
        <w:t>, increasing store and product access) on hospitalizations in Canada is unclear.</w:t>
      </w:r>
    </w:p>
    <w:p w14:paraId="52FD24A1" w14:textId="77777777" w:rsidR="00980C92" w:rsidRPr="00F05E92" w:rsidRDefault="00980C92" w:rsidP="00980C9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Objectives: </w:t>
      </w:r>
      <w:r w:rsidRPr="00F05E92">
        <w:rPr>
          <w:rFonts w:asciiTheme="minorHAnsi" w:hAnsiTheme="minorHAnsi" w:cstheme="minorHAnsi"/>
          <w:color w:val="212121"/>
          <w:sz w:val="22"/>
          <w:szCs w:val="22"/>
        </w:rPr>
        <w:t>To examine changes in overall and subtypes of hospitalizations due to cannabis and associated factors following legalization in Canada and to compare changes between provinces.</w:t>
      </w:r>
    </w:p>
    <w:p w14:paraId="547313B9" w14:textId="77777777" w:rsidR="00980C92" w:rsidRPr="00F05E92" w:rsidRDefault="00980C92" w:rsidP="00980C9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Design, setting, and participants: </w:t>
      </w:r>
      <w:r w:rsidRPr="00F05E92">
        <w:rPr>
          <w:rFonts w:asciiTheme="minorHAnsi" w:hAnsiTheme="minorHAnsi" w:cstheme="minorHAnsi"/>
          <w:color w:val="212121"/>
          <w:sz w:val="22"/>
          <w:szCs w:val="22"/>
        </w:rPr>
        <w:t xml:space="preserve">This repeated cross-sectional analysis included all acute hospitalizations for individuals aged 15 to 105 years in Canada's 4 most populous provinces (Ontario, Quebec, Alberta and British Columbia, population 26.9 million individuals in 2018). Data were obtained from routinely collected health administrative databases. Immediate and gradual changes in the age- and sex-standardized rates of hospitalizations due to cannabis were compared using an interrupted time series design over 3 time periods: </w:t>
      </w:r>
      <w:proofErr w:type="spellStart"/>
      <w:r w:rsidRPr="00F05E92">
        <w:rPr>
          <w:rFonts w:asciiTheme="minorHAnsi" w:hAnsiTheme="minorHAnsi" w:cstheme="minorHAnsi"/>
          <w:color w:val="212121"/>
          <w:sz w:val="22"/>
          <w:szCs w:val="22"/>
        </w:rPr>
        <w:t>prelegalization</w:t>
      </w:r>
      <w:proofErr w:type="spellEnd"/>
      <w:r w:rsidRPr="00F05E92">
        <w:rPr>
          <w:rFonts w:asciiTheme="minorHAnsi" w:hAnsiTheme="minorHAnsi" w:cstheme="minorHAnsi"/>
          <w:color w:val="212121"/>
          <w:sz w:val="22"/>
          <w:szCs w:val="22"/>
        </w:rPr>
        <w:t xml:space="preserve"> (January 2015 to September 2018), legalization with product and store restrictions (October 2018 to February 2020), and commercialization, which overlapped with the COVID-19 pandemic (March 2020 to March 2021).</w:t>
      </w:r>
    </w:p>
    <w:p w14:paraId="5DC874E0" w14:textId="77777777" w:rsidR="00980C92" w:rsidRPr="00F05E92" w:rsidRDefault="00980C92" w:rsidP="00980C9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Main outcomes and measures: </w:t>
      </w:r>
      <w:r w:rsidRPr="00F05E92">
        <w:rPr>
          <w:rFonts w:asciiTheme="minorHAnsi" w:hAnsiTheme="minorHAnsi" w:cstheme="minorHAnsi"/>
          <w:color w:val="212121"/>
          <w:sz w:val="22"/>
          <w:szCs w:val="22"/>
        </w:rPr>
        <w:t>Rates of hospitalizations due to cannabis per 100 000 individuals and per 1000 all-cause hospital admissions.</w:t>
      </w:r>
    </w:p>
    <w:p w14:paraId="6E3898F4" w14:textId="77777777" w:rsidR="00980C92" w:rsidRPr="00F05E92" w:rsidRDefault="00980C92" w:rsidP="00980C9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Results: </w:t>
      </w:r>
      <w:r w:rsidRPr="00F05E92">
        <w:rPr>
          <w:rFonts w:asciiTheme="minorHAnsi" w:hAnsiTheme="minorHAnsi" w:cstheme="minorHAnsi"/>
          <w:color w:val="212121"/>
          <w:sz w:val="22"/>
          <w:szCs w:val="22"/>
        </w:rPr>
        <w:t xml:space="preserve">There were 105 203 hospitalizations due to cannabis over the 7-year study period, 69 192 of which (65.8%) were among male individuals, and 34 678 (33%) of which were among individuals aged 15 to 24 years. Overall, the age- and sex-standardized rate of hospitalizations increased 1.62 times between January 2015 (3.99 per 100 000 individuals) and March 2021 (6.46 per 100 000 individuals). The largest relative increase in hospitalizations was for cannabis-induced psychosis (rate ratio, 1.40; 95% CI, 1.34 to 1.47 during the commercialization period relative to the </w:t>
      </w:r>
      <w:proofErr w:type="spellStart"/>
      <w:r w:rsidRPr="00F05E92">
        <w:rPr>
          <w:rFonts w:asciiTheme="minorHAnsi" w:hAnsiTheme="minorHAnsi" w:cstheme="minorHAnsi"/>
          <w:color w:val="212121"/>
          <w:sz w:val="22"/>
          <w:szCs w:val="22"/>
        </w:rPr>
        <w:t>prelegalization</w:t>
      </w:r>
      <w:proofErr w:type="spellEnd"/>
      <w:r w:rsidRPr="00F05E92">
        <w:rPr>
          <w:rFonts w:asciiTheme="minorHAnsi" w:hAnsiTheme="minorHAnsi" w:cstheme="minorHAnsi"/>
          <w:color w:val="212121"/>
          <w:sz w:val="22"/>
          <w:szCs w:val="22"/>
        </w:rPr>
        <w:t xml:space="preserve"> period). Nationally, legalization with restrictions was associated with a gradual monthly decrease of -0.06 (95% CI -0.08 to -0.03) in hospitalizations due to cannabis per 100 000 individuals. Commercialization and the COVID-19 pandemic were associated with an immediate increase of 0.83 (95% CI, 0.30 to 1.30) hospitalizations due to </w:t>
      </w:r>
      <w:r w:rsidRPr="00F05E92">
        <w:rPr>
          <w:rFonts w:asciiTheme="minorHAnsi" w:hAnsiTheme="minorHAnsi" w:cstheme="minorHAnsi"/>
          <w:color w:val="212121"/>
          <w:sz w:val="22"/>
          <w:szCs w:val="22"/>
        </w:rPr>
        <w:lastRenderedPageBreak/>
        <w:t>cannabis per 100 000 individuals. There was provincial variation in changes, with provinces with less mature legal markets experiencing the greatest declines immediately following legalization.</w:t>
      </w:r>
    </w:p>
    <w:p w14:paraId="0C50B1D8" w14:textId="77777777" w:rsidR="00980C92" w:rsidRPr="00F05E92" w:rsidRDefault="00980C92" w:rsidP="00980C9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Conclusions and relevance: </w:t>
      </w:r>
      <w:r w:rsidRPr="00F05E92">
        <w:rPr>
          <w:rFonts w:asciiTheme="minorHAnsi" w:hAnsiTheme="minorHAnsi" w:cstheme="minorHAnsi"/>
          <w:color w:val="212121"/>
          <w:sz w:val="22"/>
          <w:szCs w:val="22"/>
        </w:rPr>
        <w:t xml:space="preserve">This cross-sectional study found that legalization with restrictions was not associated with an increase in hospitalizations due to </w:t>
      </w:r>
      <w:proofErr w:type="gramStart"/>
      <w:r w:rsidRPr="00F05E92">
        <w:rPr>
          <w:rFonts w:asciiTheme="minorHAnsi" w:hAnsiTheme="minorHAnsi" w:cstheme="minorHAnsi"/>
          <w:color w:val="212121"/>
          <w:sz w:val="22"/>
          <w:szCs w:val="22"/>
        </w:rPr>
        <w:t>cannabis</w:t>
      </w:r>
      <w:proofErr w:type="gramEnd"/>
      <w:r w:rsidRPr="00F05E92">
        <w:rPr>
          <w:rFonts w:asciiTheme="minorHAnsi" w:hAnsiTheme="minorHAnsi" w:cstheme="minorHAnsi"/>
          <w:color w:val="212121"/>
          <w:sz w:val="22"/>
          <w:szCs w:val="22"/>
        </w:rPr>
        <w:t xml:space="preserve"> but commercialization was. The findings suggest that commercialization of cannabis may be associated with increases in cannabis-related health harms, including cannabis-induced psychosis.</w:t>
      </w:r>
    </w:p>
    <w:p w14:paraId="6FA17B1A" w14:textId="77777777" w:rsidR="00DC62E6" w:rsidRPr="00F05E92" w:rsidRDefault="00DC62E6" w:rsidP="00DC62E6">
      <w:pPr>
        <w:pStyle w:val="Heading1"/>
        <w:shd w:val="clear" w:color="auto" w:fill="FFFFFF"/>
        <w:rPr>
          <w:rFonts w:cstheme="minorHAnsi"/>
          <w:color w:val="212121"/>
        </w:rPr>
      </w:pPr>
      <w:bookmarkStart w:id="3" w:name="_Toc149913349"/>
      <w:r w:rsidRPr="00F05E92">
        <w:rPr>
          <w:rFonts w:cstheme="minorHAnsi"/>
          <w:color w:val="212121"/>
        </w:rPr>
        <w:t>Use of hypnotic-sedative medication and risk of falls and fractures in adults: A self-controlled case series study</w:t>
      </w:r>
      <w:bookmarkEnd w:id="3"/>
    </w:p>
    <w:p w14:paraId="19E32DE4" w14:textId="77777777" w:rsidR="00A108FA" w:rsidRPr="00F05E92" w:rsidRDefault="00A108FA" w:rsidP="00731277">
      <w:pPr>
        <w:rPr>
          <w:rFonts w:cstheme="minorHAnsi"/>
        </w:rPr>
      </w:pPr>
    </w:p>
    <w:p w14:paraId="44718BE3" w14:textId="3CBCED64" w:rsidR="00DC62E6" w:rsidRPr="00F05E92" w:rsidRDefault="00DC62E6" w:rsidP="00731277">
      <w:pPr>
        <w:rPr>
          <w:rFonts w:cstheme="minorHAnsi"/>
          <w:color w:val="212121"/>
          <w:shd w:val="clear" w:color="auto" w:fill="FFFFFF"/>
        </w:rPr>
      </w:pPr>
      <w:proofErr w:type="spellStart"/>
      <w:r w:rsidRPr="00F05E92">
        <w:rPr>
          <w:rFonts w:cstheme="minorHAnsi"/>
          <w:color w:val="212121"/>
          <w:shd w:val="clear" w:color="auto" w:fill="FFFFFF"/>
        </w:rPr>
        <w:t>Rozing</w:t>
      </w:r>
      <w:proofErr w:type="spellEnd"/>
      <w:r w:rsidRPr="00F05E92">
        <w:rPr>
          <w:rFonts w:cstheme="minorHAnsi"/>
          <w:color w:val="212121"/>
          <w:shd w:val="clear" w:color="auto" w:fill="FFFFFF"/>
        </w:rPr>
        <w:t xml:space="preserve"> MP, </w:t>
      </w:r>
      <w:proofErr w:type="spellStart"/>
      <w:r w:rsidRPr="00F05E92">
        <w:rPr>
          <w:rFonts w:cstheme="minorHAnsi"/>
          <w:color w:val="212121"/>
          <w:shd w:val="clear" w:color="auto" w:fill="FFFFFF"/>
        </w:rPr>
        <w:t>Wium</w:t>
      </w:r>
      <w:proofErr w:type="spellEnd"/>
      <w:r w:rsidRPr="00F05E92">
        <w:rPr>
          <w:rFonts w:cstheme="minorHAnsi"/>
          <w:color w:val="212121"/>
          <w:shd w:val="clear" w:color="auto" w:fill="FFFFFF"/>
        </w:rPr>
        <w:t xml:space="preserve">-Andersen MK, </w:t>
      </w:r>
      <w:proofErr w:type="spellStart"/>
      <w:r w:rsidRPr="00F05E92">
        <w:rPr>
          <w:rFonts w:cstheme="minorHAnsi"/>
          <w:color w:val="212121"/>
          <w:shd w:val="clear" w:color="auto" w:fill="FFFFFF"/>
        </w:rPr>
        <w:t>Wium</w:t>
      </w:r>
      <w:proofErr w:type="spellEnd"/>
      <w:r w:rsidRPr="00F05E92">
        <w:rPr>
          <w:rFonts w:cstheme="minorHAnsi"/>
          <w:color w:val="212121"/>
          <w:shd w:val="clear" w:color="auto" w:fill="FFFFFF"/>
        </w:rPr>
        <w:t xml:space="preserve">-Andersen IK, </w:t>
      </w:r>
      <w:proofErr w:type="spellStart"/>
      <w:r w:rsidRPr="00F05E92">
        <w:rPr>
          <w:rFonts w:cstheme="minorHAnsi"/>
          <w:color w:val="212121"/>
          <w:shd w:val="clear" w:color="auto" w:fill="FFFFFF"/>
        </w:rPr>
        <w:t>Jørgensen</w:t>
      </w:r>
      <w:proofErr w:type="spellEnd"/>
      <w:r w:rsidRPr="00F05E92">
        <w:rPr>
          <w:rFonts w:cstheme="minorHAnsi"/>
          <w:color w:val="212121"/>
          <w:shd w:val="clear" w:color="auto" w:fill="FFFFFF"/>
        </w:rPr>
        <w:t xml:space="preserve"> TSH, </w:t>
      </w:r>
      <w:proofErr w:type="spellStart"/>
      <w:r w:rsidRPr="00F05E92">
        <w:rPr>
          <w:rFonts w:cstheme="minorHAnsi"/>
          <w:color w:val="212121"/>
          <w:shd w:val="clear" w:color="auto" w:fill="FFFFFF"/>
        </w:rPr>
        <w:t>Jørgensen</w:t>
      </w:r>
      <w:proofErr w:type="spellEnd"/>
      <w:r w:rsidRPr="00F05E92">
        <w:rPr>
          <w:rFonts w:cstheme="minorHAnsi"/>
          <w:color w:val="212121"/>
          <w:shd w:val="clear" w:color="auto" w:fill="FFFFFF"/>
        </w:rPr>
        <w:t xml:space="preserve"> MB, Osler M. Use of hypnotic-sedative medication and risk of falls and fractures in adults: A self-controlled case series study. Acta </w:t>
      </w:r>
      <w:proofErr w:type="spellStart"/>
      <w:r w:rsidRPr="00F05E92">
        <w:rPr>
          <w:rFonts w:cstheme="minorHAnsi"/>
          <w:color w:val="212121"/>
          <w:shd w:val="clear" w:color="auto" w:fill="FFFFFF"/>
        </w:rPr>
        <w:t>Psychiatr</w:t>
      </w:r>
      <w:proofErr w:type="spellEnd"/>
      <w:r w:rsidRPr="00F05E92">
        <w:rPr>
          <w:rFonts w:cstheme="minorHAnsi"/>
          <w:color w:val="212121"/>
          <w:shd w:val="clear" w:color="auto" w:fill="FFFFFF"/>
        </w:rPr>
        <w:t xml:space="preserve"> Scand. 2023 Nov;148(5):394-404. </w:t>
      </w:r>
      <w:proofErr w:type="spellStart"/>
      <w:r w:rsidRPr="00F05E92">
        <w:rPr>
          <w:rFonts w:cstheme="minorHAnsi"/>
          <w:color w:val="212121"/>
          <w:shd w:val="clear" w:color="auto" w:fill="FFFFFF"/>
        </w:rPr>
        <w:t>doi</w:t>
      </w:r>
      <w:proofErr w:type="spellEnd"/>
      <w:r w:rsidRPr="00F05E92">
        <w:rPr>
          <w:rFonts w:cstheme="minorHAnsi"/>
          <w:color w:val="212121"/>
          <w:shd w:val="clear" w:color="auto" w:fill="FFFFFF"/>
        </w:rPr>
        <w:t xml:space="preserve">: 10.1111/acps.13610. </w:t>
      </w:r>
      <w:proofErr w:type="spellStart"/>
      <w:r w:rsidRPr="00F05E92">
        <w:rPr>
          <w:rFonts w:cstheme="minorHAnsi"/>
          <w:color w:val="212121"/>
          <w:shd w:val="clear" w:color="auto" w:fill="FFFFFF"/>
        </w:rPr>
        <w:t>Epub</w:t>
      </w:r>
      <w:proofErr w:type="spellEnd"/>
      <w:r w:rsidRPr="00F05E92">
        <w:rPr>
          <w:rFonts w:cstheme="minorHAnsi"/>
          <w:color w:val="212121"/>
          <w:shd w:val="clear" w:color="auto" w:fill="FFFFFF"/>
        </w:rPr>
        <w:t xml:space="preserve"> 2023 Sep 4. </w:t>
      </w:r>
      <w:hyperlink r:id="rId12" w:history="1">
        <w:r w:rsidRPr="00F05E92">
          <w:rPr>
            <w:rStyle w:val="Hyperlink"/>
            <w:rFonts w:cstheme="minorHAnsi"/>
            <w:shd w:val="clear" w:color="auto" w:fill="FFFFFF"/>
          </w:rPr>
          <w:t>PMID: 37665682</w:t>
        </w:r>
      </w:hyperlink>
      <w:r w:rsidRPr="00F05E92">
        <w:rPr>
          <w:rFonts w:cstheme="minorHAnsi"/>
          <w:color w:val="212121"/>
          <w:shd w:val="clear" w:color="auto" w:fill="FFFFFF"/>
        </w:rPr>
        <w:t>.</w:t>
      </w:r>
    </w:p>
    <w:p w14:paraId="1B2EC20D" w14:textId="77777777" w:rsidR="009E1782" w:rsidRPr="00F05E92" w:rsidRDefault="009E1782" w:rsidP="009E178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Objective: </w:t>
      </w:r>
      <w:r w:rsidRPr="00F05E92">
        <w:rPr>
          <w:rFonts w:asciiTheme="minorHAnsi" w:hAnsiTheme="minorHAnsi" w:cstheme="minorHAnsi"/>
          <w:color w:val="212121"/>
          <w:sz w:val="22"/>
          <w:szCs w:val="22"/>
        </w:rPr>
        <w:t>To evaluate the risk of falls and fractures in users of benzodiazepines, Z-drugs, or melatonin.</w:t>
      </w:r>
    </w:p>
    <w:p w14:paraId="6BD72D89" w14:textId="77777777" w:rsidR="009E1782" w:rsidRPr="00F05E92" w:rsidRDefault="009E1782" w:rsidP="009E178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Methods: </w:t>
      </w:r>
      <w:r w:rsidRPr="00F05E92">
        <w:rPr>
          <w:rFonts w:asciiTheme="minorHAnsi" w:hAnsiTheme="minorHAnsi" w:cstheme="minorHAnsi"/>
          <w:color w:val="212121"/>
          <w:sz w:val="22"/>
          <w:szCs w:val="22"/>
        </w:rPr>
        <w:t>We followed 699,335 adults with a purchase of benzodiazepines, Z-drugs, or melatonin in the Danish National Prescription Registry between 2003 and 2016 for falls and fractures in the Danish National Patient Registry between 2000 and 2018. A self-controlled case-series analysis and conditional Poisson regression were used to derive incidence rate ratios (IRR) of falls and fractures during six predefined periods.</w:t>
      </w:r>
    </w:p>
    <w:p w14:paraId="38FABF2E" w14:textId="77777777" w:rsidR="009E1782" w:rsidRPr="00F05E92" w:rsidRDefault="009E1782" w:rsidP="009E178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Results: </w:t>
      </w:r>
      <w:r w:rsidRPr="00F05E92">
        <w:rPr>
          <w:rFonts w:asciiTheme="minorHAnsi" w:hAnsiTheme="minorHAnsi" w:cstheme="minorHAnsi"/>
          <w:color w:val="212121"/>
          <w:sz w:val="22"/>
          <w:szCs w:val="22"/>
        </w:rPr>
        <w:t>In total 62,105 and 36,808 adults, respectively, experienced a fall or fracture. For older adults, the risk of falls was highest during the 3-month pre-treatment period (IRR</w:t>
      </w:r>
      <w:r w:rsidRPr="00F05E92">
        <w:rPr>
          <w:rFonts w:asciiTheme="minorHAnsi" w:hAnsiTheme="minorHAnsi" w:cstheme="minorHAnsi"/>
          <w:color w:val="212121"/>
          <w:sz w:val="22"/>
          <w:szCs w:val="22"/>
          <w:vertAlign w:val="subscript"/>
        </w:rPr>
        <w:t>men+</w:t>
      </w:r>
      <w:proofErr w:type="gramStart"/>
      <w:r w:rsidRPr="00F05E92">
        <w:rPr>
          <w:rFonts w:asciiTheme="minorHAnsi" w:hAnsiTheme="minorHAnsi" w:cstheme="minorHAnsi"/>
          <w:color w:val="212121"/>
          <w:sz w:val="22"/>
          <w:szCs w:val="22"/>
          <w:vertAlign w:val="subscript"/>
        </w:rPr>
        <w:t>70</w:t>
      </w:r>
      <w:r w:rsidRPr="00F05E92">
        <w:rPr>
          <w:rFonts w:asciiTheme="minorHAnsi" w:hAnsiTheme="minorHAnsi" w:cstheme="minorHAnsi"/>
          <w:color w:val="212121"/>
          <w:sz w:val="22"/>
          <w:szCs w:val="22"/>
        </w:rPr>
        <w:t> ,</w:t>
      </w:r>
      <w:proofErr w:type="gramEnd"/>
      <w:r w:rsidRPr="00F05E92">
        <w:rPr>
          <w:rFonts w:asciiTheme="minorHAnsi" w:hAnsiTheme="minorHAnsi" w:cstheme="minorHAnsi"/>
          <w:color w:val="212121"/>
          <w:sz w:val="22"/>
          <w:szCs w:val="22"/>
        </w:rPr>
        <w:t xml:space="preserve"> 4.22 (95% confidence interval, 3.53-5.05), </w:t>
      </w:r>
      <w:proofErr w:type="spellStart"/>
      <w:r w:rsidRPr="00F05E92">
        <w:rPr>
          <w:rFonts w:asciiTheme="minorHAnsi" w:hAnsiTheme="minorHAnsi" w:cstheme="minorHAnsi"/>
          <w:color w:val="212121"/>
          <w:sz w:val="22"/>
          <w:szCs w:val="22"/>
        </w:rPr>
        <w:t>IRR</w:t>
      </w:r>
      <w:r w:rsidRPr="00F05E92">
        <w:rPr>
          <w:rFonts w:asciiTheme="minorHAnsi" w:hAnsiTheme="minorHAnsi" w:cstheme="minorHAnsi"/>
          <w:color w:val="212121"/>
          <w:sz w:val="22"/>
          <w:szCs w:val="22"/>
          <w:vertAlign w:val="subscript"/>
        </w:rPr>
        <w:t>women</w:t>
      </w:r>
      <w:proofErr w:type="spellEnd"/>
      <w:r w:rsidRPr="00F05E92">
        <w:rPr>
          <w:rFonts w:asciiTheme="minorHAnsi" w:hAnsiTheme="minorHAnsi" w:cstheme="minorHAnsi"/>
          <w:color w:val="212121"/>
          <w:sz w:val="22"/>
          <w:szCs w:val="22"/>
          <w:vertAlign w:val="subscript"/>
        </w:rPr>
        <w:t xml:space="preserve"> + 70</w:t>
      </w:r>
      <w:r w:rsidRPr="00F05E92">
        <w:rPr>
          <w:rFonts w:asciiTheme="minorHAnsi" w:hAnsiTheme="minorHAnsi" w:cstheme="minorHAnsi"/>
          <w:color w:val="212121"/>
          <w:sz w:val="22"/>
          <w:szCs w:val="22"/>
        </w:rPr>
        <w:t> , 3.03 (2.59-3.55)) compared to the baseline (&gt;1 year before initiation). The risk continued to be higher in the later treatment periods. Contrarily, in men and women aged 40-69 years, the risk was only higher in the 3-month pre-treatment period. The incidence of falls among young men and women was slightly lower after initiation of sedating medication (treatment period, IRR</w:t>
      </w:r>
      <w:r w:rsidRPr="00F05E92">
        <w:rPr>
          <w:rFonts w:asciiTheme="minorHAnsi" w:hAnsiTheme="minorHAnsi" w:cstheme="minorHAnsi"/>
          <w:color w:val="212121"/>
          <w:sz w:val="22"/>
          <w:szCs w:val="22"/>
          <w:vertAlign w:val="subscript"/>
        </w:rPr>
        <w:t>men15-</w:t>
      </w:r>
      <w:proofErr w:type="gramStart"/>
      <w:r w:rsidRPr="00F05E92">
        <w:rPr>
          <w:rFonts w:asciiTheme="minorHAnsi" w:hAnsiTheme="minorHAnsi" w:cstheme="minorHAnsi"/>
          <w:color w:val="212121"/>
          <w:sz w:val="22"/>
          <w:szCs w:val="22"/>
          <w:vertAlign w:val="subscript"/>
        </w:rPr>
        <w:t>39</w:t>
      </w:r>
      <w:r w:rsidRPr="00F05E92">
        <w:rPr>
          <w:rFonts w:asciiTheme="minorHAnsi" w:hAnsiTheme="minorHAnsi" w:cstheme="minorHAnsi"/>
          <w:color w:val="212121"/>
          <w:sz w:val="22"/>
          <w:szCs w:val="22"/>
        </w:rPr>
        <w:t> ,</w:t>
      </w:r>
      <w:proofErr w:type="gramEnd"/>
      <w:r w:rsidRPr="00F05E92">
        <w:rPr>
          <w:rFonts w:asciiTheme="minorHAnsi" w:hAnsiTheme="minorHAnsi" w:cstheme="minorHAnsi"/>
          <w:color w:val="212121"/>
          <w:sz w:val="22"/>
          <w:szCs w:val="22"/>
        </w:rPr>
        <w:t xml:space="preserve"> 0.66 (0.50-0.86), IRR</w:t>
      </w:r>
      <w:r w:rsidRPr="00F05E92">
        <w:rPr>
          <w:rFonts w:asciiTheme="minorHAnsi" w:hAnsiTheme="minorHAnsi" w:cstheme="minorHAnsi"/>
          <w:color w:val="212121"/>
          <w:sz w:val="22"/>
          <w:szCs w:val="22"/>
          <w:vertAlign w:val="subscript"/>
        </w:rPr>
        <w:t>women15-39</w:t>
      </w:r>
      <w:r w:rsidRPr="00F05E92">
        <w:rPr>
          <w:rFonts w:asciiTheme="minorHAnsi" w:hAnsiTheme="minorHAnsi" w:cstheme="minorHAnsi"/>
          <w:color w:val="212121"/>
          <w:sz w:val="22"/>
          <w:szCs w:val="22"/>
        </w:rPr>
        <w:t> , 0.65 (0.51-0.83)). Analyses with fractures as outcome yielded similar results.</w:t>
      </w:r>
    </w:p>
    <w:p w14:paraId="06851C75" w14:textId="77777777" w:rsidR="009E1782" w:rsidRPr="00F05E92" w:rsidRDefault="009E1782" w:rsidP="009E178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Conclusions: </w:t>
      </w:r>
      <w:r w:rsidRPr="00F05E92">
        <w:rPr>
          <w:rFonts w:asciiTheme="minorHAnsi" w:hAnsiTheme="minorHAnsi" w:cstheme="minorHAnsi"/>
          <w:color w:val="212121"/>
          <w:sz w:val="22"/>
          <w:szCs w:val="22"/>
        </w:rPr>
        <w:t>Although falls and fractures occur more often in persons using sedative-hypnotic medication, the higher risk of falls and fractures in the pre-treatment period relative to the period directly after treatment, suggests that this association is better explained by other factors that elicited the prescription of this medication rather than the adverse effects of the sedative-hypnotic medication.</w:t>
      </w:r>
    </w:p>
    <w:p w14:paraId="4CCBC195" w14:textId="77777777" w:rsidR="00B338CD" w:rsidRPr="00F05E92" w:rsidRDefault="00B338CD" w:rsidP="00B338CD">
      <w:pPr>
        <w:pStyle w:val="Heading1"/>
        <w:shd w:val="clear" w:color="auto" w:fill="FFFFFF"/>
        <w:rPr>
          <w:rFonts w:cstheme="minorHAnsi"/>
          <w:color w:val="212121"/>
        </w:rPr>
      </w:pPr>
      <w:bookmarkStart w:id="4" w:name="_Toc149913350"/>
      <w:r w:rsidRPr="00F05E92">
        <w:rPr>
          <w:rFonts w:cstheme="minorHAnsi"/>
          <w:color w:val="212121"/>
        </w:rPr>
        <w:t>Esketamine Nasal Spray versus Quetiapine for Treatment-Resistant Depression</w:t>
      </w:r>
      <w:bookmarkEnd w:id="4"/>
    </w:p>
    <w:p w14:paraId="458C8DE4" w14:textId="65396CAF" w:rsidR="00AF46E2" w:rsidRPr="00F05E92" w:rsidRDefault="00B338CD" w:rsidP="009E1782">
      <w:pPr>
        <w:pStyle w:val="NormalWeb"/>
        <w:shd w:val="clear" w:color="auto" w:fill="FFFFFF"/>
        <w:rPr>
          <w:rFonts w:asciiTheme="minorHAnsi" w:hAnsiTheme="minorHAnsi" w:cstheme="minorHAnsi"/>
          <w:color w:val="212121"/>
          <w:sz w:val="22"/>
          <w:szCs w:val="22"/>
        </w:rPr>
      </w:pPr>
      <w:proofErr w:type="spellStart"/>
      <w:r w:rsidRPr="00F05E92">
        <w:rPr>
          <w:rFonts w:asciiTheme="minorHAnsi" w:hAnsiTheme="minorHAnsi" w:cstheme="minorHAnsi"/>
          <w:color w:val="212121"/>
          <w:sz w:val="22"/>
          <w:szCs w:val="22"/>
          <w:shd w:val="clear" w:color="auto" w:fill="FFFFFF"/>
        </w:rPr>
        <w:t>Reif</w:t>
      </w:r>
      <w:proofErr w:type="spellEnd"/>
      <w:r w:rsidRPr="00F05E92">
        <w:rPr>
          <w:rFonts w:asciiTheme="minorHAnsi" w:hAnsiTheme="minorHAnsi" w:cstheme="minorHAnsi"/>
          <w:color w:val="212121"/>
          <w:sz w:val="22"/>
          <w:szCs w:val="22"/>
          <w:shd w:val="clear" w:color="auto" w:fill="FFFFFF"/>
        </w:rPr>
        <w:t xml:space="preserve"> A, Bitter I, </w:t>
      </w:r>
      <w:proofErr w:type="spellStart"/>
      <w:r w:rsidRPr="00F05E92">
        <w:rPr>
          <w:rFonts w:asciiTheme="minorHAnsi" w:hAnsiTheme="minorHAnsi" w:cstheme="minorHAnsi"/>
          <w:color w:val="212121"/>
          <w:sz w:val="22"/>
          <w:szCs w:val="22"/>
          <w:shd w:val="clear" w:color="auto" w:fill="FFFFFF"/>
        </w:rPr>
        <w:t>Buyze</w:t>
      </w:r>
      <w:proofErr w:type="spellEnd"/>
      <w:r w:rsidRPr="00F05E92">
        <w:rPr>
          <w:rFonts w:asciiTheme="minorHAnsi" w:hAnsiTheme="minorHAnsi" w:cstheme="minorHAnsi"/>
          <w:color w:val="212121"/>
          <w:sz w:val="22"/>
          <w:szCs w:val="22"/>
          <w:shd w:val="clear" w:color="auto" w:fill="FFFFFF"/>
        </w:rPr>
        <w:t xml:space="preserve"> J, </w:t>
      </w:r>
      <w:proofErr w:type="spellStart"/>
      <w:r w:rsidRPr="00F05E92">
        <w:rPr>
          <w:rFonts w:asciiTheme="minorHAnsi" w:hAnsiTheme="minorHAnsi" w:cstheme="minorHAnsi"/>
          <w:color w:val="212121"/>
          <w:sz w:val="22"/>
          <w:szCs w:val="22"/>
          <w:shd w:val="clear" w:color="auto" w:fill="FFFFFF"/>
        </w:rPr>
        <w:t>Cebulla</w:t>
      </w:r>
      <w:proofErr w:type="spellEnd"/>
      <w:r w:rsidRPr="00F05E92">
        <w:rPr>
          <w:rFonts w:asciiTheme="minorHAnsi" w:hAnsiTheme="minorHAnsi" w:cstheme="minorHAnsi"/>
          <w:color w:val="212121"/>
          <w:sz w:val="22"/>
          <w:szCs w:val="22"/>
          <w:shd w:val="clear" w:color="auto" w:fill="FFFFFF"/>
        </w:rPr>
        <w:t xml:space="preserve"> K, Frey R, Fu DJ, Ito T, </w:t>
      </w:r>
      <w:proofErr w:type="spellStart"/>
      <w:r w:rsidRPr="00F05E92">
        <w:rPr>
          <w:rFonts w:asciiTheme="minorHAnsi" w:hAnsiTheme="minorHAnsi" w:cstheme="minorHAnsi"/>
          <w:color w:val="212121"/>
          <w:sz w:val="22"/>
          <w:szCs w:val="22"/>
          <w:shd w:val="clear" w:color="auto" w:fill="FFFFFF"/>
        </w:rPr>
        <w:t>Kambarov</w:t>
      </w:r>
      <w:proofErr w:type="spellEnd"/>
      <w:r w:rsidRPr="00F05E92">
        <w:rPr>
          <w:rFonts w:asciiTheme="minorHAnsi" w:hAnsiTheme="minorHAnsi" w:cstheme="minorHAnsi"/>
          <w:color w:val="212121"/>
          <w:sz w:val="22"/>
          <w:szCs w:val="22"/>
          <w:shd w:val="clear" w:color="auto" w:fill="FFFFFF"/>
        </w:rPr>
        <w:t xml:space="preserve"> Y, </w:t>
      </w:r>
      <w:proofErr w:type="spellStart"/>
      <w:r w:rsidRPr="00F05E92">
        <w:rPr>
          <w:rFonts w:asciiTheme="minorHAnsi" w:hAnsiTheme="minorHAnsi" w:cstheme="minorHAnsi"/>
          <w:color w:val="212121"/>
          <w:sz w:val="22"/>
          <w:szCs w:val="22"/>
          <w:shd w:val="clear" w:color="auto" w:fill="FFFFFF"/>
        </w:rPr>
        <w:t>Llorca</w:t>
      </w:r>
      <w:proofErr w:type="spellEnd"/>
      <w:r w:rsidRPr="00F05E92">
        <w:rPr>
          <w:rFonts w:asciiTheme="minorHAnsi" w:hAnsiTheme="minorHAnsi" w:cstheme="minorHAnsi"/>
          <w:color w:val="212121"/>
          <w:sz w:val="22"/>
          <w:szCs w:val="22"/>
          <w:shd w:val="clear" w:color="auto" w:fill="FFFFFF"/>
        </w:rPr>
        <w:t xml:space="preserve"> PM, Oliveira-Maia AJ, Messer T, Mulhern-</w:t>
      </w:r>
      <w:proofErr w:type="spellStart"/>
      <w:r w:rsidRPr="00F05E92">
        <w:rPr>
          <w:rFonts w:asciiTheme="minorHAnsi" w:hAnsiTheme="minorHAnsi" w:cstheme="minorHAnsi"/>
          <w:color w:val="212121"/>
          <w:sz w:val="22"/>
          <w:szCs w:val="22"/>
          <w:shd w:val="clear" w:color="auto" w:fill="FFFFFF"/>
        </w:rPr>
        <w:t>Haughey</w:t>
      </w:r>
      <w:proofErr w:type="spellEnd"/>
      <w:r w:rsidRPr="00F05E92">
        <w:rPr>
          <w:rFonts w:asciiTheme="minorHAnsi" w:hAnsiTheme="minorHAnsi" w:cstheme="minorHAnsi"/>
          <w:color w:val="212121"/>
          <w:sz w:val="22"/>
          <w:szCs w:val="22"/>
          <w:shd w:val="clear" w:color="auto" w:fill="FFFFFF"/>
        </w:rPr>
        <w:t xml:space="preserve"> S, Rive B, von Holt C, Young AH, </w:t>
      </w:r>
      <w:proofErr w:type="spellStart"/>
      <w:r w:rsidRPr="00F05E92">
        <w:rPr>
          <w:rFonts w:asciiTheme="minorHAnsi" w:hAnsiTheme="minorHAnsi" w:cstheme="minorHAnsi"/>
          <w:color w:val="212121"/>
          <w:sz w:val="22"/>
          <w:szCs w:val="22"/>
          <w:shd w:val="clear" w:color="auto" w:fill="FFFFFF"/>
        </w:rPr>
        <w:t>Godinov</w:t>
      </w:r>
      <w:proofErr w:type="spellEnd"/>
      <w:r w:rsidRPr="00F05E92">
        <w:rPr>
          <w:rFonts w:asciiTheme="minorHAnsi" w:hAnsiTheme="minorHAnsi" w:cstheme="minorHAnsi"/>
          <w:color w:val="212121"/>
          <w:sz w:val="22"/>
          <w:szCs w:val="22"/>
          <w:shd w:val="clear" w:color="auto" w:fill="FFFFFF"/>
        </w:rPr>
        <w:t xml:space="preserve"> Y; ESCAPE-TRD Investigators. </w:t>
      </w:r>
      <w:proofErr w:type="spellStart"/>
      <w:r w:rsidRPr="00F05E92">
        <w:rPr>
          <w:rFonts w:asciiTheme="minorHAnsi" w:hAnsiTheme="minorHAnsi" w:cstheme="minorHAnsi"/>
          <w:color w:val="212121"/>
          <w:sz w:val="22"/>
          <w:szCs w:val="22"/>
          <w:shd w:val="clear" w:color="auto" w:fill="FFFFFF"/>
        </w:rPr>
        <w:t>Esketamine</w:t>
      </w:r>
      <w:proofErr w:type="spellEnd"/>
      <w:r w:rsidRPr="00F05E92">
        <w:rPr>
          <w:rFonts w:asciiTheme="minorHAnsi" w:hAnsiTheme="minorHAnsi" w:cstheme="minorHAnsi"/>
          <w:color w:val="212121"/>
          <w:sz w:val="22"/>
          <w:szCs w:val="22"/>
          <w:shd w:val="clear" w:color="auto" w:fill="FFFFFF"/>
        </w:rPr>
        <w:t xml:space="preserve"> Nasal Spray versus Quetiapine for Treatment-Resistant Depression. N </w:t>
      </w:r>
      <w:proofErr w:type="spellStart"/>
      <w:r w:rsidRPr="00F05E92">
        <w:rPr>
          <w:rFonts w:asciiTheme="minorHAnsi" w:hAnsiTheme="minorHAnsi" w:cstheme="minorHAnsi"/>
          <w:color w:val="212121"/>
          <w:sz w:val="22"/>
          <w:szCs w:val="22"/>
          <w:shd w:val="clear" w:color="auto" w:fill="FFFFFF"/>
        </w:rPr>
        <w:t>Engl</w:t>
      </w:r>
      <w:proofErr w:type="spellEnd"/>
      <w:r w:rsidRPr="00F05E92">
        <w:rPr>
          <w:rFonts w:asciiTheme="minorHAnsi" w:hAnsiTheme="minorHAnsi" w:cstheme="minorHAnsi"/>
          <w:color w:val="212121"/>
          <w:sz w:val="22"/>
          <w:szCs w:val="22"/>
          <w:shd w:val="clear" w:color="auto" w:fill="FFFFFF"/>
        </w:rPr>
        <w:t xml:space="preserve"> J Med. 2023 Oct 5;389(14):1298-1309. </w:t>
      </w:r>
      <w:proofErr w:type="spellStart"/>
      <w:r w:rsidRPr="00F05E92">
        <w:rPr>
          <w:rFonts w:asciiTheme="minorHAnsi" w:hAnsiTheme="minorHAnsi" w:cstheme="minorHAnsi"/>
          <w:color w:val="212121"/>
          <w:sz w:val="22"/>
          <w:szCs w:val="22"/>
          <w:shd w:val="clear" w:color="auto" w:fill="FFFFFF"/>
        </w:rPr>
        <w:t>doi</w:t>
      </w:r>
      <w:proofErr w:type="spellEnd"/>
      <w:r w:rsidRPr="00F05E92">
        <w:rPr>
          <w:rFonts w:asciiTheme="minorHAnsi" w:hAnsiTheme="minorHAnsi" w:cstheme="minorHAnsi"/>
          <w:color w:val="212121"/>
          <w:sz w:val="22"/>
          <w:szCs w:val="22"/>
          <w:shd w:val="clear" w:color="auto" w:fill="FFFFFF"/>
        </w:rPr>
        <w:t xml:space="preserve">: 10.1056/NEJMoa2304145. </w:t>
      </w:r>
      <w:hyperlink r:id="rId13" w:history="1">
        <w:r w:rsidRPr="00F05E92">
          <w:rPr>
            <w:rStyle w:val="Hyperlink"/>
            <w:rFonts w:asciiTheme="minorHAnsi" w:hAnsiTheme="minorHAnsi" w:cstheme="minorHAnsi"/>
            <w:sz w:val="22"/>
            <w:szCs w:val="22"/>
            <w:shd w:val="clear" w:color="auto" w:fill="FFFFFF"/>
          </w:rPr>
          <w:t>PMID: 37792613</w:t>
        </w:r>
      </w:hyperlink>
      <w:r w:rsidRPr="00F05E92">
        <w:rPr>
          <w:rFonts w:asciiTheme="minorHAnsi" w:hAnsiTheme="minorHAnsi" w:cstheme="minorHAnsi"/>
          <w:color w:val="212121"/>
          <w:sz w:val="22"/>
          <w:szCs w:val="22"/>
          <w:shd w:val="clear" w:color="auto" w:fill="FFFFFF"/>
        </w:rPr>
        <w:t>.</w:t>
      </w:r>
    </w:p>
    <w:p w14:paraId="76313C3E" w14:textId="77777777" w:rsidR="0066255F" w:rsidRPr="00F05E92" w:rsidRDefault="0066255F" w:rsidP="0066255F">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lastRenderedPageBreak/>
        <w:t>Background: </w:t>
      </w:r>
      <w:r w:rsidRPr="00F05E92">
        <w:rPr>
          <w:rFonts w:asciiTheme="minorHAnsi" w:hAnsiTheme="minorHAnsi" w:cstheme="minorHAnsi"/>
          <w:color w:val="212121"/>
          <w:sz w:val="22"/>
          <w:szCs w:val="22"/>
        </w:rPr>
        <w:t xml:space="preserve">In treatment-resistant depression, commonly defined as a lack of response to two or more consecutive treatments during the current depressive episode, the percentage of patients with remission is low and the percentage with relapse is high. The efficacy and safety of </w:t>
      </w:r>
      <w:proofErr w:type="spellStart"/>
      <w:r w:rsidRPr="00F05E92">
        <w:rPr>
          <w:rFonts w:asciiTheme="minorHAnsi" w:hAnsiTheme="minorHAnsi" w:cstheme="minorHAnsi"/>
          <w:color w:val="212121"/>
          <w:sz w:val="22"/>
          <w:szCs w:val="22"/>
        </w:rPr>
        <w:t>esketamine</w:t>
      </w:r>
      <w:proofErr w:type="spellEnd"/>
      <w:r w:rsidRPr="00F05E92">
        <w:rPr>
          <w:rFonts w:asciiTheme="minorHAnsi" w:hAnsiTheme="minorHAnsi" w:cstheme="minorHAnsi"/>
          <w:color w:val="212121"/>
          <w:sz w:val="22"/>
          <w:szCs w:val="22"/>
        </w:rPr>
        <w:t xml:space="preserve"> nasal spray as compared with extended-release quetiapine augmentation therapy, both in combination with ongoing treatment with a selective serotonin reuptake inhibitor (SSRI) or a serotonin-norepinephrine reuptake inhibitor (SNRI), in patients with treatment-resistant depression are unknown.</w:t>
      </w:r>
    </w:p>
    <w:p w14:paraId="59E11AFF" w14:textId="77777777" w:rsidR="0066255F" w:rsidRPr="00F05E92" w:rsidRDefault="0066255F" w:rsidP="0066255F">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Methods: </w:t>
      </w:r>
      <w:r w:rsidRPr="00F05E92">
        <w:rPr>
          <w:rFonts w:asciiTheme="minorHAnsi" w:hAnsiTheme="minorHAnsi" w:cstheme="minorHAnsi"/>
          <w:color w:val="212121"/>
          <w:sz w:val="22"/>
          <w:szCs w:val="22"/>
        </w:rPr>
        <w:t xml:space="preserve">In an open-label, single-blind (with raters unaware of group assignments), multicenter, phase 3b, randomized, active-controlled trial, we assigned patients, in a 1:1 ratio, to receive flexible doses (according to the summary of product characteristics) of </w:t>
      </w:r>
      <w:proofErr w:type="spellStart"/>
      <w:r w:rsidRPr="00F05E92">
        <w:rPr>
          <w:rFonts w:asciiTheme="minorHAnsi" w:hAnsiTheme="minorHAnsi" w:cstheme="minorHAnsi"/>
          <w:color w:val="212121"/>
          <w:sz w:val="22"/>
          <w:szCs w:val="22"/>
        </w:rPr>
        <w:t>esketamine</w:t>
      </w:r>
      <w:proofErr w:type="spellEnd"/>
      <w:r w:rsidRPr="00F05E92">
        <w:rPr>
          <w:rFonts w:asciiTheme="minorHAnsi" w:hAnsiTheme="minorHAnsi" w:cstheme="minorHAnsi"/>
          <w:color w:val="212121"/>
          <w:sz w:val="22"/>
          <w:szCs w:val="22"/>
        </w:rPr>
        <w:t xml:space="preserve"> nasal spray (</w:t>
      </w:r>
      <w:proofErr w:type="spellStart"/>
      <w:r w:rsidRPr="00F05E92">
        <w:rPr>
          <w:rFonts w:asciiTheme="minorHAnsi" w:hAnsiTheme="minorHAnsi" w:cstheme="minorHAnsi"/>
          <w:color w:val="212121"/>
          <w:sz w:val="22"/>
          <w:szCs w:val="22"/>
        </w:rPr>
        <w:t>esketamine</w:t>
      </w:r>
      <w:proofErr w:type="spellEnd"/>
      <w:r w:rsidRPr="00F05E92">
        <w:rPr>
          <w:rFonts w:asciiTheme="minorHAnsi" w:hAnsiTheme="minorHAnsi" w:cstheme="minorHAnsi"/>
          <w:color w:val="212121"/>
          <w:sz w:val="22"/>
          <w:szCs w:val="22"/>
        </w:rPr>
        <w:t xml:space="preserve"> group) or extended-release quetiapine (quetiapine group), both in combination with an SSRI or SNRI. The primary end point was remission, defined as a score of 10 or less on the Montgomery-</w:t>
      </w:r>
      <w:proofErr w:type="spellStart"/>
      <w:r w:rsidRPr="00F05E92">
        <w:rPr>
          <w:rFonts w:asciiTheme="minorHAnsi" w:hAnsiTheme="minorHAnsi" w:cstheme="minorHAnsi"/>
          <w:color w:val="212121"/>
          <w:sz w:val="22"/>
          <w:szCs w:val="22"/>
        </w:rPr>
        <w:t>Åsberg</w:t>
      </w:r>
      <w:proofErr w:type="spellEnd"/>
      <w:r w:rsidRPr="00F05E92">
        <w:rPr>
          <w:rFonts w:asciiTheme="minorHAnsi" w:hAnsiTheme="minorHAnsi" w:cstheme="minorHAnsi"/>
          <w:color w:val="212121"/>
          <w:sz w:val="22"/>
          <w:szCs w:val="22"/>
        </w:rPr>
        <w:t xml:space="preserve"> Depression Rating Scale (MADRS), at week 8 (scores range from 0 to 60, with higher scores indicating more severe depression). The key secondary end point was no relapse through week 32 after remission at week 8. All patients were included in the analysis; patients who discontinued the trial treatment were considered as having had an unfavorable outcome (i.e., they were grouped with patients who did not have remission or who had a relapse). Analyses of the primary and key secondary end points were adjusted for age and number of treatment failures.</w:t>
      </w:r>
    </w:p>
    <w:p w14:paraId="2BD587DF" w14:textId="77777777" w:rsidR="0066255F" w:rsidRPr="00F05E92" w:rsidRDefault="0066255F" w:rsidP="0066255F">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Results: </w:t>
      </w:r>
      <w:r w:rsidRPr="00F05E92">
        <w:rPr>
          <w:rFonts w:asciiTheme="minorHAnsi" w:hAnsiTheme="minorHAnsi" w:cstheme="minorHAnsi"/>
          <w:color w:val="212121"/>
          <w:sz w:val="22"/>
          <w:szCs w:val="22"/>
        </w:rPr>
        <w:t xml:space="preserve">Overall, 336 patients were assigned to the </w:t>
      </w:r>
      <w:proofErr w:type="spellStart"/>
      <w:r w:rsidRPr="00F05E92">
        <w:rPr>
          <w:rFonts w:asciiTheme="minorHAnsi" w:hAnsiTheme="minorHAnsi" w:cstheme="minorHAnsi"/>
          <w:color w:val="212121"/>
          <w:sz w:val="22"/>
          <w:szCs w:val="22"/>
        </w:rPr>
        <w:t>esketamine</w:t>
      </w:r>
      <w:proofErr w:type="spellEnd"/>
      <w:r w:rsidRPr="00F05E92">
        <w:rPr>
          <w:rFonts w:asciiTheme="minorHAnsi" w:hAnsiTheme="minorHAnsi" w:cstheme="minorHAnsi"/>
          <w:color w:val="212121"/>
          <w:sz w:val="22"/>
          <w:szCs w:val="22"/>
        </w:rPr>
        <w:t xml:space="preserve"> group and 340 to the quetiapine group. More patients in the </w:t>
      </w:r>
      <w:proofErr w:type="spellStart"/>
      <w:r w:rsidRPr="00F05E92">
        <w:rPr>
          <w:rFonts w:asciiTheme="minorHAnsi" w:hAnsiTheme="minorHAnsi" w:cstheme="minorHAnsi"/>
          <w:color w:val="212121"/>
          <w:sz w:val="22"/>
          <w:szCs w:val="22"/>
        </w:rPr>
        <w:t>esketamine</w:t>
      </w:r>
      <w:proofErr w:type="spellEnd"/>
      <w:r w:rsidRPr="00F05E92">
        <w:rPr>
          <w:rFonts w:asciiTheme="minorHAnsi" w:hAnsiTheme="minorHAnsi" w:cstheme="minorHAnsi"/>
          <w:color w:val="212121"/>
          <w:sz w:val="22"/>
          <w:szCs w:val="22"/>
        </w:rPr>
        <w:t xml:space="preserve"> group than in the quetiapine group had remission at week 8 (91 of 336 patients [27.1%] vs. 60 of 340 patients [17.6%]; P = 0.003) and had no relapse through week 32 after remission at week 8 (73 of 336 patients [21.7%] vs. 48 of 340 patients [14.1%]). Over 32 weeks of follow-up, the percentage of patients with remission, the percentage of patients with a treatment response, and the change in the MADRS score from baseline favored </w:t>
      </w:r>
      <w:proofErr w:type="spellStart"/>
      <w:r w:rsidRPr="00F05E92">
        <w:rPr>
          <w:rFonts w:asciiTheme="minorHAnsi" w:hAnsiTheme="minorHAnsi" w:cstheme="minorHAnsi"/>
          <w:color w:val="212121"/>
          <w:sz w:val="22"/>
          <w:szCs w:val="22"/>
        </w:rPr>
        <w:t>esketamine</w:t>
      </w:r>
      <w:proofErr w:type="spellEnd"/>
      <w:r w:rsidRPr="00F05E92">
        <w:rPr>
          <w:rFonts w:asciiTheme="minorHAnsi" w:hAnsiTheme="minorHAnsi" w:cstheme="minorHAnsi"/>
          <w:color w:val="212121"/>
          <w:sz w:val="22"/>
          <w:szCs w:val="22"/>
        </w:rPr>
        <w:t xml:space="preserve"> nasal spray. The adverse events were consistent with the established safety profiles of the trial treatments.</w:t>
      </w:r>
    </w:p>
    <w:p w14:paraId="39CA4AAE" w14:textId="77777777" w:rsidR="0066255F" w:rsidRPr="00F05E92" w:rsidRDefault="0066255F" w:rsidP="0066255F">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Conclusions: </w:t>
      </w:r>
      <w:r w:rsidRPr="00F05E92">
        <w:rPr>
          <w:rFonts w:asciiTheme="minorHAnsi" w:hAnsiTheme="minorHAnsi" w:cstheme="minorHAnsi"/>
          <w:color w:val="212121"/>
          <w:sz w:val="22"/>
          <w:szCs w:val="22"/>
        </w:rPr>
        <w:t xml:space="preserve">In patients with treatment-resistant depression, </w:t>
      </w:r>
      <w:proofErr w:type="spellStart"/>
      <w:r w:rsidRPr="00F05E92">
        <w:rPr>
          <w:rFonts w:asciiTheme="minorHAnsi" w:hAnsiTheme="minorHAnsi" w:cstheme="minorHAnsi"/>
          <w:color w:val="212121"/>
          <w:sz w:val="22"/>
          <w:szCs w:val="22"/>
        </w:rPr>
        <w:t>esketamine</w:t>
      </w:r>
      <w:proofErr w:type="spellEnd"/>
      <w:r w:rsidRPr="00F05E92">
        <w:rPr>
          <w:rFonts w:asciiTheme="minorHAnsi" w:hAnsiTheme="minorHAnsi" w:cstheme="minorHAnsi"/>
          <w:color w:val="212121"/>
          <w:sz w:val="22"/>
          <w:szCs w:val="22"/>
        </w:rPr>
        <w:t xml:space="preserve"> nasal spray plus an SSRI or SNRI was superior to extended-release quetiapine plus an SSRI or SNRI with respect to remission at week 8. (Funded by Janssen EMEA; ESCAPE-TRD ClinicalTrials.gov number, </w:t>
      </w:r>
      <w:hyperlink r:id="rId14" w:tooltip="See in ClinicalTrials.gov" w:history="1">
        <w:r w:rsidRPr="00F05E92">
          <w:rPr>
            <w:rStyle w:val="Hyperlink"/>
            <w:rFonts w:asciiTheme="minorHAnsi" w:hAnsiTheme="minorHAnsi" w:cstheme="minorHAnsi"/>
            <w:color w:val="0071BC"/>
            <w:sz w:val="22"/>
            <w:szCs w:val="22"/>
          </w:rPr>
          <w:t>NCT04338321</w:t>
        </w:r>
      </w:hyperlink>
      <w:r w:rsidRPr="00F05E92">
        <w:rPr>
          <w:rFonts w:asciiTheme="minorHAnsi" w:hAnsiTheme="minorHAnsi" w:cstheme="minorHAnsi"/>
          <w:color w:val="212121"/>
          <w:sz w:val="22"/>
          <w:szCs w:val="22"/>
        </w:rPr>
        <w:t>.).</w:t>
      </w:r>
    </w:p>
    <w:p w14:paraId="14C78F92" w14:textId="77777777" w:rsidR="00A61E2B" w:rsidRPr="00F05E92" w:rsidRDefault="00A61E2B" w:rsidP="00A61E2B">
      <w:pPr>
        <w:pStyle w:val="Heading1"/>
        <w:shd w:val="clear" w:color="auto" w:fill="FFFFFF"/>
        <w:rPr>
          <w:rFonts w:cstheme="minorHAnsi"/>
          <w:color w:val="212121"/>
        </w:rPr>
      </w:pPr>
      <w:bookmarkStart w:id="5" w:name="_Toc149913351"/>
      <w:r w:rsidRPr="00F05E92">
        <w:rPr>
          <w:rFonts w:cstheme="minorHAnsi"/>
          <w:color w:val="212121"/>
        </w:rPr>
        <w:t>Racial disparities in utilization of first-generation versus second-generation long-acting injectable antipsychotics in Medicaid beneficiaries with schizophrenia</w:t>
      </w:r>
      <w:bookmarkEnd w:id="5"/>
    </w:p>
    <w:p w14:paraId="1223CEBD" w14:textId="77777777" w:rsidR="00DC62E6" w:rsidRPr="00F05E92" w:rsidRDefault="00DC62E6" w:rsidP="00731277">
      <w:pPr>
        <w:rPr>
          <w:rFonts w:cstheme="minorHAnsi"/>
        </w:rPr>
      </w:pPr>
    </w:p>
    <w:p w14:paraId="1A988F00" w14:textId="1436B2D8" w:rsidR="00A61E2B" w:rsidRPr="00F05E92" w:rsidRDefault="00A61E2B" w:rsidP="00731277">
      <w:pPr>
        <w:rPr>
          <w:rFonts w:cstheme="minorHAnsi"/>
          <w:color w:val="212121"/>
          <w:shd w:val="clear" w:color="auto" w:fill="FFFFFF"/>
        </w:rPr>
      </w:pPr>
      <w:proofErr w:type="spellStart"/>
      <w:r w:rsidRPr="00F05E92">
        <w:rPr>
          <w:rFonts w:cstheme="minorHAnsi"/>
          <w:color w:val="212121"/>
          <w:shd w:val="clear" w:color="auto" w:fill="FFFFFF"/>
        </w:rPr>
        <w:t>Pesa</w:t>
      </w:r>
      <w:proofErr w:type="spellEnd"/>
      <w:r w:rsidRPr="00F05E92">
        <w:rPr>
          <w:rFonts w:cstheme="minorHAnsi"/>
          <w:color w:val="212121"/>
          <w:shd w:val="clear" w:color="auto" w:fill="FFFFFF"/>
        </w:rPr>
        <w:t xml:space="preserve"> J, Liu Z, Fu AZ, Campbell AK, </w:t>
      </w:r>
      <w:proofErr w:type="spellStart"/>
      <w:r w:rsidRPr="00F05E92">
        <w:rPr>
          <w:rFonts w:cstheme="minorHAnsi"/>
          <w:color w:val="212121"/>
          <w:shd w:val="clear" w:color="auto" w:fill="FFFFFF"/>
        </w:rPr>
        <w:t>Grucza</w:t>
      </w:r>
      <w:proofErr w:type="spellEnd"/>
      <w:r w:rsidRPr="00F05E92">
        <w:rPr>
          <w:rFonts w:cstheme="minorHAnsi"/>
          <w:color w:val="212121"/>
          <w:shd w:val="clear" w:color="auto" w:fill="FFFFFF"/>
        </w:rPr>
        <w:t xml:space="preserve"> R. Racial disparities in utilization of first-generation versus second-generation long-acting injectable antipsychotics in Medicaid beneficiaries with schizophrenia. </w:t>
      </w:r>
      <w:proofErr w:type="spellStart"/>
      <w:r w:rsidRPr="00F05E92">
        <w:rPr>
          <w:rFonts w:cstheme="minorHAnsi"/>
          <w:color w:val="212121"/>
          <w:shd w:val="clear" w:color="auto" w:fill="FFFFFF"/>
        </w:rPr>
        <w:t>Schizophr</w:t>
      </w:r>
      <w:proofErr w:type="spellEnd"/>
      <w:r w:rsidRPr="00F05E92">
        <w:rPr>
          <w:rFonts w:cstheme="minorHAnsi"/>
          <w:color w:val="212121"/>
          <w:shd w:val="clear" w:color="auto" w:fill="FFFFFF"/>
        </w:rPr>
        <w:t xml:space="preserve"> Res. 2023 Sep </w:t>
      </w:r>
      <w:proofErr w:type="gramStart"/>
      <w:r w:rsidRPr="00F05E92">
        <w:rPr>
          <w:rFonts w:cstheme="minorHAnsi"/>
          <w:color w:val="212121"/>
          <w:shd w:val="clear" w:color="auto" w:fill="FFFFFF"/>
        </w:rPr>
        <w:t>29;261:170</w:t>
      </w:r>
      <w:proofErr w:type="gramEnd"/>
      <w:r w:rsidRPr="00F05E92">
        <w:rPr>
          <w:rFonts w:cstheme="minorHAnsi"/>
          <w:color w:val="212121"/>
          <w:shd w:val="clear" w:color="auto" w:fill="FFFFFF"/>
        </w:rPr>
        <w:t xml:space="preserve">-177. </w:t>
      </w:r>
      <w:proofErr w:type="spellStart"/>
      <w:r w:rsidRPr="00F05E92">
        <w:rPr>
          <w:rFonts w:cstheme="minorHAnsi"/>
          <w:color w:val="212121"/>
          <w:shd w:val="clear" w:color="auto" w:fill="FFFFFF"/>
        </w:rPr>
        <w:t>doi</w:t>
      </w:r>
      <w:proofErr w:type="spellEnd"/>
      <w:r w:rsidRPr="00F05E92">
        <w:rPr>
          <w:rFonts w:cstheme="minorHAnsi"/>
          <w:color w:val="212121"/>
          <w:shd w:val="clear" w:color="auto" w:fill="FFFFFF"/>
        </w:rPr>
        <w:t xml:space="preserve">: 10.1016/j.schres.2023.09.033. </w:t>
      </w:r>
      <w:proofErr w:type="spellStart"/>
      <w:r w:rsidRPr="00F05E92">
        <w:rPr>
          <w:rFonts w:cstheme="minorHAnsi"/>
          <w:color w:val="212121"/>
          <w:shd w:val="clear" w:color="auto" w:fill="FFFFFF"/>
        </w:rPr>
        <w:t>Epub</w:t>
      </w:r>
      <w:proofErr w:type="spellEnd"/>
      <w:r w:rsidRPr="00F05E92">
        <w:rPr>
          <w:rFonts w:cstheme="minorHAnsi"/>
          <w:color w:val="212121"/>
          <w:shd w:val="clear" w:color="auto" w:fill="FFFFFF"/>
        </w:rPr>
        <w:t xml:space="preserve"> ahead of print. </w:t>
      </w:r>
      <w:hyperlink r:id="rId15" w:history="1">
        <w:r w:rsidRPr="00F05E92">
          <w:rPr>
            <w:rStyle w:val="Hyperlink"/>
            <w:rFonts w:cstheme="minorHAnsi"/>
            <w:shd w:val="clear" w:color="auto" w:fill="FFFFFF"/>
          </w:rPr>
          <w:t>PMID: 37778124</w:t>
        </w:r>
      </w:hyperlink>
      <w:r w:rsidRPr="00F05E92">
        <w:rPr>
          <w:rFonts w:cstheme="minorHAnsi"/>
          <w:color w:val="212121"/>
          <w:shd w:val="clear" w:color="auto" w:fill="FFFFFF"/>
        </w:rPr>
        <w:t>.</w:t>
      </w:r>
    </w:p>
    <w:p w14:paraId="71125618" w14:textId="77777777" w:rsidR="001A5A14" w:rsidRPr="00F05E92" w:rsidRDefault="001A5A14" w:rsidP="001A5A14">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Background: </w:t>
      </w:r>
      <w:r w:rsidRPr="00F05E92">
        <w:rPr>
          <w:rFonts w:asciiTheme="minorHAnsi" w:hAnsiTheme="minorHAnsi" w:cstheme="minorHAnsi"/>
          <w:color w:val="212121"/>
          <w:sz w:val="22"/>
          <w:szCs w:val="22"/>
        </w:rPr>
        <w:t>Multiple studies report racial disparities in antipsychotic prescription patterns. This study assessed demographic and clinical factors associated with the utilization of first-generation (FG) versus second-generation (SG) long-acting injectable (LAI) antipsychotics.</w:t>
      </w:r>
    </w:p>
    <w:p w14:paraId="677DC47D" w14:textId="77777777" w:rsidR="001A5A14" w:rsidRPr="00F05E92" w:rsidRDefault="001A5A14" w:rsidP="001A5A14">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Methods: </w:t>
      </w:r>
      <w:r w:rsidRPr="00F05E92">
        <w:rPr>
          <w:rFonts w:asciiTheme="minorHAnsi" w:hAnsiTheme="minorHAnsi" w:cstheme="minorHAnsi"/>
          <w:color w:val="212121"/>
          <w:sz w:val="22"/>
          <w:szCs w:val="22"/>
        </w:rPr>
        <w:t xml:space="preserve">This retrospective, observational cohort analysis used claims data from the IBM </w:t>
      </w:r>
      <w:proofErr w:type="spellStart"/>
      <w:r w:rsidRPr="00F05E92">
        <w:rPr>
          <w:rFonts w:asciiTheme="minorHAnsi" w:hAnsiTheme="minorHAnsi" w:cstheme="minorHAnsi"/>
          <w:color w:val="212121"/>
          <w:sz w:val="22"/>
          <w:szCs w:val="22"/>
        </w:rPr>
        <w:t>MarketScan</w:t>
      </w:r>
      <w:proofErr w:type="spellEnd"/>
      <w:r w:rsidRPr="00F05E92">
        <w:rPr>
          <w:rFonts w:asciiTheme="minorHAnsi" w:hAnsiTheme="minorHAnsi" w:cstheme="minorHAnsi"/>
          <w:color w:val="212121"/>
          <w:sz w:val="22"/>
          <w:szCs w:val="22"/>
        </w:rPr>
        <w:t xml:space="preserve">® Multi-State Medicaid database. The study included adults with an LAI claim between 01-January-2009 </w:t>
      </w:r>
      <w:r w:rsidRPr="00F05E92">
        <w:rPr>
          <w:rFonts w:asciiTheme="minorHAnsi" w:hAnsiTheme="minorHAnsi" w:cstheme="minorHAnsi"/>
          <w:color w:val="212121"/>
          <w:sz w:val="22"/>
          <w:szCs w:val="22"/>
        </w:rPr>
        <w:lastRenderedPageBreak/>
        <w:t>and 31-December-2018, an ICD-9-CM or ICD-10-CM diagnosis of schizophrenia, race recorded as Black or White, and ≥12 months of continuous enrollment before the index LAI. Descriptive analysis detailed the relationship between race and FG or SG LAI initiation. Multivariate logistic regression was used to assess potential associations with FG vs. SG LAI initiation, including clinical and demographic factors, comorbidities, and index year.</w:t>
      </w:r>
    </w:p>
    <w:p w14:paraId="5EE7CD4B" w14:textId="77777777" w:rsidR="001A5A14" w:rsidRPr="00F05E92" w:rsidRDefault="001A5A14" w:rsidP="001A5A14">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Results: </w:t>
      </w:r>
      <w:r w:rsidRPr="00F05E92">
        <w:rPr>
          <w:rFonts w:asciiTheme="minorHAnsi" w:hAnsiTheme="minorHAnsi" w:cstheme="minorHAnsi"/>
          <w:color w:val="212121"/>
          <w:sz w:val="22"/>
          <w:szCs w:val="22"/>
        </w:rPr>
        <w:t>A total of 10,773 patients were included: 6659 (62 %) Black and 4114 (38 %) White. Black patients had a higher utilization of FG LAIs than White patients (46.8 % vs. 38.9 %) over the 10 years analyzed. Black patients were more likely to utilize FG LAIs than White patients (odds ratio: 1.47; 95 % CI: 1.34, 1.62) after controlling for index year and covariates (race, age, gender, insurance plan type, Quan-</w:t>
      </w:r>
      <w:proofErr w:type="spellStart"/>
      <w:r w:rsidRPr="00F05E92">
        <w:rPr>
          <w:rFonts w:asciiTheme="minorHAnsi" w:hAnsiTheme="minorHAnsi" w:cstheme="minorHAnsi"/>
          <w:color w:val="212121"/>
          <w:sz w:val="22"/>
          <w:szCs w:val="22"/>
        </w:rPr>
        <w:t>Charlson</w:t>
      </w:r>
      <w:proofErr w:type="spellEnd"/>
      <w:r w:rsidRPr="00F05E92">
        <w:rPr>
          <w:rFonts w:asciiTheme="minorHAnsi" w:hAnsiTheme="minorHAnsi" w:cstheme="minorHAnsi"/>
          <w:color w:val="212121"/>
          <w:sz w:val="22"/>
          <w:szCs w:val="22"/>
        </w:rPr>
        <w:t xml:space="preserve"> Comorbidity index score, comorbidities, prior medications). Significant predictors of FG LAI utilization were older age, type of baseline oral antipsychotic (FG vs SG), type of coverage (managed care vs fee for service), and greater comorbidity burden.</w:t>
      </w:r>
    </w:p>
    <w:p w14:paraId="7DBBA6EF" w14:textId="77777777" w:rsidR="001A5A14" w:rsidRPr="00F05E92" w:rsidRDefault="001A5A14" w:rsidP="001A5A14">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Conclusion: </w:t>
      </w:r>
      <w:r w:rsidRPr="00F05E92">
        <w:rPr>
          <w:rFonts w:asciiTheme="minorHAnsi" w:hAnsiTheme="minorHAnsi" w:cstheme="minorHAnsi"/>
          <w:color w:val="212121"/>
          <w:sz w:val="22"/>
          <w:szCs w:val="22"/>
        </w:rPr>
        <w:t>The utilization of FG LAIs was greater in Black compared to White Medicaid beneficiaries with schizophrenia over a 10-year period. These findings suggest that racial disparities exist in LAI initiation, with implications for differential quality of schizophrenia treatment.</w:t>
      </w:r>
    </w:p>
    <w:p w14:paraId="38928C66" w14:textId="77777777" w:rsidR="00A0147B" w:rsidRPr="00F05E92" w:rsidRDefault="00A0147B" w:rsidP="00A0147B">
      <w:pPr>
        <w:pStyle w:val="Heading1"/>
        <w:shd w:val="clear" w:color="auto" w:fill="FFFFFF"/>
        <w:rPr>
          <w:rFonts w:cstheme="minorHAnsi"/>
          <w:color w:val="212121"/>
        </w:rPr>
      </w:pPr>
      <w:bookmarkStart w:id="6" w:name="_Toc149913352"/>
      <w:r w:rsidRPr="00F05E92">
        <w:rPr>
          <w:rFonts w:cstheme="minorHAnsi"/>
          <w:color w:val="212121"/>
        </w:rPr>
        <w:t>Efficacy and safety of </w:t>
      </w:r>
      <w:r w:rsidRPr="00F05E92">
        <w:rPr>
          <w:rFonts w:cstheme="minorHAnsi"/>
          <w:i/>
          <w:iCs/>
          <w:color w:val="212121"/>
        </w:rPr>
        <w:t>n</w:t>
      </w:r>
      <w:r w:rsidRPr="00F05E92">
        <w:rPr>
          <w:rFonts w:cstheme="minorHAnsi"/>
          <w:color w:val="212121"/>
        </w:rPr>
        <w:t>-3 fatty acids supplementation on depression: a systematic review and dose-response meta-analysis of randomised controlled trials</w:t>
      </w:r>
      <w:bookmarkEnd w:id="6"/>
    </w:p>
    <w:p w14:paraId="347AE313" w14:textId="0B912A0A" w:rsidR="00A0147B" w:rsidRPr="00F05E92" w:rsidRDefault="00A0147B" w:rsidP="001A5A14">
      <w:pPr>
        <w:pStyle w:val="NormalWeb"/>
        <w:shd w:val="clear" w:color="auto" w:fill="FFFFFF"/>
        <w:rPr>
          <w:rFonts w:asciiTheme="minorHAnsi" w:hAnsiTheme="minorHAnsi" w:cstheme="minorHAnsi"/>
          <w:color w:val="212121"/>
          <w:sz w:val="22"/>
          <w:szCs w:val="22"/>
          <w:shd w:val="clear" w:color="auto" w:fill="FFFFFF"/>
        </w:rPr>
      </w:pPr>
      <w:proofErr w:type="spellStart"/>
      <w:r w:rsidRPr="00F05E92">
        <w:rPr>
          <w:rFonts w:asciiTheme="minorHAnsi" w:hAnsiTheme="minorHAnsi" w:cstheme="minorHAnsi"/>
          <w:color w:val="212121"/>
          <w:sz w:val="22"/>
          <w:szCs w:val="22"/>
          <w:shd w:val="clear" w:color="auto" w:fill="FFFFFF"/>
        </w:rPr>
        <w:t>Norouziasl</w:t>
      </w:r>
      <w:proofErr w:type="spellEnd"/>
      <w:r w:rsidRPr="00F05E92">
        <w:rPr>
          <w:rFonts w:asciiTheme="minorHAnsi" w:hAnsiTheme="minorHAnsi" w:cstheme="minorHAnsi"/>
          <w:color w:val="212121"/>
          <w:sz w:val="22"/>
          <w:szCs w:val="22"/>
          <w:shd w:val="clear" w:color="auto" w:fill="FFFFFF"/>
        </w:rPr>
        <w:t xml:space="preserve"> R, </w:t>
      </w:r>
      <w:proofErr w:type="spellStart"/>
      <w:r w:rsidRPr="00F05E92">
        <w:rPr>
          <w:rFonts w:asciiTheme="minorHAnsi" w:hAnsiTheme="minorHAnsi" w:cstheme="minorHAnsi"/>
          <w:color w:val="212121"/>
          <w:sz w:val="22"/>
          <w:szCs w:val="22"/>
          <w:shd w:val="clear" w:color="auto" w:fill="FFFFFF"/>
        </w:rPr>
        <w:t>Zeraattalab-Motlagh</w:t>
      </w:r>
      <w:proofErr w:type="spellEnd"/>
      <w:r w:rsidRPr="00F05E92">
        <w:rPr>
          <w:rFonts w:asciiTheme="minorHAnsi" w:hAnsiTheme="minorHAnsi" w:cstheme="minorHAnsi"/>
          <w:color w:val="212121"/>
          <w:sz w:val="22"/>
          <w:szCs w:val="22"/>
          <w:shd w:val="clear" w:color="auto" w:fill="FFFFFF"/>
        </w:rPr>
        <w:t xml:space="preserve"> S, </w:t>
      </w:r>
      <w:proofErr w:type="spellStart"/>
      <w:r w:rsidRPr="00F05E92">
        <w:rPr>
          <w:rFonts w:asciiTheme="minorHAnsi" w:hAnsiTheme="minorHAnsi" w:cstheme="minorHAnsi"/>
          <w:color w:val="212121"/>
          <w:sz w:val="22"/>
          <w:szCs w:val="22"/>
          <w:shd w:val="clear" w:color="auto" w:fill="FFFFFF"/>
        </w:rPr>
        <w:t>Jayedi</w:t>
      </w:r>
      <w:proofErr w:type="spellEnd"/>
      <w:r w:rsidRPr="00F05E92">
        <w:rPr>
          <w:rFonts w:asciiTheme="minorHAnsi" w:hAnsiTheme="minorHAnsi" w:cstheme="minorHAnsi"/>
          <w:color w:val="212121"/>
          <w:sz w:val="22"/>
          <w:szCs w:val="22"/>
          <w:shd w:val="clear" w:color="auto" w:fill="FFFFFF"/>
        </w:rPr>
        <w:t xml:space="preserve"> A, Shab-Bidar S. Efficacy and safety of </w:t>
      </w:r>
      <w:r w:rsidRPr="00F05E92">
        <w:rPr>
          <w:rFonts w:asciiTheme="minorHAnsi" w:hAnsiTheme="minorHAnsi" w:cstheme="minorHAnsi"/>
          <w:i/>
          <w:iCs/>
          <w:color w:val="212121"/>
          <w:sz w:val="22"/>
          <w:szCs w:val="22"/>
          <w:shd w:val="clear" w:color="auto" w:fill="FFFFFF"/>
        </w:rPr>
        <w:t>n</w:t>
      </w:r>
      <w:r w:rsidRPr="00F05E92">
        <w:rPr>
          <w:rFonts w:asciiTheme="minorHAnsi" w:hAnsiTheme="minorHAnsi" w:cstheme="minorHAnsi"/>
          <w:color w:val="212121"/>
          <w:sz w:val="22"/>
          <w:szCs w:val="22"/>
          <w:shd w:val="clear" w:color="auto" w:fill="FFFFFF"/>
        </w:rPr>
        <w:t xml:space="preserve">-3 fatty acids supplementation on depression: a systematic review and dose-response meta-analysis of </w:t>
      </w:r>
      <w:proofErr w:type="spellStart"/>
      <w:r w:rsidRPr="00F05E92">
        <w:rPr>
          <w:rFonts w:asciiTheme="minorHAnsi" w:hAnsiTheme="minorHAnsi" w:cstheme="minorHAnsi"/>
          <w:color w:val="212121"/>
          <w:sz w:val="22"/>
          <w:szCs w:val="22"/>
          <w:shd w:val="clear" w:color="auto" w:fill="FFFFFF"/>
        </w:rPr>
        <w:t>randomised</w:t>
      </w:r>
      <w:proofErr w:type="spellEnd"/>
      <w:r w:rsidRPr="00F05E92">
        <w:rPr>
          <w:rFonts w:asciiTheme="minorHAnsi" w:hAnsiTheme="minorHAnsi" w:cstheme="minorHAnsi"/>
          <w:color w:val="212121"/>
          <w:sz w:val="22"/>
          <w:szCs w:val="22"/>
          <w:shd w:val="clear" w:color="auto" w:fill="FFFFFF"/>
        </w:rPr>
        <w:t xml:space="preserve"> controlled trials. Br J </w:t>
      </w:r>
      <w:proofErr w:type="spellStart"/>
      <w:r w:rsidRPr="00F05E92">
        <w:rPr>
          <w:rFonts w:asciiTheme="minorHAnsi" w:hAnsiTheme="minorHAnsi" w:cstheme="minorHAnsi"/>
          <w:color w:val="212121"/>
          <w:sz w:val="22"/>
          <w:szCs w:val="22"/>
          <w:shd w:val="clear" w:color="auto" w:fill="FFFFFF"/>
        </w:rPr>
        <w:t>Nutr</w:t>
      </w:r>
      <w:proofErr w:type="spellEnd"/>
      <w:r w:rsidRPr="00F05E92">
        <w:rPr>
          <w:rFonts w:asciiTheme="minorHAnsi" w:hAnsiTheme="minorHAnsi" w:cstheme="minorHAnsi"/>
          <w:color w:val="212121"/>
          <w:sz w:val="22"/>
          <w:szCs w:val="22"/>
          <w:shd w:val="clear" w:color="auto" w:fill="FFFFFF"/>
        </w:rPr>
        <w:t xml:space="preserve">. 2023 Sep 20:1-14. </w:t>
      </w:r>
      <w:proofErr w:type="spellStart"/>
      <w:r w:rsidRPr="00F05E92">
        <w:rPr>
          <w:rFonts w:asciiTheme="minorHAnsi" w:hAnsiTheme="minorHAnsi" w:cstheme="minorHAnsi"/>
          <w:color w:val="212121"/>
          <w:sz w:val="22"/>
          <w:szCs w:val="22"/>
          <w:shd w:val="clear" w:color="auto" w:fill="FFFFFF"/>
        </w:rPr>
        <w:t>doi</w:t>
      </w:r>
      <w:proofErr w:type="spellEnd"/>
      <w:r w:rsidRPr="00F05E92">
        <w:rPr>
          <w:rFonts w:asciiTheme="minorHAnsi" w:hAnsiTheme="minorHAnsi" w:cstheme="minorHAnsi"/>
          <w:color w:val="212121"/>
          <w:sz w:val="22"/>
          <w:szCs w:val="22"/>
          <w:shd w:val="clear" w:color="auto" w:fill="FFFFFF"/>
        </w:rPr>
        <w:t xml:space="preserve">: 10.1017/S0007114523002052. </w:t>
      </w:r>
      <w:proofErr w:type="spellStart"/>
      <w:r w:rsidRPr="00F05E92">
        <w:rPr>
          <w:rFonts w:asciiTheme="minorHAnsi" w:hAnsiTheme="minorHAnsi" w:cstheme="minorHAnsi"/>
          <w:color w:val="212121"/>
          <w:sz w:val="22"/>
          <w:szCs w:val="22"/>
          <w:shd w:val="clear" w:color="auto" w:fill="FFFFFF"/>
        </w:rPr>
        <w:t>Epub</w:t>
      </w:r>
      <w:proofErr w:type="spellEnd"/>
      <w:r w:rsidRPr="00F05E92">
        <w:rPr>
          <w:rFonts w:asciiTheme="minorHAnsi" w:hAnsiTheme="minorHAnsi" w:cstheme="minorHAnsi"/>
          <w:color w:val="212121"/>
          <w:sz w:val="22"/>
          <w:szCs w:val="22"/>
          <w:shd w:val="clear" w:color="auto" w:fill="FFFFFF"/>
        </w:rPr>
        <w:t xml:space="preserve"> ahead of print. </w:t>
      </w:r>
      <w:hyperlink r:id="rId16" w:history="1">
        <w:r w:rsidRPr="00F05E92">
          <w:rPr>
            <w:rStyle w:val="Hyperlink"/>
            <w:rFonts w:asciiTheme="minorHAnsi" w:hAnsiTheme="minorHAnsi" w:cstheme="minorHAnsi"/>
            <w:sz w:val="22"/>
            <w:szCs w:val="22"/>
            <w:shd w:val="clear" w:color="auto" w:fill="FFFFFF"/>
          </w:rPr>
          <w:t>PMID: 37726108</w:t>
        </w:r>
      </w:hyperlink>
      <w:r w:rsidRPr="00F05E92">
        <w:rPr>
          <w:rFonts w:asciiTheme="minorHAnsi" w:hAnsiTheme="minorHAnsi" w:cstheme="minorHAnsi"/>
          <w:color w:val="212121"/>
          <w:sz w:val="22"/>
          <w:szCs w:val="22"/>
          <w:shd w:val="clear" w:color="auto" w:fill="FFFFFF"/>
        </w:rPr>
        <w:t>.</w:t>
      </w:r>
    </w:p>
    <w:p w14:paraId="24F22060" w14:textId="250B16A3" w:rsidR="00A0147B" w:rsidRPr="00F05E92" w:rsidRDefault="003176F3" w:rsidP="001A5A14">
      <w:pPr>
        <w:pStyle w:val="NormalWeb"/>
        <w:shd w:val="clear" w:color="auto" w:fill="FFFFFF"/>
        <w:rPr>
          <w:rFonts w:asciiTheme="minorHAnsi" w:hAnsiTheme="minorHAnsi" w:cstheme="minorHAnsi"/>
          <w:color w:val="212121"/>
          <w:sz w:val="22"/>
          <w:szCs w:val="22"/>
          <w:shd w:val="clear" w:color="auto" w:fill="FFFFFF"/>
        </w:rPr>
      </w:pPr>
      <w:r w:rsidRPr="00F05E92">
        <w:rPr>
          <w:rFonts w:asciiTheme="minorHAnsi" w:hAnsiTheme="minorHAnsi" w:cstheme="minorHAnsi"/>
          <w:color w:val="212121"/>
          <w:sz w:val="22"/>
          <w:szCs w:val="22"/>
          <w:shd w:val="clear" w:color="auto" w:fill="FFFFFF"/>
        </w:rPr>
        <w:t>We aimed to investigate the effectiveness of </w:t>
      </w:r>
      <w:r w:rsidRPr="00F05E92">
        <w:rPr>
          <w:rFonts w:asciiTheme="minorHAnsi" w:hAnsiTheme="minorHAnsi" w:cstheme="minorHAnsi"/>
          <w:i/>
          <w:iCs/>
          <w:color w:val="212121"/>
          <w:sz w:val="22"/>
          <w:szCs w:val="22"/>
          <w:shd w:val="clear" w:color="auto" w:fill="FFFFFF"/>
        </w:rPr>
        <w:t>n</w:t>
      </w:r>
      <w:r w:rsidRPr="00F05E92">
        <w:rPr>
          <w:rFonts w:asciiTheme="minorHAnsi" w:hAnsiTheme="minorHAnsi" w:cstheme="minorHAnsi"/>
          <w:color w:val="212121"/>
          <w:sz w:val="22"/>
          <w:szCs w:val="22"/>
          <w:shd w:val="clear" w:color="auto" w:fill="FFFFFF"/>
        </w:rPr>
        <w:t xml:space="preserve">-3 fatty acids supplementation on the risk of developing depression, depressive symptoms and remission of depression. We searched PubMed, Scopus and Web of Science from inception to December 2022 to find </w:t>
      </w:r>
      <w:proofErr w:type="spellStart"/>
      <w:r w:rsidRPr="00F05E92">
        <w:rPr>
          <w:rFonts w:asciiTheme="minorHAnsi" w:hAnsiTheme="minorHAnsi" w:cstheme="minorHAnsi"/>
          <w:color w:val="212121"/>
          <w:sz w:val="22"/>
          <w:szCs w:val="22"/>
          <w:shd w:val="clear" w:color="auto" w:fill="FFFFFF"/>
        </w:rPr>
        <w:t>randomised</w:t>
      </w:r>
      <w:proofErr w:type="spellEnd"/>
      <w:r w:rsidRPr="00F05E92">
        <w:rPr>
          <w:rFonts w:asciiTheme="minorHAnsi" w:hAnsiTheme="minorHAnsi" w:cstheme="minorHAnsi"/>
          <w:color w:val="212121"/>
          <w:sz w:val="22"/>
          <w:szCs w:val="22"/>
          <w:shd w:val="clear" w:color="auto" w:fill="FFFFFF"/>
        </w:rPr>
        <w:t xml:space="preserve"> trials of </w:t>
      </w:r>
      <w:r w:rsidRPr="00F05E92">
        <w:rPr>
          <w:rFonts w:asciiTheme="minorHAnsi" w:hAnsiTheme="minorHAnsi" w:cstheme="minorHAnsi"/>
          <w:i/>
          <w:iCs/>
          <w:color w:val="212121"/>
          <w:sz w:val="22"/>
          <w:szCs w:val="22"/>
          <w:shd w:val="clear" w:color="auto" w:fill="FFFFFF"/>
        </w:rPr>
        <w:t>n</w:t>
      </w:r>
      <w:r w:rsidRPr="00F05E92">
        <w:rPr>
          <w:rFonts w:asciiTheme="minorHAnsi" w:hAnsiTheme="minorHAnsi" w:cstheme="minorHAnsi"/>
          <w:color w:val="212121"/>
          <w:sz w:val="22"/>
          <w:szCs w:val="22"/>
          <w:shd w:val="clear" w:color="auto" w:fill="FFFFFF"/>
        </w:rPr>
        <w:t xml:space="preserve">-3 fatty acids supplementation in adults. We conducted random-effects meta-analyses to estimate </w:t>
      </w:r>
      <w:proofErr w:type="spellStart"/>
      <w:r w:rsidRPr="00F05E92">
        <w:rPr>
          <w:rFonts w:asciiTheme="minorHAnsi" w:hAnsiTheme="minorHAnsi" w:cstheme="minorHAnsi"/>
          <w:color w:val="212121"/>
          <w:sz w:val="22"/>
          <w:szCs w:val="22"/>
          <w:shd w:val="clear" w:color="auto" w:fill="FFFFFF"/>
        </w:rPr>
        <w:t>standardised</w:t>
      </w:r>
      <w:proofErr w:type="spellEnd"/>
      <w:r w:rsidRPr="00F05E92">
        <w:rPr>
          <w:rFonts w:asciiTheme="minorHAnsi" w:hAnsiTheme="minorHAnsi" w:cstheme="minorHAnsi"/>
          <w:color w:val="212121"/>
          <w:sz w:val="22"/>
          <w:szCs w:val="22"/>
          <w:shd w:val="clear" w:color="auto" w:fill="FFFFFF"/>
        </w:rPr>
        <w:t xml:space="preserve"> mean differences (SMD) and 95 % CI for continuous outcomes and risk difference and 95 % CI for binary outcomes. A total of sixty-seven trials were included. Each 1 g/d </w:t>
      </w:r>
      <w:r w:rsidRPr="00F05E92">
        <w:rPr>
          <w:rFonts w:asciiTheme="minorHAnsi" w:hAnsiTheme="minorHAnsi" w:cstheme="minorHAnsi"/>
          <w:i/>
          <w:iCs/>
          <w:color w:val="212121"/>
          <w:sz w:val="22"/>
          <w:szCs w:val="22"/>
          <w:shd w:val="clear" w:color="auto" w:fill="FFFFFF"/>
        </w:rPr>
        <w:t>n</w:t>
      </w:r>
      <w:r w:rsidRPr="00F05E92">
        <w:rPr>
          <w:rFonts w:asciiTheme="minorHAnsi" w:hAnsiTheme="minorHAnsi" w:cstheme="minorHAnsi"/>
          <w:color w:val="212121"/>
          <w:sz w:val="22"/>
          <w:szCs w:val="22"/>
          <w:shd w:val="clear" w:color="auto" w:fill="FFFFFF"/>
        </w:rPr>
        <w:t>-3 fatty acids supplementation significantly improved depressive symptoms in adults with and without depression (moderate-certainty evidence), with a larger improvement in patients with existing depression. Dose-response analyses indicated a U-shaped effect in patients with existing depression, with the greatest improvement at 1·5 g/d. The analysis showed that </w:t>
      </w:r>
      <w:r w:rsidRPr="00F05E92">
        <w:rPr>
          <w:rFonts w:asciiTheme="minorHAnsi" w:hAnsiTheme="minorHAnsi" w:cstheme="minorHAnsi"/>
          <w:i/>
          <w:iCs/>
          <w:color w:val="212121"/>
          <w:sz w:val="22"/>
          <w:szCs w:val="22"/>
          <w:shd w:val="clear" w:color="auto" w:fill="FFFFFF"/>
        </w:rPr>
        <w:t>n</w:t>
      </w:r>
      <w:r w:rsidRPr="00F05E92">
        <w:rPr>
          <w:rFonts w:asciiTheme="minorHAnsi" w:hAnsiTheme="minorHAnsi" w:cstheme="minorHAnsi"/>
          <w:color w:val="212121"/>
          <w:sz w:val="22"/>
          <w:szCs w:val="22"/>
          <w:shd w:val="clear" w:color="auto" w:fill="FFFFFF"/>
        </w:rPr>
        <w:t>-3 fatty acid supplementation significantly increased depression remission by 19 more per 100 in patients with depression (low-certainty evidence). Supplementation with </w:t>
      </w:r>
      <w:r w:rsidRPr="00F05E92">
        <w:rPr>
          <w:rFonts w:asciiTheme="minorHAnsi" w:hAnsiTheme="minorHAnsi" w:cstheme="minorHAnsi"/>
          <w:i/>
          <w:iCs/>
          <w:color w:val="212121"/>
          <w:sz w:val="22"/>
          <w:szCs w:val="22"/>
          <w:shd w:val="clear" w:color="auto" w:fill="FFFFFF"/>
        </w:rPr>
        <w:t>n</w:t>
      </w:r>
      <w:r w:rsidRPr="00F05E92">
        <w:rPr>
          <w:rFonts w:asciiTheme="minorHAnsi" w:hAnsiTheme="minorHAnsi" w:cstheme="minorHAnsi"/>
          <w:color w:val="212121"/>
          <w:sz w:val="22"/>
          <w:szCs w:val="22"/>
          <w:shd w:val="clear" w:color="auto" w:fill="FFFFFF"/>
        </w:rPr>
        <w:t>-3 fatty acids did not reduce the risk of developing depression among the general population, but it did improve the severity of depression among patients with existing depression.</w:t>
      </w:r>
    </w:p>
    <w:p w14:paraId="74F4655C" w14:textId="77777777" w:rsidR="003176F3" w:rsidRPr="00F05E92" w:rsidRDefault="003176F3" w:rsidP="001A5A14">
      <w:pPr>
        <w:pStyle w:val="NormalWeb"/>
        <w:shd w:val="clear" w:color="auto" w:fill="FFFFFF"/>
        <w:rPr>
          <w:rFonts w:asciiTheme="minorHAnsi" w:hAnsiTheme="minorHAnsi" w:cstheme="minorHAnsi"/>
          <w:color w:val="212121"/>
          <w:sz w:val="22"/>
          <w:szCs w:val="22"/>
          <w:shd w:val="clear" w:color="auto" w:fill="FFFFFF"/>
        </w:rPr>
      </w:pPr>
    </w:p>
    <w:p w14:paraId="5FDD56A8" w14:textId="77777777" w:rsidR="00BF3666" w:rsidRPr="00F05E92" w:rsidRDefault="00BF3666" w:rsidP="00BF3666">
      <w:pPr>
        <w:pStyle w:val="Heading1"/>
        <w:shd w:val="clear" w:color="auto" w:fill="FFFFFF"/>
        <w:rPr>
          <w:rFonts w:cstheme="minorHAnsi"/>
          <w:color w:val="212121"/>
        </w:rPr>
      </w:pPr>
      <w:bookmarkStart w:id="7" w:name="_Toc149913353"/>
      <w:r w:rsidRPr="00F05E92">
        <w:rPr>
          <w:rFonts w:cstheme="minorHAnsi"/>
          <w:color w:val="212121"/>
        </w:rPr>
        <w:t>Bipolar At-Risk Criteria and Risk of Bipolar Disorder Over 10 or More Years</w:t>
      </w:r>
      <w:bookmarkEnd w:id="7"/>
    </w:p>
    <w:p w14:paraId="57F100D2" w14:textId="642CF93C" w:rsidR="00BF3666" w:rsidRPr="00F05E92" w:rsidRDefault="00316627" w:rsidP="001A5A14">
      <w:pPr>
        <w:pStyle w:val="NormalWeb"/>
        <w:shd w:val="clear" w:color="auto" w:fill="FFFFFF"/>
        <w:rPr>
          <w:rFonts w:asciiTheme="minorHAnsi" w:hAnsiTheme="minorHAnsi" w:cstheme="minorHAnsi"/>
          <w:color w:val="212121"/>
          <w:sz w:val="22"/>
          <w:szCs w:val="22"/>
        </w:rPr>
      </w:pPr>
      <w:r w:rsidRPr="00F05E92">
        <w:rPr>
          <w:rFonts w:asciiTheme="minorHAnsi" w:hAnsiTheme="minorHAnsi" w:cstheme="minorHAnsi"/>
          <w:color w:val="212121"/>
          <w:sz w:val="22"/>
          <w:szCs w:val="22"/>
          <w:shd w:val="clear" w:color="auto" w:fill="FFFFFF"/>
        </w:rPr>
        <w:lastRenderedPageBreak/>
        <w:t xml:space="preserve">Ratheesh A, Hammond D, Watson M, Betts J, Siegel E, </w:t>
      </w:r>
      <w:proofErr w:type="spellStart"/>
      <w:r w:rsidRPr="00F05E92">
        <w:rPr>
          <w:rFonts w:asciiTheme="minorHAnsi" w:hAnsiTheme="minorHAnsi" w:cstheme="minorHAnsi"/>
          <w:color w:val="212121"/>
          <w:sz w:val="22"/>
          <w:szCs w:val="22"/>
          <w:shd w:val="clear" w:color="auto" w:fill="FFFFFF"/>
        </w:rPr>
        <w:t>McGorry</w:t>
      </w:r>
      <w:proofErr w:type="spellEnd"/>
      <w:r w:rsidRPr="00F05E92">
        <w:rPr>
          <w:rFonts w:asciiTheme="minorHAnsi" w:hAnsiTheme="minorHAnsi" w:cstheme="minorHAnsi"/>
          <w:color w:val="212121"/>
          <w:sz w:val="22"/>
          <w:szCs w:val="22"/>
          <w:shd w:val="clear" w:color="auto" w:fill="FFFFFF"/>
        </w:rPr>
        <w:t xml:space="preserve"> P, Berk M, Cotton S, </w:t>
      </w:r>
      <w:proofErr w:type="spellStart"/>
      <w:r w:rsidRPr="00F05E92">
        <w:rPr>
          <w:rFonts w:asciiTheme="minorHAnsi" w:hAnsiTheme="minorHAnsi" w:cstheme="minorHAnsi"/>
          <w:color w:val="212121"/>
          <w:sz w:val="22"/>
          <w:szCs w:val="22"/>
          <w:shd w:val="clear" w:color="auto" w:fill="FFFFFF"/>
        </w:rPr>
        <w:t>Chanen</w:t>
      </w:r>
      <w:proofErr w:type="spellEnd"/>
      <w:r w:rsidRPr="00F05E92">
        <w:rPr>
          <w:rFonts w:asciiTheme="minorHAnsi" w:hAnsiTheme="minorHAnsi" w:cstheme="minorHAnsi"/>
          <w:color w:val="212121"/>
          <w:sz w:val="22"/>
          <w:szCs w:val="22"/>
          <w:shd w:val="clear" w:color="auto" w:fill="FFFFFF"/>
        </w:rPr>
        <w:t xml:space="preserve"> A, Nelson B, </w:t>
      </w:r>
      <w:proofErr w:type="spellStart"/>
      <w:r w:rsidRPr="00F05E92">
        <w:rPr>
          <w:rFonts w:asciiTheme="minorHAnsi" w:hAnsiTheme="minorHAnsi" w:cstheme="minorHAnsi"/>
          <w:color w:val="212121"/>
          <w:sz w:val="22"/>
          <w:szCs w:val="22"/>
          <w:shd w:val="clear" w:color="auto" w:fill="FFFFFF"/>
        </w:rPr>
        <w:t>Bechdolf</w:t>
      </w:r>
      <w:proofErr w:type="spellEnd"/>
      <w:r w:rsidRPr="00F05E92">
        <w:rPr>
          <w:rFonts w:asciiTheme="minorHAnsi" w:hAnsiTheme="minorHAnsi" w:cstheme="minorHAnsi"/>
          <w:color w:val="212121"/>
          <w:sz w:val="22"/>
          <w:szCs w:val="22"/>
          <w:shd w:val="clear" w:color="auto" w:fill="FFFFFF"/>
        </w:rPr>
        <w:t xml:space="preserve"> A. Bipolar At-Risk Criteria and Risk of Bipolar Disorder Over 10 or More Years. JAMA </w:t>
      </w:r>
      <w:proofErr w:type="spellStart"/>
      <w:r w:rsidRPr="00F05E92">
        <w:rPr>
          <w:rFonts w:asciiTheme="minorHAnsi" w:hAnsiTheme="minorHAnsi" w:cstheme="minorHAnsi"/>
          <w:color w:val="212121"/>
          <w:sz w:val="22"/>
          <w:szCs w:val="22"/>
          <w:shd w:val="clear" w:color="auto" w:fill="FFFFFF"/>
        </w:rPr>
        <w:t>Netw</w:t>
      </w:r>
      <w:proofErr w:type="spellEnd"/>
      <w:r w:rsidRPr="00F05E92">
        <w:rPr>
          <w:rFonts w:asciiTheme="minorHAnsi" w:hAnsiTheme="minorHAnsi" w:cstheme="minorHAnsi"/>
          <w:color w:val="212121"/>
          <w:sz w:val="22"/>
          <w:szCs w:val="22"/>
          <w:shd w:val="clear" w:color="auto" w:fill="FFFFFF"/>
        </w:rPr>
        <w:t xml:space="preserve"> Open. 2023 Sep 5;6(9</w:t>
      </w:r>
      <w:proofErr w:type="gramStart"/>
      <w:r w:rsidRPr="00F05E92">
        <w:rPr>
          <w:rFonts w:asciiTheme="minorHAnsi" w:hAnsiTheme="minorHAnsi" w:cstheme="minorHAnsi"/>
          <w:color w:val="212121"/>
          <w:sz w:val="22"/>
          <w:szCs w:val="22"/>
          <w:shd w:val="clear" w:color="auto" w:fill="FFFFFF"/>
        </w:rPr>
        <w:t>):e</w:t>
      </w:r>
      <w:proofErr w:type="gramEnd"/>
      <w:r w:rsidRPr="00F05E92">
        <w:rPr>
          <w:rFonts w:asciiTheme="minorHAnsi" w:hAnsiTheme="minorHAnsi" w:cstheme="minorHAnsi"/>
          <w:color w:val="212121"/>
          <w:sz w:val="22"/>
          <w:szCs w:val="22"/>
          <w:shd w:val="clear" w:color="auto" w:fill="FFFFFF"/>
        </w:rPr>
        <w:t xml:space="preserve">2334078. </w:t>
      </w:r>
      <w:proofErr w:type="spellStart"/>
      <w:r w:rsidRPr="00F05E92">
        <w:rPr>
          <w:rFonts w:asciiTheme="minorHAnsi" w:hAnsiTheme="minorHAnsi" w:cstheme="minorHAnsi"/>
          <w:color w:val="212121"/>
          <w:sz w:val="22"/>
          <w:szCs w:val="22"/>
          <w:shd w:val="clear" w:color="auto" w:fill="FFFFFF"/>
        </w:rPr>
        <w:t>doi</w:t>
      </w:r>
      <w:proofErr w:type="spellEnd"/>
      <w:r w:rsidRPr="00F05E92">
        <w:rPr>
          <w:rFonts w:asciiTheme="minorHAnsi" w:hAnsiTheme="minorHAnsi" w:cstheme="minorHAnsi"/>
          <w:color w:val="212121"/>
          <w:sz w:val="22"/>
          <w:szCs w:val="22"/>
          <w:shd w:val="clear" w:color="auto" w:fill="FFFFFF"/>
        </w:rPr>
        <w:t xml:space="preserve">: 10.1001/jamanetworkopen.2023.34078. </w:t>
      </w:r>
      <w:hyperlink r:id="rId17" w:history="1">
        <w:r w:rsidRPr="00F05E92">
          <w:rPr>
            <w:rStyle w:val="Hyperlink"/>
            <w:rFonts w:asciiTheme="minorHAnsi" w:hAnsiTheme="minorHAnsi" w:cstheme="minorHAnsi"/>
            <w:sz w:val="22"/>
            <w:szCs w:val="22"/>
            <w:shd w:val="clear" w:color="auto" w:fill="FFFFFF"/>
          </w:rPr>
          <w:t>PMID: 37713195</w:t>
        </w:r>
      </w:hyperlink>
      <w:r w:rsidRPr="00F05E92">
        <w:rPr>
          <w:rFonts w:asciiTheme="minorHAnsi" w:hAnsiTheme="minorHAnsi" w:cstheme="minorHAnsi"/>
          <w:color w:val="212121"/>
          <w:sz w:val="22"/>
          <w:szCs w:val="22"/>
          <w:shd w:val="clear" w:color="auto" w:fill="FFFFFF"/>
        </w:rPr>
        <w:t>; PMCID: PMC10504610.</w:t>
      </w:r>
    </w:p>
    <w:p w14:paraId="147A4F09" w14:textId="77777777" w:rsidR="00316627" w:rsidRPr="00F05E92" w:rsidRDefault="00316627" w:rsidP="00316627">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Importance: </w:t>
      </w:r>
      <w:r w:rsidRPr="00F05E92">
        <w:rPr>
          <w:rFonts w:asciiTheme="minorHAnsi" w:hAnsiTheme="minorHAnsi" w:cstheme="minorHAnsi"/>
          <w:color w:val="212121"/>
          <w:sz w:val="22"/>
          <w:szCs w:val="22"/>
        </w:rPr>
        <w:t>Predicting the onset of bipolar disorder (BD) could facilitate preventive treatments. Among risk measures, bipolar at-risk (BAR) criteria have shown promise in predicting onset of bipolar disorder in the first year in clinical cohorts; however, it is not known whether BAR criteria are associated with the onset of BD in the longer term.</w:t>
      </w:r>
    </w:p>
    <w:p w14:paraId="3336B8B4" w14:textId="77777777" w:rsidR="00316627" w:rsidRPr="00F05E92" w:rsidRDefault="00316627" w:rsidP="00316627">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Objective: </w:t>
      </w:r>
      <w:r w:rsidRPr="00F05E92">
        <w:rPr>
          <w:rFonts w:asciiTheme="minorHAnsi" w:hAnsiTheme="minorHAnsi" w:cstheme="minorHAnsi"/>
          <w:color w:val="212121"/>
          <w:sz w:val="22"/>
          <w:szCs w:val="22"/>
        </w:rPr>
        <w:t>To assess the association of BAR criteria with onset of BD over 10 to 13 years follow-up.</w:t>
      </w:r>
    </w:p>
    <w:p w14:paraId="5558A037" w14:textId="77777777" w:rsidR="00316627" w:rsidRPr="00F05E92" w:rsidRDefault="00316627" w:rsidP="00316627">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Design, setting, and participants: </w:t>
      </w:r>
      <w:r w:rsidRPr="00F05E92">
        <w:rPr>
          <w:rFonts w:asciiTheme="minorHAnsi" w:hAnsiTheme="minorHAnsi" w:cstheme="minorHAnsi"/>
          <w:color w:val="212121"/>
          <w:sz w:val="22"/>
          <w:szCs w:val="22"/>
        </w:rPr>
        <w:t>This prospective cohort study, completed between May 1, 2020, and November 7, 2022, included consenting people seeking help for nonpsychotic major mental health difficulties, including mood, personality, and substance use disorders, who were originally recruited at ages 15 to 25 years from a tertiary youth mental health setting in metropolitan Melbourne, Victoria, Australia, from May 1, 2008, to September 30, 2010.</w:t>
      </w:r>
    </w:p>
    <w:p w14:paraId="44073B1E" w14:textId="77777777" w:rsidR="00316627" w:rsidRPr="00F05E92" w:rsidRDefault="00316627" w:rsidP="00316627">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Exposure: </w:t>
      </w:r>
      <w:r w:rsidRPr="00F05E92">
        <w:rPr>
          <w:rFonts w:asciiTheme="minorHAnsi" w:hAnsiTheme="minorHAnsi" w:cstheme="minorHAnsi"/>
          <w:color w:val="212121"/>
          <w:sz w:val="22"/>
          <w:szCs w:val="22"/>
        </w:rPr>
        <w:t>Meeting BAR criteria at baseline. Criteria included subthreshold mania, cyclothymic features, subthreshold depression, and family history of BD. A matched clinical comparison group was recruited from the same help-seeking population.</w:t>
      </w:r>
    </w:p>
    <w:p w14:paraId="6473BF45" w14:textId="77777777" w:rsidR="00316627" w:rsidRPr="00F05E92" w:rsidRDefault="00316627" w:rsidP="00316627">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Main outcomes and measures: </w:t>
      </w:r>
      <w:r w:rsidRPr="00F05E92">
        <w:rPr>
          <w:rFonts w:asciiTheme="minorHAnsi" w:hAnsiTheme="minorHAnsi" w:cstheme="minorHAnsi"/>
          <w:color w:val="212121"/>
          <w:sz w:val="22"/>
          <w:szCs w:val="22"/>
        </w:rPr>
        <w:t>The primary outcome was expert consensus diagnosis of BD I or II based on the Mini International Neuropsychiatric Interview, self-reported information collected through online assessments, and linked data on mental health service utilization in Victoria over 10 to 13 years of follow-up.</w:t>
      </w:r>
    </w:p>
    <w:p w14:paraId="477D9DF2" w14:textId="77777777" w:rsidR="00316627" w:rsidRPr="00F05E92" w:rsidRDefault="00316627" w:rsidP="00316627">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Results: </w:t>
      </w:r>
      <w:r w:rsidRPr="00F05E92">
        <w:rPr>
          <w:rFonts w:asciiTheme="minorHAnsi" w:hAnsiTheme="minorHAnsi" w:cstheme="minorHAnsi"/>
          <w:color w:val="212121"/>
          <w:sz w:val="22"/>
          <w:szCs w:val="22"/>
        </w:rPr>
        <w:t>Among 69 eligible participants, follow-up data were available for 60 (88.2%). The mean (SD) age at the end of follow-up was 32.9 (2.8) years, and 49 (81.7%) were women. A total of 28 participants met BAR criteria, and 32 were in the comparison group. In the BAR group, 8 patients (28.6%) developed BD over a mean (SD) of 11.1 (0.7) years of follow-up, and no patients in the comparison group developed BD. The risk of developing BD was higher in the BAR group than in the non-BAR group (χ21 = 70.0; P &lt; .001). The proportions of transitions to BD were equal in the first and second halves of the follow-up period.</w:t>
      </w:r>
    </w:p>
    <w:p w14:paraId="39212BA0" w14:textId="77777777" w:rsidR="00316627" w:rsidRPr="00F05E92" w:rsidRDefault="00316627" w:rsidP="00316627">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Conclusions and relevance: </w:t>
      </w:r>
      <w:r w:rsidRPr="00F05E92">
        <w:rPr>
          <w:rFonts w:asciiTheme="minorHAnsi" w:hAnsiTheme="minorHAnsi" w:cstheme="minorHAnsi"/>
          <w:color w:val="212121"/>
          <w:sz w:val="22"/>
          <w:szCs w:val="22"/>
        </w:rPr>
        <w:t>In this cohort study of participants seeking care for mental health difficulties, patients meeting the BAR criteria were significantly more likely to transition to BD over a decade after ascertainment compared with patients not meeting the BAR criteria. The findings suggest that those meeting BAR criteria may benefit from longer-term monitoring and support. Evaluation of predictive properties in longer-term studies using a risk measure will help with implementation of BAR criteria in clinical settings.</w:t>
      </w:r>
    </w:p>
    <w:p w14:paraId="5322200C" w14:textId="77777777" w:rsidR="00216C8E" w:rsidRPr="00F05E92" w:rsidRDefault="00216C8E" w:rsidP="00216C8E">
      <w:pPr>
        <w:pStyle w:val="Heading1"/>
        <w:shd w:val="clear" w:color="auto" w:fill="FFFFFF"/>
        <w:rPr>
          <w:rFonts w:cstheme="minorHAnsi"/>
          <w:color w:val="212121"/>
        </w:rPr>
      </w:pPr>
      <w:bookmarkStart w:id="8" w:name="_Toc149913354"/>
      <w:r w:rsidRPr="00F05E92">
        <w:rPr>
          <w:rFonts w:cstheme="minorHAnsi"/>
          <w:color w:val="212121"/>
        </w:rPr>
        <w:t>The effects of cannabidiol on worry and anxiety among high trait worriers: a double-blind, randomized placebo controlled trial</w:t>
      </w:r>
      <w:bookmarkEnd w:id="8"/>
    </w:p>
    <w:p w14:paraId="2973C88F" w14:textId="09E8CAB6" w:rsidR="00216C8E" w:rsidRPr="00F05E92" w:rsidRDefault="00216C8E" w:rsidP="00316627">
      <w:pPr>
        <w:pStyle w:val="NormalWeb"/>
        <w:shd w:val="clear" w:color="auto" w:fill="FFFFFF"/>
        <w:rPr>
          <w:rFonts w:asciiTheme="minorHAnsi" w:hAnsiTheme="minorHAnsi" w:cstheme="minorHAnsi"/>
          <w:color w:val="212121"/>
          <w:sz w:val="22"/>
          <w:szCs w:val="22"/>
          <w:shd w:val="clear" w:color="auto" w:fill="FFFFFF"/>
        </w:rPr>
      </w:pPr>
      <w:proofErr w:type="spellStart"/>
      <w:r w:rsidRPr="00F05E92">
        <w:rPr>
          <w:rFonts w:asciiTheme="minorHAnsi" w:hAnsiTheme="minorHAnsi" w:cstheme="minorHAnsi"/>
          <w:color w:val="212121"/>
          <w:sz w:val="22"/>
          <w:szCs w:val="22"/>
          <w:shd w:val="clear" w:color="auto" w:fill="FFFFFF"/>
        </w:rPr>
        <w:t>Gournay</w:t>
      </w:r>
      <w:proofErr w:type="spellEnd"/>
      <w:r w:rsidRPr="00F05E92">
        <w:rPr>
          <w:rFonts w:asciiTheme="minorHAnsi" w:hAnsiTheme="minorHAnsi" w:cstheme="minorHAnsi"/>
          <w:color w:val="212121"/>
          <w:sz w:val="22"/>
          <w:szCs w:val="22"/>
          <w:shd w:val="clear" w:color="auto" w:fill="FFFFFF"/>
        </w:rPr>
        <w:t xml:space="preserve"> LR, Ferretti ML, </w:t>
      </w:r>
      <w:proofErr w:type="spellStart"/>
      <w:r w:rsidRPr="00F05E92">
        <w:rPr>
          <w:rFonts w:asciiTheme="minorHAnsi" w:hAnsiTheme="minorHAnsi" w:cstheme="minorHAnsi"/>
          <w:color w:val="212121"/>
          <w:sz w:val="22"/>
          <w:szCs w:val="22"/>
          <w:shd w:val="clear" w:color="auto" w:fill="FFFFFF"/>
        </w:rPr>
        <w:t>Bilsky</w:t>
      </w:r>
      <w:proofErr w:type="spellEnd"/>
      <w:r w:rsidRPr="00F05E92">
        <w:rPr>
          <w:rFonts w:asciiTheme="minorHAnsi" w:hAnsiTheme="minorHAnsi" w:cstheme="minorHAnsi"/>
          <w:color w:val="212121"/>
          <w:sz w:val="22"/>
          <w:szCs w:val="22"/>
          <w:shd w:val="clear" w:color="auto" w:fill="FFFFFF"/>
        </w:rPr>
        <w:t xml:space="preserve"> S, Vance E, Nguyen AM, Mann E, Williams P, Leen-</w:t>
      </w:r>
      <w:proofErr w:type="spellStart"/>
      <w:r w:rsidRPr="00F05E92">
        <w:rPr>
          <w:rFonts w:asciiTheme="minorHAnsi" w:hAnsiTheme="minorHAnsi" w:cstheme="minorHAnsi"/>
          <w:color w:val="212121"/>
          <w:sz w:val="22"/>
          <w:szCs w:val="22"/>
          <w:shd w:val="clear" w:color="auto" w:fill="FFFFFF"/>
        </w:rPr>
        <w:t>Feldner</w:t>
      </w:r>
      <w:proofErr w:type="spellEnd"/>
      <w:r w:rsidRPr="00F05E92">
        <w:rPr>
          <w:rFonts w:asciiTheme="minorHAnsi" w:hAnsiTheme="minorHAnsi" w:cstheme="minorHAnsi"/>
          <w:color w:val="212121"/>
          <w:sz w:val="22"/>
          <w:szCs w:val="22"/>
          <w:shd w:val="clear" w:color="auto" w:fill="FFFFFF"/>
        </w:rPr>
        <w:t xml:space="preserve"> EW. The effects of cannabidiol on worry and anxiety among high trait worriers: a double-blind, randomized </w:t>
      </w:r>
      <w:proofErr w:type="gramStart"/>
      <w:r w:rsidRPr="00F05E92">
        <w:rPr>
          <w:rFonts w:asciiTheme="minorHAnsi" w:hAnsiTheme="minorHAnsi" w:cstheme="minorHAnsi"/>
          <w:color w:val="212121"/>
          <w:sz w:val="22"/>
          <w:szCs w:val="22"/>
          <w:shd w:val="clear" w:color="auto" w:fill="FFFFFF"/>
        </w:rPr>
        <w:lastRenderedPageBreak/>
        <w:t>placebo controlled</w:t>
      </w:r>
      <w:proofErr w:type="gramEnd"/>
      <w:r w:rsidRPr="00F05E92">
        <w:rPr>
          <w:rFonts w:asciiTheme="minorHAnsi" w:hAnsiTheme="minorHAnsi" w:cstheme="minorHAnsi"/>
          <w:color w:val="212121"/>
          <w:sz w:val="22"/>
          <w:szCs w:val="22"/>
          <w:shd w:val="clear" w:color="auto" w:fill="FFFFFF"/>
        </w:rPr>
        <w:t xml:space="preserve"> trial. Psychopharmacology (</w:t>
      </w:r>
      <w:proofErr w:type="spellStart"/>
      <w:r w:rsidRPr="00F05E92">
        <w:rPr>
          <w:rFonts w:asciiTheme="minorHAnsi" w:hAnsiTheme="minorHAnsi" w:cstheme="minorHAnsi"/>
          <w:color w:val="212121"/>
          <w:sz w:val="22"/>
          <w:szCs w:val="22"/>
          <w:shd w:val="clear" w:color="auto" w:fill="FFFFFF"/>
        </w:rPr>
        <w:t>Berl</w:t>
      </w:r>
      <w:proofErr w:type="spellEnd"/>
      <w:r w:rsidRPr="00F05E92">
        <w:rPr>
          <w:rFonts w:asciiTheme="minorHAnsi" w:hAnsiTheme="minorHAnsi" w:cstheme="minorHAnsi"/>
          <w:color w:val="212121"/>
          <w:sz w:val="22"/>
          <w:szCs w:val="22"/>
          <w:shd w:val="clear" w:color="auto" w:fill="FFFFFF"/>
        </w:rPr>
        <w:t xml:space="preserve">). 2023 Oct;240(10):2147-2161. </w:t>
      </w:r>
      <w:proofErr w:type="spellStart"/>
      <w:r w:rsidRPr="00F05E92">
        <w:rPr>
          <w:rFonts w:asciiTheme="minorHAnsi" w:hAnsiTheme="minorHAnsi" w:cstheme="minorHAnsi"/>
          <w:color w:val="212121"/>
          <w:sz w:val="22"/>
          <w:szCs w:val="22"/>
          <w:shd w:val="clear" w:color="auto" w:fill="FFFFFF"/>
        </w:rPr>
        <w:t>doi</w:t>
      </w:r>
      <w:proofErr w:type="spellEnd"/>
      <w:r w:rsidRPr="00F05E92">
        <w:rPr>
          <w:rFonts w:asciiTheme="minorHAnsi" w:hAnsiTheme="minorHAnsi" w:cstheme="minorHAnsi"/>
          <w:color w:val="212121"/>
          <w:sz w:val="22"/>
          <w:szCs w:val="22"/>
          <w:shd w:val="clear" w:color="auto" w:fill="FFFFFF"/>
        </w:rPr>
        <w:t xml:space="preserve">: 10.1007/s00213-023-06437-0. </w:t>
      </w:r>
      <w:proofErr w:type="spellStart"/>
      <w:r w:rsidRPr="00F05E92">
        <w:rPr>
          <w:rFonts w:asciiTheme="minorHAnsi" w:hAnsiTheme="minorHAnsi" w:cstheme="minorHAnsi"/>
          <w:color w:val="212121"/>
          <w:sz w:val="22"/>
          <w:szCs w:val="22"/>
          <w:shd w:val="clear" w:color="auto" w:fill="FFFFFF"/>
        </w:rPr>
        <w:t>Epub</w:t>
      </w:r>
      <w:proofErr w:type="spellEnd"/>
      <w:r w:rsidRPr="00F05E92">
        <w:rPr>
          <w:rFonts w:asciiTheme="minorHAnsi" w:hAnsiTheme="minorHAnsi" w:cstheme="minorHAnsi"/>
          <w:color w:val="212121"/>
          <w:sz w:val="22"/>
          <w:szCs w:val="22"/>
          <w:shd w:val="clear" w:color="auto" w:fill="FFFFFF"/>
        </w:rPr>
        <w:t xml:space="preserve"> 2023 Aug 8. </w:t>
      </w:r>
      <w:hyperlink r:id="rId18" w:history="1">
        <w:r w:rsidRPr="00F05E92">
          <w:rPr>
            <w:rStyle w:val="Hyperlink"/>
            <w:rFonts w:asciiTheme="minorHAnsi" w:hAnsiTheme="minorHAnsi" w:cstheme="minorHAnsi"/>
            <w:sz w:val="22"/>
            <w:szCs w:val="22"/>
            <w:shd w:val="clear" w:color="auto" w:fill="FFFFFF"/>
          </w:rPr>
          <w:t>PMID: 375</w:t>
        </w:r>
        <w:r w:rsidRPr="00F05E92">
          <w:rPr>
            <w:rStyle w:val="Hyperlink"/>
            <w:rFonts w:asciiTheme="minorHAnsi" w:hAnsiTheme="minorHAnsi" w:cstheme="minorHAnsi"/>
            <w:sz w:val="22"/>
            <w:szCs w:val="22"/>
            <w:shd w:val="clear" w:color="auto" w:fill="FFFFFF"/>
          </w:rPr>
          <w:t>5</w:t>
        </w:r>
        <w:r w:rsidRPr="00F05E92">
          <w:rPr>
            <w:rStyle w:val="Hyperlink"/>
            <w:rFonts w:asciiTheme="minorHAnsi" w:hAnsiTheme="minorHAnsi" w:cstheme="minorHAnsi"/>
            <w:sz w:val="22"/>
            <w:szCs w:val="22"/>
            <w:shd w:val="clear" w:color="auto" w:fill="FFFFFF"/>
          </w:rPr>
          <w:t>2290.</w:t>
        </w:r>
      </w:hyperlink>
    </w:p>
    <w:p w14:paraId="42C95809" w14:textId="77777777" w:rsidR="00C60412" w:rsidRPr="00F05E92" w:rsidRDefault="00C60412" w:rsidP="00C6041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Rationale: </w:t>
      </w:r>
      <w:r w:rsidRPr="00F05E92">
        <w:rPr>
          <w:rFonts w:asciiTheme="minorHAnsi" w:hAnsiTheme="minorHAnsi" w:cstheme="minorHAnsi"/>
          <w:color w:val="212121"/>
          <w:sz w:val="22"/>
          <w:szCs w:val="22"/>
        </w:rPr>
        <w:t>Evidence suggests cannabidiol (CBD) displays broad therapeutic potential in the context of anxiety; however, no study has examined the effects of CBD on worry, a defining, cognitive feature of anxiety. Additionally, no study has examined the effects of an acute, single dose of CBD compared to repeated CBD administration.</w:t>
      </w:r>
    </w:p>
    <w:p w14:paraId="41433B98" w14:textId="77777777" w:rsidR="00C60412" w:rsidRPr="00F05E92" w:rsidRDefault="00C60412" w:rsidP="00C6041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Objectives: </w:t>
      </w:r>
      <w:r w:rsidRPr="00F05E92">
        <w:rPr>
          <w:rFonts w:asciiTheme="minorHAnsi" w:hAnsiTheme="minorHAnsi" w:cstheme="minorHAnsi"/>
          <w:color w:val="212121"/>
          <w:sz w:val="22"/>
          <w:szCs w:val="22"/>
        </w:rPr>
        <w:t xml:space="preserve">Within a sample of 63 individuals with elevated trait worry, the current study aimed to assess the effects of an </w:t>
      </w:r>
      <w:proofErr w:type="gramStart"/>
      <w:r w:rsidRPr="00F05E92">
        <w:rPr>
          <w:rFonts w:asciiTheme="minorHAnsi" w:hAnsiTheme="minorHAnsi" w:cstheme="minorHAnsi"/>
          <w:color w:val="212121"/>
          <w:sz w:val="22"/>
          <w:szCs w:val="22"/>
        </w:rPr>
        <w:t>empirically-derived</w:t>
      </w:r>
      <w:proofErr w:type="gramEnd"/>
      <w:r w:rsidRPr="00F05E92">
        <w:rPr>
          <w:rFonts w:asciiTheme="minorHAnsi" w:hAnsiTheme="minorHAnsi" w:cstheme="minorHAnsi"/>
          <w:color w:val="212121"/>
          <w:sz w:val="22"/>
          <w:szCs w:val="22"/>
        </w:rPr>
        <w:t xml:space="preserve"> high dose of CBD (i.e., 300mg) compared to a commercially-derived dose of CBD (i.e., 50mg) versus placebo on worry severity and anxiety symptoms after an acute dose and after a 2-week administration period.</w:t>
      </w:r>
    </w:p>
    <w:p w14:paraId="4B520664" w14:textId="77777777" w:rsidR="00C60412" w:rsidRPr="00F05E92" w:rsidRDefault="00C60412" w:rsidP="00C6041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Results: </w:t>
      </w:r>
      <w:r w:rsidRPr="00F05E92">
        <w:rPr>
          <w:rFonts w:asciiTheme="minorHAnsi" w:hAnsiTheme="minorHAnsi" w:cstheme="minorHAnsi"/>
          <w:color w:val="212121"/>
          <w:sz w:val="22"/>
          <w:szCs w:val="22"/>
        </w:rPr>
        <w:t>Results indicated no effect of acute CBD dosing on worry severity or anxiety symptoms. Repeated CBD administration similarly did not impact worry severity; however, 300mg of CBD reduced anxiety symptoms across the 2-week administration period compared to placebo.</w:t>
      </w:r>
    </w:p>
    <w:p w14:paraId="24CC11CE" w14:textId="77777777" w:rsidR="00C60412" w:rsidRPr="00F05E92" w:rsidRDefault="00C60412" w:rsidP="00C60412">
      <w:pPr>
        <w:pStyle w:val="NormalWeb"/>
        <w:shd w:val="clear" w:color="auto" w:fill="FFFFFF"/>
        <w:rPr>
          <w:rFonts w:asciiTheme="minorHAnsi" w:hAnsiTheme="minorHAnsi" w:cstheme="minorHAnsi"/>
          <w:color w:val="212121"/>
          <w:sz w:val="22"/>
          <w:szCs w:val="22"/>
        </w:rPr>
      </w:pPr>
      <w:r w:rsidRPr="00F05E92">
        <w:rPr>
          <w:rStyle w:val="Strong"/>
          <w:rFonts w:asciiTheme="minorHAnsi" w:hAnsiTheme="minorHAnsi" w:cstheme="minorHAnsi"/>
          <w:color w:val="212121"/>
          <w:sz w:val="22"/>
          <w:szCs w:val="22"/>
        </w:rPr>
        <w:t>Conclusions: </w:t>
      </w:r>
      <w:r w:rsidRPr="00F05E92">
        <w:rPr>
          <w:rFonts w:asciiTheme="minorHAnsi" w:hAnsiTheme="minorHAnsi" w:cstheme="minorHAnsi"/>
          <w:color w:val="212121"/>
          <w:sz w:val="22"/>
          <w:szCs w:val="22"/>
        </w:rPr>
        <w:t>Taken together, these findings suggest 300mg of oral CBD does not attenuate cognitive symptoms of anxiety (i.e., worry), following both acute and repeated administration. Some evidence for repeated administration of 300mg on physical symptoms of anxiety was obtained. Findings from the current study suggest CBD's modest anxiolytic effects may be specific to the physical aspects of anxious arousal.</w:t>
      </w:r>
    </w:p>
    <w:p w14:paraId="355EAF8B" w14:textId="77777777" w:rsidR="006F0B5F" w:rsidRPr="00F05E92" w:rsidRDefault="006F0B5F" w:rsidP="006F0B5F">
      <w:pPr>
        <w:pStyle w:val="Heading1"/>
        <w:shd w:val="clear" w:color="auto" w:fill="FFFFFF"/>
        <w:rPr>
          <w:rFonts w:cstheme="minorHAnsi"/>
          <w:color w:val="212121"/>
        </w:rPr>
      </w:pPr>
      <w:bookmarkStart w:id="9" w:name="_Toc149913355"/>
      <w:r w:rsidRPr="00F05E92">
        <w:rPr>
          <w:rFonts w:cstheme="minorHAnsi"/>
          <w:color w:val="212121"/>
        </w:rPr>
        <w:t>Efficacy and safety of zuranolone co-initiated with an antidepressant in adults with major depressive disorder: results from the phase 3 CORAL study</w:t>
      </w:r>
      <w:bookmarkEnd w:id="9"/>
    </w:p>
    <w:p w14:paraId="3AA8769F" w14:textId="6B461450" w:rsidR="00A61E2B" w:rsidRPr="00F05E92" w:rsidRDefault="00181909" w:rsidP="00181909">
      <w:pPr>
        <w:pStyle w:val="NormalWeb"/>
        <w:shd w:val="clear" w:color="auto" w:fill="FFFFFF"/>
        <w:rPr>
          <w:rFonts w:asciiTheme="minorHAnsi" w:hAnsiTheme="minorHAnsi" w:cstheme="minorHAnsi"/>
          <w:color w:val="212121"/>
          <w:sz w:val="22"/>
          <w:szCs w:val="22"/>
        </w:rPr>
      </w:pPr>
      <w:r w:rsidRPr="00F05E92">
        <w:rPr>
          <w:rFonts w:asciiTheme="minorHAnsi" w:hAnsiTheme="minorHAnsi" w:cstheme="minorHAnsi"/>
          <w:color w:val="212121"/>
          <w:sz w:val="22"/>
          <w:szCs w:val="22"/>
          <w:shd w:val="clear" w:color="auto" w:fill="FFFFFF"/>
        </w:rPr>
        <w:t xml:space="preserve">Parikh SV, Aaronson ST, Mathew SJ, Alva G, </w:t>
      </w:r>
      <w:proofErr w:type="spellStart"/>
      <w:r w:rsidRPr="00F05E92">
        <w:rPr>
          <w:rFonts w:asciiTheme="minorHAnsi" w:hAnsiTheme="minorHAnsi" w:cstheme="minorHAnsi"/>
          <w:color w:val="212121"/>
          <w:sz w:val="22"/>
          <w:szCs w:val="22"/>
          <w:shd w:val="clear" w:color="auto" w:fill="FFFFFF"/>
        </w:rPr>
        <w:t>DeBattista</w:t>
      </w:r>
      <w:proofErr w:type="spellEnd"/>
      <w:r w:rsidRPr="00F05E92">
        <w:rPr>
          <w:rFonts w:asciiTheme="minorHAnsi" w:hAnsiTheme="minorHAnsi" w:cstheme="minorHAnsi"/>
          <w:color w:val="212121"/>
          <w:sz w:val="22"/>
          <w:szCs w:val="22"/>
          <w:shd w:val="clear" w:color="auto" w:fill="FFFFFF"/>
        </w:rPr>
        <w:t xml:space="preserve"> C, </w:t>
      </w:r>
      <w:proofErr w:type="spellStart"/>
      <w:r w:rsidRPr="00F05E92">
        <w:rPr>
          <w:rFonts w:asciiTheme="minorHAnsi" w:hAnsiTheme="minorHAnsi" w:cstheme="minorHAnsi"/>
          <w:color w:val="212121"/>
          <w:sz w:val="22"/>
          <w:szCs w:val="22"/>
          <w:shd w:val="clear" w:color="auto" w:fill="FFFFFF"/>
        </w:rPr>
        <w:t>Kanes</w:t>
      </w:r>
      <w:proofErr w:type="spellEnd"/>
      <w:r w:rsidRPr="00F05E92">
        <w:rPr>
          <w:rFonts w:asciiTheme="minorHAnsi" w:hAnsiTheme="minorHAnsi" w:cstheme="minorHAnsi"/>
          <w:color w:val="212121"/>
          <w:sz w:val="22"/>
          <w:szCs w:val="22"/>
          <w:shd w:val="clear" w:color="auto" w:fill="FFFFFF"/>
        </w:rPr>
        <w:t xml:space="preserve"> S, </w:t>
      </w:r>
      <w:proofErr w:type="spellStart"/>
      <w:r w:rsidRPr="00F05E92">
        <w:rPr>
          <w:rFonts w:asciiTheme="minorHAnsi" w:hAnsiTheme="minorHAnsi" w:cstheme="minorHAnsi"/>
          <w:color w:val="212121"/>
          <w:sz w:val="22"/>
          <w:szCs w:val="22"/>
          <w:shd w:val="clear" w:color="auto" w:fill="FFFFFF"/>
        </w:rPr>
        <w:t>Lasser</w:t>
      </w:r>
      <w:proofErr w:type="spellEnd"/>
      <w:r w:rsidRPr="00F05E92">
        <w:rPr>
          <w:rFonts w:asciiTheme="minorHAnsi" w:hAnsiTheme="minorHAnsi" w:cstheme="minorHAnsi"/>
          <w:color w:val="212121"/>
          <w:sz w:val="22"/>
          <w:szCs w:val="22"/>
          <w:shd w:val="clear" w:color="auto" w:fill="FFFFFF"/>
        </w:rPr>
        <w:t xml:space="preserve"> R, Bullock A, Kotecha M, Jung J, Forrestal F, Jonas J, Vera T, </w:t>
      </w:r>
      <w:proofErr w:type="spellStart"/>
      <w:r w:rsidRPr="00F05E92">
        <w:rPr>
          <w:rFonts w:asciiTheme="minorHAnsi" w:hAnsiTheme="minorHAnsi" w:cstheme="minorHAnsi"/>
          <w:color w:val="212121"/>
          <w:sz w:val="22"/>
          <w:szCs w:val="22"/>
          <w:shd w:val="clear" w:color="auto" w:fill="FFFFFF"/>
        </w:rPr>
        <w:t>Leclair</w:t>
      </w:r>
      <w:proofErr w:type="spellEnd"/>
      <w:r w:rsidRPr="00F05E92">
        <w:rPr>
          <w:rFonts w:asciiTheme="minorHAnsi" w:hAnsiTheme="minorHAnsi" w:cstheme="minorHAnsi"/>
          <w:color w:val="212121"/>
          <w:sz w:val="22"/>
          <w:szCs w:val="22"/>
          <w:shd w:val="clear" w:color="auto" w:fill="FFFFFF"/>
        </w:rPr>
        <w:t xml:space="preserve"> B, Doherty J. Efficacy and safety of </w:t>
      </w:r>
      <w:proofErr w:type="spellStart"/>
      <w:r w:rsidRPr="00F05E92">
        <w:rPr>
          <w:rFonts w:asciiTheme="minorHAnsi" w:hAnsiTheme="minorHAnsi" w:cstheme="minorHAnsi"/>
          <w:color w:val="212121"/>
          <w:sz w:val="22"/>
          <w:szCs w:val="22"/>
          <w:shd w:val="clear" w:color="auto" w:fill="FFFFFF"/>
        </w:rPr>
        <w:t>zuranolone</w:t>
      </w:r>
      <w:proofErr w:type="spellEnd"/>
      <w:r w:rsidRPr="00F05E92">
        <w:rPr>
          <w:rFonts w:asciiTheme="minorHAnsi" w:hAnsiTheme="minorHAnsi" w:cstheme="minorHAnsi"/>
          <w:color w:val="212121"/>
          <w:sz w:val="22"/>
          <w:szCs w:val="22"/>
          <w:shd w:val="clear" w:color="auto" w:fill="FFFFFF"/>
        </w:rPr>
        <w:t xml:space="preserve"> co-initiated with an antidepressant in adults with major depressive disorder: results from the phase 3 CORAL study. Neuropsychopharmacology. 2023 Oct 24. </w:t>
      </w:r>
      <w:proofErr w:type="spellStart"/>
      <w:r w:rsidRPr="00F05E92">
        <w:rPr>
          <w:rFonts w:asciiTheme="minorHAnsi" w:hAnsiTheme="minorHAnsi" w:cstheme="minorHAnsi"/>
          <w:color w:val="212121"/>
          <w:sz w:val="22"/>
          <w:szCs w:val="22"/>
          <w:shd w:val="clear" w:color="auto" w:fill="FFFFFF"/>
        </w:rPr>
        <w:t>doi</w:t>
      </w:r>
      <w:proofErr w:type="spellEnd"/>
      <w:r w:rsidRPr="00F05E92">
        <w:rPr>
          <w:rFonts w:asciiTheme="minorHAnsi" w:hAnsiTheme="minorHAnsi" w:cstheme="minorHAnsi"/>
          <w:color w:val="212121"/>
          <w:sz w:val="22"/>
          <w:szCs w:val="22"/>
          <w:shd w:val="clear" w:color="auto" w:fill="FFFFFF"/>
        </w:rPr>
        <w:t xml:space="preserve">: 10.1038/s41386-023-01751-9. </w:t>
      </w:r>
      <w:proofErr w:type="spellStart"/>
      <w:r w:rsidRPr="00F05E92">
        <w:rPr>
          <w:rFonts w:asciiTheme="minorHAnsi" w:hAnsiTheme="minorHAnsi" w:cstheme="minorHAnsi"/>
          <w:color w:val="212121"/>
          <w:sz w:val="22"/>
          <w:szCs w:val="22"/>
          <w:shd w:val="clear" w:color="auto" w:fill="FFFFFF"/>
        </w:rPr>
        <w:t>Epub</w:t>
      </w:r>
      <w:proofErr w:type="spellEnd"/>
      <w:r w:rsidRPr="00F05E92">
        <w:rPr>
          <w:rFonts w:asciiTheme="minorHAnsi" w:hAnsiTheme="minorHAnsi" w:cstheme="minorHAnsi"/>
          <w:color w:val="212121"/>
          <w:sz w:val="22"/>
          <w:szCs w:val="22"/>
          <w:shd w:val="clear" w:color="auto" w:fill="FFFFFF"/>
        </w:rPr>
        <w:t xml:space="preserve"> ahead of print. </w:t>
      </w:r>
      <w:hyperlink r:id="rId19" w:history="1">
        <w:r w:rsidRPr="00F05E92">
          <w:rPr>
            <w:rStyle w:val="Hyperlink"/>
            <w:rFonts w:asciiTheme="minorHAnsi" w:hAnsiTheme="minorHAnsi" w:cstheme="minorHAnsi"/>
            <w:sz w:val="22"/>
            <w:szCs w:val="22"/>
            <w:shd w:val="clear" w:color="auto" w:fill="FFFFFF"/>
          </w:rPr>
          <w:t>PMID: 37875578</w:t>
        </w:r>
      </w:hyperlink>
      <w:r w:rsidRPr="00F05E92">
        <w:rPr>
          <w:rFonts w:asciiTheme="minorHAnsi" w:hAnsiTheme="minorHAnsi" w:cstheme="minorHAnsi"/>
          <w:color w:val="212121"/>
          <w:sz w:val="22"/>
          <w:szCs w:val="22"/>
          <w:shd w:val="clear" w:color="auto" w:fill="FFFFFF"/>
        </w:rPr>
        <w:t>.</w:t>
      </w:r>
    </w:p>
    <w:p w14:paraId="2EA4E471" w14:textId="3B99E47E" w:rsidR="00FF2BF2" w:rsidRPr="00F05E92" w:rsidRDefault="00CE6E05" w:rsidP="006C0895">
      <w:pPr>
        <w:pStyle w:val="Heading2"/>
        <w:rPr>
          <w:rStyle w:val="Heading1Char"/>
          <w:rFonts w:asciiTheme="minorHAnsi" w:hAnsiTheme="minorHAnsi" w:cstheme="minorHAnsi"/>
          <w:sz w:val="22"/>
          <w:szCs w:val="22"/>
        </w:rPr>
      </w:pPr>
      <w:bookmarkStart w:id="10" w:name="_Toc149913356"/>
      <w:r w:rsidRPr="00F05E92">
        <w:rPr>
          <w:rStyle w:val="Heading1Char"/>
          <w:rFonts w:asciiTheme="minorHAnsi" w:hAnsiTheme="minorHAnsi" w:cstheme="minorHAnsi"/>
          <w:sz w:val="22"/>
          <w:szCs w:val="22"/>
        </w:rPr>
        <w:t>clinical reviews</w:t>
      </w:r>
      <w:bookmarkEnd w:id="10"/>
    </w:p>
    <w:p w14:paraId="2CD816C6" w14:textId="77777777" w:rsidR="00CE6E05" w:rsidRPr="00F05E92" w:rsidRDefault="00CE6E05" w:rsidP="00CE6E05">
      <w:pPr>
        <w:rPr>
          <w:rFonts w:cstheme="minorHAnsi"/>
        </w:rPr>
      </w:pPr>
    </w:p>
    <w:p w14:paraId="21CA5439" w14:textId="77777777" w:rsidR="00CE6E05" w:rsidRPr="00F05E92" w:rsidRDefault="00CE6E05" w:rsidP="00CE6E05">
      <w:pPr>
        <w:pStyle w:val="Heading1"/>
        <w:shd w:val="clear" w:color="auto" w:fill="FFFFFF"/>
        <w:rPr>
          <w:rFonts w:cstheme="minorHAnsi"/>
          <w:color w:val="212121"/>
        </w:rPr>
      </w:pPr>
      <w:bookmarkStart w:id="11" w:name="_Toc149913357"/>
      <w:r w:rsidRPr="00F05E92">
        <w:rPr>
          <w:rFonts w:cstheme="minorHAnsi"/>
          <w:color w:val="212121"/>
        </w:rPr>
        <w:t>Treatment-resistant depression: definition, prevalence, detection, management, and investigational interventions</w:t>
      </w:r>
      <w:bookmarkEnd w:id="11"/>
    </w:p>
    <w:p w14:paraId="6A0DD7C3" w14:textId="77777777" w:rsidR="00CE6E05" w:rsidRPr="00F05E92" w:rsidRDefault="00CE6E05" w:rsidP="00CE6E05">
      <w:pPr>
        <w:rPr>
          <w:rFonts w:cstheme="minorHAnsi"/>
          <w:color w:val="212121"/>
          <w:shd w:val="clear" w:color="auto" w:fill="FFFFFF"/>
        </w:rPr>
      </w:pPr>
      <w:r w:rsidRPr="00F05E92">
        <w:rPr>
          <w:rFonts w:cstheme="minorHAnsi"/>
          <w:color w:val="212121"/>
          <w:shd w:val="clear" w:color="auto" w:fill="FFFFFF"/>
        </w:rPr>
        <w:t xml:space="preserve">McIntyre RS, </w:t>
      </w:r>
      <w:proofErr w:type="spellStart"/>
      <w:r w:rsidRPr="00F05E92">
        <w:rPr>
          <w:rFonts w:cstheme="minorHAnsi"/>
          <w:color w:val="212121"/>
          <w:shd w:val="clear" w:color="auto" w:fill="FFFFFF"/>
        </w:rPr>
        <w:t>Alsuwaidan</w:t>
      </w:r>
      <w:proofErr w:type="spellEnd"/>
      <w:r w:rsidRPr="00F05E92">
        <w:rPr>
          <w:rFonts w:cstheme="minorHAnsi"/>
          <w:color w:val="212121"/>
          <w:shd w:val="clear" w:color="auto" w:fill="FFFFFF"/>
        </w:rPr>
        <w:t xml:space="preserve"> M, </w:t>
      </w:r>
      <w:proofErr w:type="spellStart"/>
      <w:r w:rsidRPr="00F05E92">
        <w:rPr>
          <w:rFonts w:cstheme="minorHAnsi"/>
          <w:color w:val="212121"/>
          <w:shd w:val="clear" w:color="auto" w:fill="FFFFFF"/>
        </w:rPr>
        <w:t>Baune</w:t>
      </w:r>
      <w:proofErr w:type="spellEnd"/>
      <w:r w:rsidRPr="00F05E92">
        <w:rPr>
          <w:rFonts w:cstheme="minorHAnsi"/>
          <w:color w:val="212121"/>
          <w:shd w:val="clear" w:color="auto" w:fill="FFFFFF"/>
        </w:rPr>
        <w:t xml:space="preserve"> BT, Berk M, </w:t>
      </w:r>
      <w:proofErr w:type="spellStart"/>
      <w:r w:rsidRPr="00F05E92">
        <w:rPr>
          <w:rFonts w:cstheme="minorHAnsi"/>
          <w:color w:val="212121"/>
          <w:shd w:val="clear" w:color="auto" w:fill="FFFFFF"/>
        </w:rPr>
        <w:t>Demyttenaere</w:t>
      </w:r>
      <w:proofErr w:type="spellEnd"/>
      <w:r w:rsidRPr="00F05E92">
        <w:rPr>
          <w:rFonts w:cstheme="minorHAnsi"/>
          <w:color w:val="212121"/>
          <w:shd w:val="clear" w:color="auto" w:fill="FFFFFF"/>
        </w:rPr>
        <w:t xml:space="preserve"> K, Goldberg JF, </w:t>
      </w:r>
      <w:proofErr w:type="spellStart"/>
      <w:r w:rsidRPr="00F05E92">
        <w:rPr>
          <w:rFonts w:cstheme="minorHAnsi"/>
          <w:color w:val="212121"/>
          <w:shd w:val="clear" w:color="auto" w:fill="FFFFFF"/>
        </w:rPr>
        <w:t>Gorwood</w:t>
      </w:r>
      <w:proofErr w:type="spellEnd"/>
      <w:r w:rsidRPr="00F05E92">
        <w:rPr>
          <w:rFonts w:cstheme="minorHAnsi"/>
          <w:color w:val="212121"/>
          <w:shd w:val="clear" w:color="auto" w:fill="FFFFFF"/>
        </w:rPr>
        <w:t xml:space="preserve"> P, Ho R, Kasper S, Kennedy SH, Ly-</w:t>
      </w:r>
      <w:proofErr w:type="spellStart"/>
      <w:r w:rsidRPr="00F05E92">
        <w:rPr>
          <w:rFonts w:cstheme="minorHAnsi"/>
          <w:color w:val="212121"/>
          <w:shd w:val="clear" w:color="auto" w:fill="FFFFFF"/>
        </w:rPr>
        <w:t>Uson</w:t>
      </w:r>
      <w:proofErr w:type="spellEnd"/>
      <w:r w:rsidRPr="00F05E92">
        <w:rPr>
          <w:rFonts w:cstheme="minorHAnsi"/>
          <w:color w:val="212121"/>
          <w:shd w:val="clear" w:color="auto" w:fill="FFFFFF"/>
        </w:rPr>
        <w:t xml:space="preserve"> J, Mansur RB, McAllister-Williams RH, </w:t>
      </w:r>
      <w:proofErr w:type="spellStart"/>
      <w:r w:rsidRPr="00F05E92">
        <w:rPr>
          <w:rFonts w:cstheme="minorHAnsi"/>
          <w:color w:val="212121"/>
          <w:shd w:val="clear" w:color="auto" w:fill="FFFFFF"/>
        </w:rPr>
        <w:t>Murrough</w:t>
      </w:r>
      <w:proofErr w:type="spellEnd"/>
      <w:r w:rsidRPr="00F05E92">
        <w:rPr>
          <w:rFonts w:cstheme="minorHAnsi"/>
          <w:color w:val="212121"/>
          <w:shd w:val="clear" w:color="auto" w:fill="FFFFFF"/>
        </w:rPr>
        <w:t xml:space="preserve"> JW, </w:t>
      </w:r>
      <w:proofErr w:type="spellStart"/>
      <w:r w:rsidRPr="00F05E92">
        <w:rPr>
          <w:rFonts w:cstheme="minorHAnsi"/>
          <w:color w:val="212121"/>
          <w:shd w:val="clear" w:color="auto" w:fill="FFFFFF"/>
        </w:rPr>
        <w:t>Nemeroff</w:t>
      </w:r>
      <w:proofErr w:type="spellEnd"/>
      <w:r w:rsidRPr="00F05E92">
        <w:rPr>
          <w:rFonts w:cstheme="minorHAnsi"/>
          <w:color w:val="212121"/>
          <w:shd w:val="clear" w:color="auto" w:fill="FFFFFF"/>
        </w:rPr>
        <w:t xml:space="preserve"> CB, Nierenberg AA, </w:t>
      </w:r>
      <w:proofErr w:type="spellStart"/>
      <w:r w:rsidRPr="00F05E92">
        <w:rPr>
          <w:rFonts w:cstheme="minorHAnsi"/>
          <w:color w:val="212121"/>
          <w:shd w:val="clear" w:color="auto" w:fill="FFFFFF"/>
        </w:rPr>
        <w:t>Rosenblat</w:t>
      </w:r>
      <w:proofErr w:type="spellEnd"/>
      <w:r w:rsidRPr="00F05E92">
        <w:rPr>
          <w:rFonts w:cstheme="minorHAnsi"/>
          <w:color w:val="212121"/>
          <w:shd w:val="clear" w:color="auto" w:fill="FFFFFF"/>
        </w:rPr>
        <w:t xml:space="preserve"> JD, </w:t>
      </w:r>
      <w:proofErr w:type="spellStart"/>
      <w:r w:rsidRPr="00F05E92">
        <w:rPr>
          <w:rFonts w:cstheme="minorHAnsi"/>
          <w:color w:val="212121"/>
          <w:shd w:val="clear" w:color="auto" w:fill="FFFFFF"/>
        </w:rPr>
        <w:t>Sanacora</w:t>
      </w:r>
      <w:proofErr w:type="spellEnd"/>
      <w:r w:rsidRPr="00F05E92">
        <w:rPr>
          <w:rFonts w:cstheme="minorHAnsi"/>
          <w:color w:val="212121"/>
          <w:shd w:val="clear" w:color="auto" w:fill="FFFFFF"/>
        </w:rPr>
        <w:t xml:space="preserve"> G, </w:t>
      </w:r>
      <w:proofErr w:type="spellStart"/>
      <w:r w:rsidRPr="00F05E92">
        <w:rPr>
          <w:rFonts w:cstheme="minorHAnsi"/>
          <w:color w:val="212121"/>
          <w:shd w:val="clear" w:color="auto" w:fill="FFFFFF"/>
        </w:rPr>
        <w:t>Schatzberg</w:t>
      </w:r>
      <w:proofErr w:type="spellEnd"/>
      <w:r w:rsidRPr="00F05E92">
        <w:rPr>
          <w:rFonts w:cstheme="minorHAnsi"/>
          <w:color w:val="212121"/>
          <w:shd w:val="clear" w:color="auto" w:fill="FFFFFF"/>
        </w:rPr>
        <w:t xml:space="preserve"> AF, Shelton R, Stahl SM, Trivedi MH, Vieta E, </w:t>
      </w:r>
      <w:proofErr w:type="spellStart"/>
      <w:r w:rsidRPr="00F05E92">
        <w:rPr>
          <w:rFonts w:cstheme="minorHAnsi"/>
          <w:color w:val="212121"/>
          <w:shd w:val="clear" w:color="auto" w:fill="FFFFFF"/>
        </w:rPr>
        <w:t>Vinberg</w:t>
      </w:r>
      <w:proofErr w:type="spellEnd"/>
      <w:r w:rsidRPr="00F05E92">
        <w:rPr>
          <w:rFonts w:cstheme="minorHAnsi"/>
          <w:color w:val="212121"/>
          <w:shd w:val="clear" w:color="auto" w:fill="FFFFFF"/>
        </w:rPr>
        <w:t xml:space="preserve"> M, Williams N, Young AH, Maj M. Treatment-resistant depression: definition, prevalence, detection, management, and investigational interventions. World Psychiatry. 2023 Oct;22(3):394-412. </w:t>
      </w:r>
      <w:proofErr w:type="spellStart"/>
      <w:r w:rsidRPr="00F05E92">
        <w:rPr>
          <w:rFonts w:cstheme="minorHAnsi"/>
          <w:color w:val="212121"/>
          <w:shd w:val="clear" w:color="auto" w:fill="FFFFFF"/>
        </w:rPr>
        <w:t>doi</w:t>
      </w:r>
      <w:proofErr w:type="spellEnd"/>
      <w:r w:rsidRPr="00F05E92">
        <w:rPr>
          <w:rFonts w:cstheme="minorHAnsi"/>
          <w:color w:val="212121"/>
          <w:shd w:val="clear" w:color="auto" w:fill="FFFFFF"/>
        </w:rPr>
        <w:t xml:space="preserve">: 10.1002/wps.21120. </w:t>
      </w:r>
      <w:hyperlink r:id="rId20" w:history="1">
        <w:r w:rsidRPr="00F05E92">
          <w:rPr>
            <w:rStyle w:val="Hyperlink"/>
            <w:rFonts w:cstheme="minorHAnsi"/>
            <w:shd w:val="clear" w:color="auto" w:fill="FFFFFF"/>
          </w:rPr>
          <w:t>PMID: 37713549</w:t>
        </w:r>
      </w:hyperlink>
      <w:r w:rsidRPr="00F05E92">
        <w:rPr>
          <w:rFonts w:cstheme="minorHAnsi"/>
          <w:color w:val="212121"/>
          <w:shd w:val="clear" w:color="auto" w:fill="FFFFFF"/>
        </w:rPr>
        <w:t>; PMCID: PMC10503923.</w:t>
      </w:r>
    </w:p>
    <w:p w14:paraId="301B3180" w14:textId="77777777" w:rsidR="00CE6E05" w:rsidRPr="00F05E92" w:rsidRDefault="00CE6E05" w:rsidP="00CE6E05">
      <w:pPr>
        <w:rPr>
          <w:rFonts w:cstheme="minorHAnsi"/>
          <w:color w:val="212121"/>
          <w:shd w:val="clear" w:color="auto" w:fill="FFFFFF"/>
        </w:rPr>
      </w:pPr>
      <w:r w:rsidRPr="00F05E92">
        <w:rPr>
          <w:rFonts w:cstheme="minorHAnsi"/>
          <w:color w:val="212121"/>
          <w:shd w:val="clear" w:color="auto" w:fill="FFFFFF"/>
        </w:rPr>
        <w:t xml:space="preserve">Treatment-resistant depression (TRD) is common and associated with multiple serious public health implications. A consensus definition of TRD with demonstrated predictive utility in terms of clinical </w:t>
      </w:r>
      <w:r w:rsidRPr="00F05E92">
        <w:rPr>
          <w:rFonts w:cstheme="minorHAnsi"/>
          <w:color w:val="212121"/>
          <w:shd w:val="clear" w:color="auto" w:fill="FFFFFF"/>
        </w:rPr>
        <w:lastRenderedPageBreak/>
        <w:t xml:space="preserve">decision-making and health outcomes does not currently exist. Instead, a plethora of definitions have been proposed, which vary significantly in their conceptual framework. The absence of a consensus definition hampers precise estimates of the prevalence of TRD, </w:t>
      </w:r>
      <w:proofErr w:type="gramStart"/>
      <w:r w:rsidRPr="00F05E92">
        <w:rPr>
          <w:rFonts w:cstheme="minorHAnsi"/>
          <w:color w:val="212121"/>
          <w:shd w:val="clear" w:color="auto" w:fill="FFFFFF"/>
        </w:rPr>
        <w:t>and also</w:t>
      </w:r>
      <w:proofErr w:type="gramEnd"/>
      <w:r w:rsidRPr="00F05E92">
        <w:rPr>
          <w:rFonts w:cstheme="minorHAnsi"/>
          <w:color w:val="212121"/>
          <w:shd w:val="clear" w:color="auto" w:fill="FFFFFF"/>
        </w:rPr>
        <w:t xml:space="preserve"> belies efforts to identify risk factors, prevention opportunities, and effective interventions. In addition, it results in heterogeneity in clinical practice decision-making, adversely affecting quality of care. The US Food and Drug Administration (FDA) and the European Medicines Agency (EMA) have adopted the most used definition of TRD (i.e., inadequate response to a minimum of two antidepressants despite adequacy of the treatment trial and adherence to treatment). It is currently estimated that at least 30% of persons with depression meet this definition. A significant percentage of persons with TRD are </w:t>
      </w:r>
      <w:proofErr w:type="gramStart"/>
      <w:r w:rsidRPr="00F05E92">
        <w:rPr>
          <w:rFonts w:cstheme="minorHAnsi"/>
          <w:color w:val="212121"/>
          <w:shd w:val="clear" w:color="auto" w:fill="FFFFFF"/>
        </w:rPr>
        <w:t>actually pseudo-</w:t>
      </w:r>
      <w:proofErr w:type="gramEnd"/>
      <w:r w:rsidRPr="00F05E92">
        <w:rPr>
          <w:rFonts w:cstheme="minorHAnsi"/>
          <w:color w:val="212121"/>
          <w:shd w:val="clear" w:color="auto" w:fill="FFFFFF"/>
        </w:rPr>
        <w:t xml:space="preserve">resistant (e.g., due to inadequacy of treatment trials or non-adherence to treatment). Although multiple sociodemographic, clinical, treatment and contextual factors are known to negatively moderate response in persons with depression, very few factors are regarded as predictive of non-response across multiple modalities of treatment. Intravenous ketamine and intranasal </w:t>
      </w:r>
      <w:proofErr w:type="spellStart"/>
      <w:r w:rsidRPr="00F05E92">
        <w:rPr>
          <w:rFonts w:cstheme="minorHAnsi"/>
          <w:color w:val="212121"/>
          <w:shd w:val="clear" w:color="auto" w:fill="FFFFFF"/>
        </w:rPr>
        <w:t>esketamine</w:t>
      </w:r>
      <w:proofErr w:type="spellEnd"/>
      <w:r w:rsidRPr="00F05E92">
        <w:rPr>
          <w:rFonts w:cstheme="minorHAnsi"/>
          <w:color w:val="212121"/>
          <w:shd w:val="clear" w:color="auto" w:fill="FFFFFF"/>
        </w:rPr>
        <w:t xml:space="preserve"> (co-administered with an antidepressant) are established as efficacious in the management of TRD. Some second-generation antipsychotics (e.g., aripiprazole, </w:t>
      </w:r>
      <w:proofErr w:type="spellStart"/>
      <w:r w:rsidRPr="00F05E92">
        <w:rPr>
          <w:rFonts w:cstheme="minorHAnsi"/>
          <w:color w:val="212121"/>
          <w:shd w:val="clear" w:color="auto" w:fill="FFFFFF"/>
        </w:rPr>
        <w:t>brexpiprazole</w:t>
      </w:r>
      <w:proofErr w:type="spellEnd"/>
      <w:r w:rsidRPr="00F05E92">
        <w:rPr>
          <w:rFonts w:cstheme="minorHAnsi"/>
          <w:color w:val="212121"/>
          <w:shd w:val="clear" w:color="auto" w:fill="FFFFFF"/>
        </w:rPr>
        <w:t xml:space="preserve">, </w:t>
      </w:r>
      <w:proofErr w:type="spellStart"/>
      <w:r w:rsidRPr="00F05E92">
        <w:rPr>
          <w:rFonts w:cstheme="minorHAnsi"/>
          <w:color w:val="212121"/>
          <w:shd w:val="clear" w:color="auto" w:fill="FFFFFF"/>
        </w:rPr>
        <w:t>cariprazine</w:t>
      </w:r>
      <w:proofErr w:type="spellEnd"/>
      <w:r w:rsidRPr="00F05E92">
        <w:rPr>
          <w:rFonts w:cstheme="minorHAnsi"/>
          <w:color w:val="212121"/>
          <w:shd w:val="clear" w:color="auto" w:fill="FFFFFF"/>
        </w:rPr>
        <w:t xml:space="preserve">, quetiapine XR) are proven effective as adjunctive treatments to antidepressants in partial responders, but only the olanzapine-fluoxetine combination has been studied in FDA-defined TRD. Repetitive transcranial magnetic stimulation (TMS) is established as effective and FDA-approved for individuals with TRD, with accelerated theta-burst TMS also recently showing efficacy. Electroconvulsive therapy is regarded as an effective acute and maintenance intervention in TRD, with preliminary evidence suggesting non-inferiority to acute intravenous ketamine. Evidence for extending antidepressant trial, medication switching and combining antidepressants is mixed. Manual-based psychotherapies are not established as efficacious on their own in </w:t>
      </w:r>
      <w:proofErr w:type="gramStart"/>
      <w:r w:rsidRPr="00F05E92">
        <w:rPr>
          <w:rFonts w:cstheme="minorHAnsi"/>
          <w:color w:val="212121"/>
          <w:shd w:val="clear" w:color="auto" w:fill="FFFFFF"/>
        </w:rPr>
        <w:t>TRD, but</w:t>
      </w:r>
      <w:proofErr w:type="gramEnd"/>
      <w:r w:rsidRPr="00F05E92">
        <w:rPr>
          <w:rFonts w:cstheme="minorHAnsi"/>
          <w:color w:val="212121"/>
          <w:shd w:val="clear" w:color="auto" w:fill="FFFFFF"/>
        </w:rPr>
        <w:t xml:space="preserve"> offer significant symptomatic relief when added to conventional antidepressants. Digital therapeutics are under study and represent a potential future clinical vista in this population.</w:t>
      </w:r>
    </w:p>
    <w:p w14:paraId="662FA8ED" w14:textId="77777777" w:rsidR="00B002B4" w:rsidRPr="00F05E92" w:rsidRDefault="00B002B4" w:rsidP="00B002B4">
      <w:pPr>
        <w:pStyle w:val="Heading1"/>
        <w:shd w:val="clear" w:color="auto" w:fill="FFFFFF"/>
        <w:rPr>
          <w:rFonts w:cstheme="minorHAnsi"/>
          <w:color w:val="212121"/>
        </w:rPr>
      </w:pPr>
      <w:bookmarkStart w:id="12" w:name="_Toc149913358"/>
      <w:r w:rsidRPr="00F05E92">
        <w:rPr>
          <w:rFonts w:cstheme="minorHAnsi"/>
          <w:color w:val="212121"/>
        </w:rPr>
        <w:t>Psychotherapies for Generalized Anxiety Disorder in Adults: A Systematic Review and Network Meta-Analysis of Randomized Clinical Trials</w:t>
      </w:r>
      <w:bookmarkEnd w:id="12"/>
    </w:p>
    <w:p w14:paraId="4D706BA2"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eop"/>
          <w:rFonts w:asciiTheme="minorHAnsi" w:hAnsiTheme="minorHAnsi" w:cstheme="minorHAnsi"/>
          <w:color w:val="212121"/>
          <w:sz w:val="22"/>
          <w:szCs w:val="22"/>
        </w:rPr>
        <w:t> </w:t>
      </w:r>
    </w:p>
    <w:p w14:paraId="6CDE0708" w14:textId="77777777" w:rsidR="00B002B4" w:rsidRPr="00F05E92" w:rsidRDefault="00B002B4" w:rsidP="00B002B4">
      <w:pPr>
        <w:pStyle w:val="paragraph"/>
        <w:spacing w:before="0" w:beforeAutospacing="0" w:after="0" w:afterAutospacing="0"/>
        <w:textAlignment w:val="baseline"/>
        <w:rPr>
          <w:rStyle w:val="eop"/>
          <w:rFonts w:asciiTheme="minorHAnsi" w:hAnsiTheme="minorHAnsi" w:cstheme="minorHAnsi"/>
          <w:color w:val="212121"/>
          <w:sz w:val="22"/>
          <w:szCs w:val="22"/>
        </w:rPr>
      </w:pPr>
      <w:proofErr w:type="spellStart"/>
      <w:r w:rsidRPr="00F05E92">
        <w:rPr>
          <w:rStyle w:val="normaltextrun"/>
          <w:rFonts w:asciiTheme="minorHAnsi" w:hAnsiTheme="minorHAnsi" w:cstheme="minorHAnsi"/>
          <w:color w:val="212121"/>
          <w:sz w:val="22"/>
          <w:szCs w:val="22"/>
        </w:rPr>
        <w:t>Papola</w:t>
      </w:r>
      <w:proofErr w:type="spellEnd"/>
      <w:r w:rsidRPr="00F05E92">
        <w:rPr>
          <w:rStyle w:val="normaltextrun"/>
          <w:rFonts w:asciiTheme="minorHAnsi" w:hAnsiTheme="minorHAnsi" w:cstheme="minorHAnsi"/>
          <w:color w:val="212121"/>
          <w:sz w:val="22"/>
          <w:szCs w:val="22"/>
        </w:rPr>
        <w:t xml:space="preserve"> D, Miguel C, </w:t>
      </w:r>
      <w:proofErr w:type="spellStart"/>
      <w:r w:rsidRPr="00F05E92">
        <w:rPr>
          <w:rStyle w:val="normaltextrun"/>
          <w:rFonts w:asciiTheme="minorHAnsi" w:hAnsiTheme="minorHAnsi" w:cstheme="minorHAnsi"/>
          <w:color w:val="212121"/>
          <w:sz w:val="22"/>
          <w:szCs w:val="22"/>
        </w:rPr>
        <w:t>Mazzaglia</w:t>
      </w:r>
      <w:proofErr w:type="spellEnd"/>
      <w:r w:rsidRPr="00F05E92">
        <w:rPr>
          <w:rStyle w:val="normaltextrun"/>
          <w:rFonts w:asciiTheme="minorHAnsi" w:hAnsiTheme="minorHAnsi" w:cstheme="minorHAnsi"/>
          <w:color w:val="212121"/>
          <w:sz w:val="22"/>
          <w:szCs w:val="22"/>
        </w:rPr>
        <w:t xml:space="preserve"> M, Franco P, Tedeschi F, Romero SA, Patel AR, </w:t>
      </w:r>
      <w:proofErr w:type="spellStart"/>
      <w:r w:rsidRPr="00F05E92">
        <w:rPr>
          <w:rStyle w:val="normaltextrun"/>
          <w:rFonts w:asciiTheme="minorHAnsi" w:hAnsiTheme="minorHAnsi" w:cstheme="minorHAnsi"/>
          <w:color w:val="212121"/>
          <w:sz w:val="22"/>
          <w:szCs w:val="22"/>
        </w:rPr>
        <w:t>Ostuzzi</w:t>
      </w:r>
      <w:proofErr w:type="spellEnd"/>
      <w:r w:rsidRPr="00F05E92">
        <w:rPr>
          <w:rStyle w:val="normaltextrun"/>
          <w:rFonts w:asciiTheme="minorHAnsi" w:hAnsiTheme="minorHAnsi" w:cstheme="minorHAnsi"/>
          <w:color w:val="212121"/>
          <w:sz w:val="22"/>
          <w:szCs w:val="22"/>
        </w:rPr>
        <w:t xml:space="preserve"> G, </w:t>
      </w:r>
      <w:proofErr w:type="spellStart"/>
      <w:r w:rsidRPr="00F05E92">
        <w:rPr>
          <w:rStyle w:val="normaltextrun"/>
          <w:rFonts w:asciiTheme="minorHAnsi" w:hAnsiTheme="minorHAnsi" w:cstheme="minorHAnsi"/>
          <w:color w:val="212121"/>
          <w:sz w:val="22"/>
          <w:szCs w:val="22"/>
        </w:rPr>
        <w:t>Gastaldon</w:t>
      </w:r>
      <w:proofErr w:type="spellEnd"/>
      <w:r w:rsidRPr="00F05E92">
        <w:rPr>
          <w:rStyle w:val="normaltextrun"/>
          <w:rFonts w:asciiTheme="minorHAnsi" w:hAnsiTheme="minorHAnsi" w:cstheme="minorHAnsi"/>
          <w:color w:val="212121"/>
          <w:sz w:val="22"/>
          <w:szCs w:val="22"/>
        </w:rPr>
        <w:t xml:space="preserve"> C, </w:t>
      </w:r>
      <w:proofErr w:type="spellStart"/>
      <w:r w:rsidRPr="00F05E92">
        <w:rPr>
          <w:rStyle w:val="normaltextrun"/>
          <w:rFonts w:asciiTheme="minorHAnsi" w:hAnsiTheme="minorHAnsi" w:cstheme="minorHAnsi"/>
          <w:color w:val="212121"/>
          <w:sz w:val="22"/>
          <w:szCs w:val="22"/>
        </w:rPr>
        <w:t>Karyotaki</w:t>
      </w:r>
      <w:proofErr w:type="spellEnd"/>
      <w:r w:rsidRPr="00F05E92">
        <w:rPr>
          <w:rStyle w:val="normaltextrun"/>
          <w:rFonts w:asciiTheme="minorHAnsi" w:hAnsiTheme="minorHAnsi" w:cstheme="minorHAnsi"/>
          <w:color w:val="212121"/>
          <w:sz w:val="22"/>
          <w:szCs w:val="22"/>
        </w:rPr>
        <w:t xml:space="preserve"> E, </w:t>
      </w:r>
      <w:proofErr w:type="spellStart"/>
      <w:r w:rsidRPr="00F05E92">
        <w:rPr>
          <w:rStyle w:val="normaltextrun"/>
          <w:rFonts w:asciiTheme="minorHAnsi" w:hAnsiTheme="minorHAnsi" w:cstheme="minorHAnsi"/>
          <w:color w:val="212121"/>
          <w:sz w:val="22"/>
          <w:szCs w:val="22"/>
        </w:rPr>
        <w:t>Harrer</w:t>
      </w:r>
      <w:proofErr w:type="spellEnd"/>
      <w:r w:rsidRPr="00F05E92">
        <w:rPr>
          <w:rStyle w:val="normaltextrun"/>
          <w:rFonts w:asciiTheme="minorHAnsi" w:hAnsiTheme="minorHAnsi" w:cstheme="minorHAnsi"/>
          <w:color w:val="212121"/>
          <w:sz w:val="22"/>
          <w:szCs w:val="22"/>
        </w:rPr>
        <w:t xml:space="preserve"> M, </w:t>
      </w:r>
      <w:proofErr w:type="spellStart"/>
      <w:r w:rsidRPr="00F05E92">
        <w:rPr>
          <w:rStyle w:val="normaltextrun"/>
          <w:rFonts w:asciiTheme="minorHAnsi" w:hAnsiTheme="minorHAnsi" w:cstheme="minorHAnsi"/>
          <w:color w:val="212121"/>
          <w:sz w:val="22"/>
          <w:szCs w:val="22"/>
        </w:rPr>
        <w:t>Purgato</w:t>
      </w:r>
      <w:proofErr w:type="spellEnd"/>
      <w:r w:rsidRPr="00F05E92">
        <w:rPr>
          <w:rStyle w:val="normaltextrun"/>
          <w:rFonts w:asciiTheme="minorHAnsi" w:hAnsiTheme="minorHAnsi" w:cstheme="minorHAnsi"/>
          <w:color w:val="212121"/>
          <w:sz w:val="22"/>
          <w:szCs w:val="22"/>
        </w:rPr>
        <w:t xml:space="preserve"> M, </w:t>
      </w:r>
      <w:proofErr w:type="spellStart"/>
      <w:r w:rsidRPr="00F05E92">
        <w:rPr>
          <w:rStyle w:val="normaltextrun"/>
          <w:rFonts w:asciiTheme="minorHAnsi" w:hAnsiTheme="minorHAnsi" w:cstheme="minorHAnsi"/>
          <w:color w:val="212121"/>
          <w:sz w:val="22"/>
          <w:szCs w:val="22"/>
        </w:rPr>
        <w:t>Sijbrandij</w:t>
      </w:r>
      <w:proofErr w:type="spellEnd"/>
      <w:r w:rsidRPr="00F05E92">
        <w:rPr>
          <w:rStyle w:val="normaltextrun"/>
          <w:rFonts w:asciiTheme="minorHAnsi" w:hAnsiTheme="minorHAnsi" w:cstheme="minorHAnsi"/>
          <w:color w:val="212121"/>
          <w:sz w:val="22"/>
          <w:szCs w:val="22"/>
        </w:rPr>
        <w:t xml:space="preserve"> M, Patel V, Furukawa TA, </w:t>
      </w:r>
      <w:proofErr w:type="spellStart"/>
      <w:r w:rsidRPr="00F05E92">
        <w:rPr>
          <w:rStyle w:val="normaltextrun"/>
          <w:rFonts w:asciiTheme="minorHAnsi" w:hAnsiTheme="minorHAnsi" w:cstheme="minorHAnsi"/>
          <w:color w:val="212121"/>
          <w:sz w:val="22"/>
          <w:szCs w:val="22"/>
        </w:rPr>
        <w:t>Cuijpers</w:t>
      </w:r>
      <w:proofErr w:type="spellEnd"/>
      <w:r w:rsidRPr="00F05E92">
        <w:rPr>
          <w:rStyle w:val="normaltextrun"/>
          <w:rFonts w:asciiTheme="minorHAnsi" w:hAnsiTheme="minorHAnsi" w:cstheme="minorHAnsi"/>
          <w:color w:val="212121"/>
          <w:sz w:val="22"/>
          <w:szCs w:val="22"/>
        </w:rPr>
        <w:t xml:space="preserve"> P, </w:t>
      </w:r>
      <w:proofErr w:type="spellStart"/>
      <w:r w:rsidRPr="00F05E92">
        <w:rPr>
          <w:rStyle w:val="normaltextrun"/>
          <w:rFonts w:asciiTheme="minorHAnsi" w:hAnsiTheme="minorHAnsi" w:cstheme="minorHAnsi"/>
          <w:color w:val="212121"/>
          <w:sz w:val="22"/>
          <w:szCs w:val="22"/>
        </w:rPr>
        <w:t>Barbui</w:t>
      </w:r>
      <w:proofErr w:type="spellEnd"/>
      <w:r w:rsidRPr="00F05E92">
        <w:rPr>
          <w:rStyle w:val="normaltextrun"/>
          <w:rFonts w:asciiTheme="minorHAnsi" w:hAnsiTheme="minorHAnsi" w:cstheme="minorHAnsi"/>
          <w:color w:val="212121"/>
          <w:sz w:val="22"/>
          <w:szCs w:val="22"/>
        </w:rPr>
        <w:t xml:space="preserve"> C. Psychotherapies for Generalized Anxiety Disorder in Adults: A Systematic Review and Network Meta-Analysis of Randomized Clinical Trials. JAMA Psychiatry. 2023 Oct </w:t>
      </w:r>
      <w:proofErr w:type="gramStart"/>
      <w:r w:rsidRPr="00F05E92">
        <w:rPr>
          <w:rStyle w:val="normaltextrun"/>
          <w:rFonts w:asciiTheme="minorHAnsi" w:hAnsiTheme="minorHAnsi" w:cstheme="minorHAnsi"/>
          <w:color w:val="212121"/>
          <w:sz w:val="22"/>
          <w:szCs w:val="22"/>
        </w:rPr>
        <w:t>18:e</w:t>
      </w:r>
      <w:proofErr w:type="gramEnd"/>
      <w:r w:rsidRPr="00F05E92">
        <w:rPr>
          <w:rStyle w:val="normaltextrun"/>
          <w:rFonts w:asciiTheme="minorHAnsi" w:hAnsiTheme="minorHAnsi" w:cstheme="minorHAnsi"/>
          <w:color w:val="212121"/>
          <w:sz w:val="22"/>
          <w:szCs w:val="22"/>
        </w:rPr>
        <w:t xml:space="preserve">233971. </w:t>
      </w:r>
      <w:proofErr w:type="spellStart"/>
      <w:r w:rsidRPr="00F05E92">
        <w:rPr>
          <w:rStyle w:val="normaltextrun"/>
          <w:rFonts w:asciiTheme="minorHAnsi" w:hAnsiTheme="minorHAnsi" w:cstheme="minorHAnsi"/>
          <w:color w:val="212121"/>
          <w:sz w:val="22"/>
          <w:szCs w:val="22"/>
        </w:rPr>
        <w:t>doi</w:t>
      </w:r>
      <w:proofErr w:type="spellEnd"/>
      <w:r w:rsidRPr="00F05E92">
        <w:rPr>
          <w:rStyle w:val="normaltextrun"/>
          <w:rFonts w:asciiTheme="minorHAnsi" w:hAnsiTheme="minorHAnsi" w:cstheme="minorHAnsi"/>
          <w:color w:val="212121"/>
          <w:sz w:val="22"/>
          <w:szCs w:val="22"/>
        </w:rPr>
        <w:t xml:space="preserve">: 10.1001/jamapsychiatry.2023.3971. </w:t>
      </w:r>
      <w:proofErr w:type="spellStart"/>
      <w:r w:rsidRPr="00F05E92">
        <w:rPr>
          <w:rStyle w:val="normaltextrun"/>
          <w:rFonts w:asciiTheme="minorHAnsi" w:hAnsiTheme="minorHAnsi" w:cstheme="minorHAnsi"/>
          <w:color w:val="212121"/>
          <w:sz w:val="22"/>
          <w:szCs w:val="22"/>
        </w:rPr>
        <w:t>Epub</w:t>
      </w:r>
      <w:proofErr w:type="spellEnd"/>
      <w:r w:rsidRPr="00F05E92">
        <w:rPr>
          <w:rStyle w:val="normaltextrun"/>
          <w:rFonts w:asciiTheme="minorHAnsi" w:hAnsiTheme="minorHAnsi" w:cstheme="minorHAnsi"/>
          <w:color w:val="212121"/>
          <w:sz w:val="22"/>
          <w:szCs w:val="22"/>
        </w:rPr>
        <w:t xml:space="preserve"> ahead of print. </w:t>
      </w:r>
      <w:hyperlink r:id="rId21" w:tgtFrame="_blank" w:history="1">
        <w:r w:rsidRPr="00F05E92">
          <w:rPr>
            <w:rStyle w:val="normaltextrun"/>
            <w:rFonts w:asciiTheme="minorHAnsi" w:hAnsiTheme="minorHAnsi" w:cstheme="minorHAnsi"/>
            <w:color w:val="0563C1"/>
            <w:sz w:val="22"/>
            <w:szCs w:val="22"/>
            <w:u w:val="single"/>
          </w:rPr>
          <w:t>PMID: 37851421</w:t>
        </w:r>
      </w:hyperlink>
      <w:r w:rsidRPr="00F05E92">
        <w:rPr>
          <w:rStyle w:val="normaltextrun"/>
          <w:rFonts w:asciiTheme="minorHAnsi" w:hAnsiTheme="minorHAnsi" w:cstheme="minorHAnsi"/>
          <w:color w:val="212121"/>
          <w:sz w:val="22"/>
          <w:szCs w:val="22"/>
        </w:rPr>
        <w:t>; PMCID: PMC10585589.</w:t>
      </w:r>
      <w:r w:rsidRPr="00F05E92">
        <w:rPr>
          <w:rStyle w:val="eop"/>
          <w:rFonts w:asciiTheme="minorHAnsi" w:hAnsiTheme="minorHAnsi" w:cstheme="minorHAnsi"/>
          <w:color w:val="212121"/>
          <w:sz w:val="22"/>
          <w:szCs w:val="22"/>
        </w:rPr>
        <w:t> </w:t>
      </w:r>
    </w:p>
    <w:p w14:paraId="1CC0AE4D"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p>
    <w:p w14:paraId="26EB8522"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t>Importance: </w:t>
      </w:r>
      <w:r w:rsidRPr="00F05E92">
        <w:rPr>
          <w:rStyle w:val="normaltextrun"/>
          <w:rFonts w:asciiTheme="minorHAnsi" w:hAnsiTheme="minorHAnsi" w:cstheme="minorHAnsi"/>
          <w:color w:val="212121"/>
          <w:sz w:val="22"/>
          <w:szCs w:val="22"/>
        </w:rPr>
        <w:t>Generalized anxiety disorder (GAD) is one of the most common mental disorders in adults. Psychotherapies are among the most recommended treatments for GAD, but which should be considered as first-line treatment needs to be clarified.</w:t>
      </w:r>
      <w:r w:rsidRPr="00F05E92">
        <w:rPr>
          <w:rStyle w:val="eop"/>
          <w:rFonts w:asciiTheme="minorHAnsi" w:hAnsiTheme="minorHAnsi" w:cstheme="minorHAnsi"/>
          <w:color w:val="212121"/>
          <w:sz w:val="22"/>
          <w:szCs w:val="22"/>
        </w:rPr>
        <w:t> </w:t>
      </w:r>
    </w:p>
    <w:p w14:paraId="345F35EE"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t>Objective: </w:t>
      </w:r>
      <w:r w:rsidRPr="00F05E92">
        <w:rPr>
          <w:rStyle w:val="normaltextrun"/>
          <w:rFonts w:asciiTheme="minorHAnsi" w:hAnsiTheme="minorHAnsi" w:cstheme="minorHAnsi"/>
          <w:color w:val="212121"/>
          <w:sz w:val="22"/>
          <w:szCs w:val="22"/>
        </w:rPr>
        <w:t>To use a network meta-analysis to examine the short- and long-term associations of different psychotherapies with outcomes of effectiveness and acceptability in adults with GAD.</w:t>
      </w:r>
      <w:r w:rsidRPr="00F05E92">
        <w:rPr>
          <w:rStyle w:val="eop"/>
          <w:rFonts w:asciiTheme="minorHAnsi" w:hAnsiTheme="minorHAnsi" w:cstheme="minorHAnsi"/>
          <w:color w:val="212121"/>
          <w:sz w:val="22"/>
          <w:szCs w:val="22"/>
        </w:rPr>
        <w:t> </w:t>
      </w:r>
    </w:p>
    <w:p w14:paraId="43A4B75D"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t>Data sources: </w:t>
      </w:r>
      <w:r w:rsidRPr="00F05E92">
        <w:rPr>
          <w:rStyle w:val="normaltextrun"/>
          <w:rFonts w:asciiTheme="minorHAnsi" w:hAnsiTheme="minorHAnsi" w:cstheme="minorHAnsi"/>
          <w:color w:val="212121"/>
          <w:sz w:val="22"/>
          <w:szCs w:val="22"/>
        </w:rPr>
        <w:t>MEDLINE, Embase, PsycINFO, and the Cochrane Register of Controlled Trials were searched from database inception to January 1, 2023, to identify randomized clinical trials (RCTs) of psychotherapies for adults with GAD.</w:t>
      </w:r>
      <w:r w:rsidRPr="00F05E92">
        <w:rPr>
          <w:rStyle w:val="eop"/>
          <w:rFonts w:asciiTheme="minorHAnsi" w:hAnsiTheme="minorHAnsi" w:cstheme="minorHAnsi"/>
          <w:color w:val="212121"/>
          <w:sz w:val="22"/>
          <w:szCs w:val="22"/>
        </w:rPr>
        <w:t> </w:t>
      </w:r>
    </w:p>
    <w:p w14:paraId="211B44B4"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lastRenderedPageBreak/>
        <w:t>Study selection: </w:t>
      </w:r>
      <w:r w:rsidRPr="00F05E92">
        <w:rPr>
          <w:rStyle w:val="normaltextrun"/>
          <w:rFonts w:asciiTheme="minorHAnsi" w:hAnsiTheme="minorHAnsi" w:cstheme="minorHAnsi"/>
          <w:color w:val="212121"/>
          <w:sz w:val="22"/>
          <w:szCs w:val="22"/>
        </w:rPr>
        <w:t>RCTs comparing any type of psychotherapy against another or with a control condition for the treatment of adults (≥18 years, both sexes) with a primary diagnosis of GAD were eligible for inclusion.</w:t>
      </w:r>
      <w:r w:rsidRPr="00F05E92">
        <w:rPr>
          <w:rStyle w:val="eop"/>
          <w:rFonts w:asciiTheme="minorHAnsi" w:hAnsiTheme="minorHAnsi" w:cstheme="minorHAnsi"/>
          <w:color w:val="212121"/>
          <w:sz w:val="22"/>
          <w:szCs w:val="22"/>
        </w:rPr>
        <w:t> </w:t>
      </w:r>
    </w:p>
    <w:p w14:paraId="2E275FAB"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t>Data extraction and synthesis: </w:t>
      </w:r>
      <w:r w:rsidRPr="00F05E92">
        <w:rPr>
          <w:rStyle w:val="normaltextrun"/>
          <w:rFonts w:asciiTheme="minorHAnsi" w:hAnsiTheme="minorHAnsi" w:cstheme="minorHAnsi"/>
          <w:color w:val="212121"/>
          <w:sz w:val="22"/>
          <w:szCs w:val="22"/>
        </w:rPr>
        <w:t>This study followed Cochrane standards for extracting data and assessing data quality and used the PRISMA guideline for reporting. Risk of bias of individual studies was assessed using the second version of the Cochrane risk of bias tool, and the Confidence in Network Meta-Analysis was used to rate the certainty of evidence for meta-analytical results.</w:t>
      </w:r>
      <w:r w:rsidRPr="00F05E92">
        <w:rPr>
          <w:rStyle w:val="eop"/>
          <w:rFonts w:asciiTheme="minorHAnsi" w:hAnsiTheme="minorHAnsi" w:cstheme="minorHAnsi"/>
          <w:color w:val="212121"/>
          <w:sz w:val="22"/>
          <w:szCs w:val="22"/>
        </w:rPr>
        <w:t> </w:t>
      </w:r>
    </w:p>
    <w:p w14:paraId="378DF864"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t>Main outcomes and measures: </w:t>
      </w:r>
      <w:r w:rsidRPr="00F05E92">
        <w:rPr>
          <w:rStyle w:val="normaltextrun"/>
          <w:rFonts w:asciiTheme="minorHAnsi" w:hAnsiTheme="minorHAnsi" w:cstheme="minorHAnsi"/>
          <w:color w:val="212121"/>
          <w:sz w:val="22"/>
          <w:szCs w:val="22"/>
        </w:rPr>
        <w:t xml:space="preserve">Eight psychotherapies were compared against one another and with 2 control conditions. Primary outcomes were severity of GAD symptoms and acceptability of the psychotherapies. </w:t>
      </w:r>
      <w:proofErr w:type="gramStart"/>
      <w:r w:rsidRPr="00F05E92">
        <w:rPr>
          <w:rStyle w:val="normaltextrun"/>
          <w:rFonts w:asciiTheme="minorHAnsi" w:hAnsiTheme="minorHAnsi" w:cstheme="minorHAnsi"/>
          <w:color w:val="212121"/>
          <w:sz w:val="22"/>
          <w:szCs w:val="22"/>
        </w:rPr>
        <w:t>Random-effects</w:t>
      </w:r>
      <w:proofErr w:type="gramEnd"/>
      <w:r w:rsidRPr="00F05E92">
        <w:rPr>
          <w:rStyle w:val="normaltextrun"/>
          <w:rFonts w:asciiTheme="minorHAnsi" w:hAnsiTheme="minorHAnsi" w:cstheme="minorHAnsi"/>
          <w:color w:val="212121"/>
          <w:sz w:val="22"/>
          <w:szCs w:val="22"/>
        </w:rPr>
        <w:t xml:space="preserve"> model pairwise and network meta-analyses were conducted. For effectiveness, standardized mean differences (SMDs) were pooled, and for acceptability, relative risks with 95% CIs were calculated.</w:t>
      </w:r>
      <w:r w:rsidRPr="00F05E92">
        <w:rPr>
          <w:rStyle w:val="eop"/>
          <w:rFonts w:asciiTheme="minorHAnsi" w:hAnsiTheme="minorHAnsi" w:cstheme="minorHAnsi"/>
          <w:color w:val="212121"/>
          <w:sz w:val="22"/>
          <w:szCs w:val="22"/>
        </w:rPr>
        <w:t> </w:t>
      </w:r>
    </w:p>
    <w:p w14:paraId="5C7EE2ED"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t>Results: </w:t>
      </w:r>
      <w:r w:rsidRPr="00F05E92">
        <w:rPr>
          <w:rStyle w:val="normaltextrun"/>
          <w:rFonts w:asciiTheme="minorHAnsi" w:hAnsiTheme="minorHAnsi" w:cstheme="minorHAnsi"/>
          <w:color w:val="212121"/>
          <w:sz w:val="22"/>
          <w:szCs w:val="22"/>
        </w:rPr>
        <w:t>Data from 66 RCTs were included. Effect size estimates on data from 5597 participants (mean [SD], 70.9% [11.9%] women; mean [SD] age, 42.2 [12.5] years) suggested that third-wave cognitive behavior therapies (CBTs) (SMD, -0.78 [95% CI, -1.19 to -0.37]; certainty, moderate), CBT (SMD, -0.68 [95% CI, -1.05 to -0.32]; certainty, moderate), and relaxation therapy (SMD, -0.54 [95% CI, -1.04 to -0.05]; certainty, low) were associated with reduced GAD symptoms vs treatment as usual. Relative risks for all-cause discontinuation (indication of acceptability) signaled no differences compared with treatment as usual for all psychotherapies (</w:t>
      </w:r>
      <w:proofErr w:type="spellStart"/>
      <w:r w:rsidRPr="00F05E92">
        <w:rPr>
          <w:rStyle w:val="normaltextrun"/>
          <w:rFonts w:asciiTheme="minorHAnsi" w:hAnsiTheme="minorHAnsi" w:cstheme="minorHAnsi"/>
          <w:color w:val="212121"/>
          <w:sz w:val="22"/>
          <w:szCs w:val="22"/>
        </w:rPr>
        <w:t>eg</w:t>
      </w:r>
      <w:proofErr w:type="spellEnd"/>
      <w:r w:rsidRPr="00F05E92">
        <w:rPr>
          <w:rStyle w:val="normaltextrun"/>
          <w:rFonts w:asciiTheme="minorHAnsi" w:hAnsiTheme="minorHAnsi" w:cstheme="minorHAnsi"/>
          <w:color w:val="212121"/>
          <w:sz w:val="22"/>
          <w:szCs w:val="22"/>
        </w:rPr>
        <w:t>, relative risk, 1.07 [95% CI, 0.73-1.57] for CBT vs treatment as usual). When excluding studies at high risk of bias, relaxation therapy lost its superiority over treatment as usual (SMD, -0.40; 95% CI, -1.15 to 0.34). When considering anxiety severity at 3 to 12 months after completion of the intervention, only CBT remained significantly associated with greater effectiveness than treatment as usual (SMD, -0.58; 95% CI, -0.93 to -0.23).</w:t>
      </w:r>
      <w:r w:rsidRPr="00F05E92">
        <w:rPr>
          <w:rStyle w:val="eop"/>
          <w:rFonts w:asciiTheme="minorHAnsi" w:hAnsiTheme="minorHAnsi" w:cstheme="minorHAnsi"/>
          <w:color w:val="212121"/>
          <w:sz w:val="22"/>
          <w:szCs w:val="22"/>
        </w:rPr>
        <w:t> </w:t>
      </w:r>
    </w:p>
    <w:p w14:paraId="0AD48CB2" w14:textId="77777777" w:rsidR="00B002B4" w:rsidRPr="00F05E92" w:rsidRDefault="00B002B4" w:rsidP="00B002B4">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b/>
          <w:bCs/>
          <w:color w:val="212121"/>
          <w:sz w:val="22"/>
          <w:szCs w:val="22"/>
        </w:rPr>
        <w:t>Conclusions and relevance: </w:t>
      </w:r>
      <w:r w:rsidRPr="00F05E92">
        <w:rPr>
          <w:rStyle w:val="normaltextrun"/>
          <w:rFonts w:asciiTheme="minorHAnsi" w:hAnsiTheme="minorHAnsi" w:cstheme="minorHAnsi"/>
          <w:color w:val="212121"/>
          <w:sz w:val="22"/>
          <w:szCs w:val="22"/>
        </w:rPr>
        <w:t>Given the evidence in this systematic review and network meta-analysis for its associations with both acute and long-term effectiveness, CBT may represent the first-line therapy of GAD. Third-wave CBTs and relaxation therapy were associated with short-term effectiveness and may also be offered.</w:t>
      </w:r>
      <w:r w:rsidRPr="00F05E92">
        <w:rPr>
          <w:rStyle w:val="eop"/>
          <w:rFonts w:asciiTheme="minorHAnsi" w:hAnsiTheme="minorHAnsi" w:cstheme="minorHAnsi"/>
          <w:color w:val="212121"/>
          <w:sz w:val="22"/>
          <w:szCs w:val="22"/>
        </w:rPr>
        <w:t> </w:t>
      </w:r>
    </w:p>
    <w:p w14:paraId="1726400A" w14:textId="77777777" w:rsidR="00B002B4" w:rsidRPr="00F05E92" w:rsidRDefault="00B002B4" w:rsidP="00B002B4">
      <w:pPr>
        <w:rPr>
          <w:rFonts w:cstheme="minorHAnsi"/>
          <w:noProof/>
        </w:rPr>
      </w:pPr>
    </w:p>
    <w:p w14:paraId="6D1D8D80" w14:textId="77777777" w:rsidR="00CE6E05" w:rsidRPr="00F05E92" w:rsidRDefault="00CE6E05" w:rsidP="00CE6E05">
      <w:pPr>
        <w:rPr>
          <w:rFonts w:cstheme="minorHAnsi"/>
        </w:rPr>
      </w:pPr>
    </w:p>
    <w:p w14:paraId="6FE05E25" w14:textId="77777777" w:rsidR="00CE6E05" w:rsidRPr="00F05E92" w:rsidRDefault="00CE6E05" w:rsidP="00CE6E05">
      <w:pPr>
        <w:rPr>
          <w:rFonts w:cstheme="minorHAnsi"/>
        </w:rPr>
      </w:pPr>
    </w:p>
    <w:p w14:paraId="16774942" w14:textId="31769E55" w:rsidR="00B82BDF" w:rsidRPr="00F05E92" w:rsidRDefault="00B82BDF" w:rsidP="006C0895">
      <w:pPr>
        <w:pStyle w:val="Heading2"/>
        <w:rPr>
          <w:rFonts w:asciiTheme="minorHAnsi" w:hAnsiTheme="minorHAnsi" w:cstheme="minorHAnsi"/>
          <w:noProof/>
          <w:sz w:val="22"/>
          <w:szCs w:val="22"/>
        </w:rPr>
      </w:pPr>
      <w:bookmarkStart w:id="13" w:name="_Toc149913359"/>
      <w:r w:rsidRPr="00F05E92">
        <w:rPr>
          <w:rStyle w:val="Heading1Char"/>
          <w:rFonts w:asciiTheme="minorHAnsi" w:hAnsiTheme="minorHAnsi" w:cstheme="minorHAnsi"/>
          <w:sz w:val="22"/>
          <w:szCs w:val="22"/>
        </w:rPr>
        <w:t>Interesting Viewpoints</w:t>
      </w:r>
      <w:r w:rsidRPr="00F05E92">
        <w:rPr>
          <w:rFonts w:asciiTheme="minorHAnsi" w:hAnsiTheme="minorHAnsi" w:cstheme="minorHAnsi"/>
          <w:noProof/>
          <w:sz w:val="22"/>
          <w:szCs w:val="22"/>
        </w:rPr>
        <w:t>:</w:t>
      </w:r>
      <w:bookmarkEnd w:id="13"/>
    </w:p>
    <w:p w14:paraId="5789D47A" w14:textId="77777777" w:rsidR="00F6668E" w:rsidRPr="00F05E92" w:rsidRDefault="00F6668E" w:rsidP="00F6668E">
      <w:pPr>
        <w:rPr>
          <w:rFonts w:cstheme="minorHAnsi"/>
        </w:rPr>
      </w:pPr>
    </w:p>
    <w:p w14:paraId="76D2503B" w14:textId="77777777" w:rsidR="00F6668E" w:rsidRPr="00F05E92" w:rsidRDefault="00F6668E" w:rsidP="00F6668E">
      <w:pPr>
        <w:pStyle w:val="Heading1"/>
        <w:shd w:val="clear" w:color="auto" w:fill="FFFFFF"/>
        <w:rPr>
          <w:rFonts w:cstheme="minorHAnsi"/>
          <w:color w:val="212121"/>
        </w:rPr>
      </w:pPr>
      <w:bookmarkStart w:id="14" w:name="_Toc149913360"/>
      <w:r w:rsidRPr="00F05E92">
        <w:rPr>
          <w:rFonts w:cstheme="minorHAnsi"/>
          <w:color w:val="212121"/>
        </w:rPr>
        <w:t>Choosing Between Ketamine and Electroconvulsive Therapy for Outpatients With Treatment-Resistant Depression-Advantage Ketamine?</w:t>
      </w:r>
      <w:bookmarkEnd w:id="14"/>
    </w:p>
    <w:p w14:paraId="7D5CDF8A" w14:textId="77777777" w:rsidR="00F6668E" w:rsidRPr="00F05E92" w:rsidRDefault="00F6668E" w:rsidP="00F6668E">
      <w:pPr>
        <w:pStyle w:val="paragraph"/>
        <w:spacing w:before="0" w:beforeAutospacing="0" w:after="0" w:afterAutospacing="0"/>
        <w:textAlignment w:val="baseline"/>
        <w:rPr>
          <w:rFonts w:asciiTheme="minorHAnsi" w:hAnsiTheme="minorHAnsi" w:cstheme="minorHAnsi"/>
          <w:sz w:val="22"/>
          <w:szCs w:val="22"/>
        </w:rPr>
      </w:pPr>
      <w:r w:rsidRPr="00F05E92">
        <w:rPr>
          <w:rStyle w:val="eop"/>
          <w:rFonts w:asciiTheme="minorHAnsi" w:hAnsiTheme="minorHAnsi" w:cstheme="minorHAnsi"/>
          <w:sz w:val="22"/>
          <w:szCs w:val="22"/>
        </w:rPr>
        <w:t> </w:t>
      </w:r>
    </w:p>
    <w:p w14:paraId="6EF8B7ED" w14:textId="77777777" w:rsidR="00F6668E" w:rsidRDefault="00F6668E" w:rsidP="00F6668E">
      <w:pPr>
        <w:pStyle w:val="paragraph"/>
        <w:spacing w:before="0" w:beforeAutospacing="0" w:after="0" w:afterAutospacing="0"/>
        <w:textAlignment w:val="baseline"/>
        <w:rPr>
          <w:rStyle w:val="eop"/>
          <w:rFonts w:asciiTheme="minorHAnsi" w:hAnsiTheme="minorHAnsi" w:cstheme="minorHAnsi"/>
          <w:sz w:val="22"/>
          <w:szCs w:val="22"/>
        </w:rPr>
      </w:pPr>
      <w:r w:rsidRPr="00F05E92">
        <w:rPr>
          <w:rStyle w:val="normaltextrun"/>
          <w:rFonts w:asciiTheme="minorHAnsi" w:hAnsiTheme="minorHAnsi" w:cstheme="minorHAnsi"/>
          <w:color w:val="212121"/>
          <w:sz w:val="22"/>
          <w:szCs w:val="22"/>
        </w:rPr>
        <w:t xml:space="preserve">Mathew SJ, Jha MK, Anand A. Choosing Between Ketamine and Electroconvulsive Therapy for Outpatients </w:t>
      </w:r>
      <w:proofErr w:type="gramStart"/>
      <w:r w:rsidRPr="00F05E92">
        <w:rPr>
          <w:rStyle w:val="normaltextrun"/>
          <w:rFonts w:asciiTheme="minorHAnsi" w:hAnsiTheme="minorHAnsi" w:cstheme="minorHAnsi"/>
          <w:color w:val="212121"/>
          <w:sz w:val="22"/>
          <w:szCs w:val="22"/>
        </w:rPr>
        <w:t>With</w:t>
      </w:r>
      <w:proofErr w:type="gramEnd"/>
      <w:r w:rsidRPr="00F05E92">
        <w:rPr>
          <w:rStyle w:val="normaltextrun"/>
          <w:rFonts w:asciiTheme="minorHAnsi" w:hAnsiTheme="minorHAnsi" w:cstheme="minorHAnsi"/>
          <w:color w:val="212121"/>
          <w:sz w:val="22"/>
          <w:szCs w:val="22"/>
        </w:rPr>
        <w:t xml:space="preserve"> Treatment-Resistant Depression-Advantage Ketamine? JAMA Psychiatry. 2023 Oct 25. </w:t>
      </w:r>
      <w:proofErr w:type="spellStart"/>
      <w:r w:rsidRPr="00F05E92">
        <w:rPr>
          <w:rStyle w:val="normaltextrun"/>
          <w:rFonts w:asciiTheme="minorHAnsi" w:hAnsiTheme="minorHAnsi" w:cstheme="minorHAnsi"/>
          <w:color w:val="212121"/>
          <w:sz w:val="22"/>
          <w:szCs w:val="22"/>
        </w:rPr>
        <w:t>doi</w:t>
      </w:r>
      <w:proofErr w:type="spellEnd"/>
      <w:r w:rsidRPr="00F05E92">
        <w:rPr>
          <w:rStyle w:val="normaltextrun"/>
          <w:rFonts w:asciiTheme="minorHAnsi" w:hAnsiTheme="minorHAnsi" w:cstheme="minorHAnsi"/>
          <w:color w:val="212121"/>
          <w:sz w:val="22"/>
          <w:szCs w:val="22"/>
        </w:rPr>
        <w:t xml:space="preserve">: 10.1001/jamapsychiatry.2023.3979. </w:t>
      </w:r>
      <w:proofErr w:type="spellStart"/>
      <w:r w:rsidRPr="00F05E92">
        <w:rPr>
          <w:rStyle w:val="normaltextrun"/>
          <w:rFonts w:asciiTheme="minorHAnsi" w:hAnsiTheme="minorHAnsi" w:cstheme="minorHAnsi"/>
          <w:color w:val="212121"/>
          <w:sz w:val="22"/>
          <w:szCs w:val="22"/>
        </w:rPr>
        <w:t>Epub</w:t>
      </w:r>
      <w:proofErr w:type="spellEnd"/>
      <w:r w:rsidRPr="00F05E92">
        <w:rPr>
          <w:rStyle w:val="normaltextrun"/>
          <w:rFonts w:asciiTheme="minorHAnsi" w:hAnsiTheme="minorHAnsi" w:cstheme="minorHAnsi"/>
          <w:color w:val="212121"/>
          <w:sz w:val="22"/>
          <w:szCs w:val="22"/>
        </w:rPr>
        <w:t xml:space="preserve"> ahead of print. </w:t>
      </w:r>
      <w:hyperlink r:id="rId22" w:tgtFrame="_blank" w:history="1">
        <w:r w:rsidRPr="00F05E92">
          <w:rPr>
            <w:rStyle w:val="normaltextrun"/>
            <w:rFonts w:asciiTheme="minorHAnsi" w:hAnsiTheme="minorHAnsi" w:cstheme="minorHAnsi"/>
            <w:color w:val="0563C1"/>
            <w:sz w:val="22"/>
            <w:szCs w:val="22"/>
            <w:u w:val="single"/>
          </w:rPr>
          <w:t>PMID: 37878334.</w:t>
        </w:r>
      </w:hyperlink>
      <w:r w:rsidRPr="00F05E92">
        <w:rPr>
          <w:rStyle w:val="eop"/>
          <w:rFonts w:asciiTheme="minorHAnsi" w:hAnsiTheme="minorHAnsi" w:cstheme="minorHAnsi"/>
          <w:sz w:val="22"/>
          <w:szCs w:val="22"/>
        </w:rPr>
        <w:t> </w:t>
      </w:r>
    </w:p>
    <w:p w14:paraId="309B00F6" w14:textId="77777777" w:rsidR="00960961" w:rsidRPr="00F05E92" w:rsidRDefault="00960961" w:rsidP="00F6668E">
      <w:pPr>
        <w:pStyle w:val="paragraph"/>
        <w:spacing w:before="0" w:beforeAutospacing="0" w:after="0" w:afterAutospacing="0"/>
        <w:textAlignment w:val="baseline"/>
        <w:rPr>
          <w:rFonts w:asciiTheme="minorHAnsi" w:hAnsiTheme="minorHAnsi" w:cstheme="minorHAnsi"/>
          <w:sz w:val="22"/>
          <w:szCs w:val="22"/>
        </w:rPr>
      </w:pPr>
    </w:p>
    <w:p w14:paraId="56B4F69B" w14:textId="77777777" w:rsidR="00F6668E" w:rsidRPr="00F05E92" w:rsidRDefault="00F6668E" w:rsidP="00F6668E">
      <w:pPr>
        <w:pStyle w:val="paragraph"/>
        <w:spacing w:before="0" w:beforeAutospacing="0" w:after="0" w:afterAutospacing="0"/>
        <w:textAlignment w:val="baseline"/>
        <w:rPr>
          <w:rFonts w:asciiTheme="minorHAnsi" w:hAnsiTheme="minorHAnsi" w:cstheme="minorHAnsi"/>
          <w:sz w:val="22"/>
          <w:szCs w:val="22"/>
        </w:rPr>
      </w:pPr>
      <w:r w:rsidRPr="00F05E92">
        <w:rPr>
          <w:rStyle w:val="normaltextrun"/>
          <w:rFonts w:asciiTheme="minorHAnsi" w:hAnsiTheme="minorHAnsi" w:cstheme="minorHAnsi"/>
          <w:color w:val="212121"/>
          <w:sz w:val="22"/>
          <w:szCs w:val="22"/>
        </w:rPr>
        <w:t>This Viewpoint examines key issues stemming from several recent reports of electroconvulsive therapy (ECT) vs ketamine for improving depressive symptoms in treatment-resistant depression (TRD).</w:t>
      </w:r>
      <w:r w:rsidRPr="00F05E92">
        <w:rPr>
          <w:rStyle w:val="eop"/>
          <w:rFonts w:asciiTheme="minorHAnsi" w:hAnsiTheme="minorHAnsi" w:cstheme="minorHAnsi"/>
          <w:color w:val="212121"/>
          <w:sz w:val="22"/>
          <w:szCs w:val="22"/>
        </w:rPr>
        <w:t> </w:t>
      </w:r>
    </w:p>
    <w:p w14:paraId="3C1E7098" w14:textId="77777777" w:rsidR="00F6668E" w:rsidRPr="00F6668E" w:rsidRDefault="00F6668E" w:rsidP="00F6668E"/>
    <w:p w14:paraId="5DB4ACA3" w14:textId="07258FA1" w:rsidR="000423E0" w:rsidRPr="0045378A" w:rsidRDefault="000423E0" w:rsidP="0045378A">
      <w:pPr>
        <w:rPr>
          <w:noProof/>
        </w:rPr>
      </w:pPr>
    </w:p>
    <w:sectPr w:rsidR="000423E0" w:rsidRPr="00453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7603"/>
    <w:rsid w:val="00030438"/>
    <w:rsid w:val="000423E0"/>
    <w:rsid w:val="000447D5"/>
    <w:rsid w:val="000510E4"/>
    <w:rsid w:val="000B3815"/>
    <w:rsid w:val="000E1044"/>
    <w:rsid w:val="00100DA1"/>
    <w:rsid w:val="00107500"/>
    <w:rsid w:val="0016071D"/>
    <w:rsid w:val="00167D83"/>
    <w:rsid w:val="0017002E"/>
    <w:rsid w:val="00181909"/>
    <w:rsid w:val="001824C2"/>
    <w:rsid w:val="001A5A14"/>
    <w:rsid w:val="001D558C"/>
    <w:rsid w:val="001D698C"/>
    <w:rsid w:val="001E0169"/>
    <w:rsid w:val="00216C8E"/>
    <w:rsid w:val="00264263"/>
    <w:rsid w:val="00264F03"/>
    <w:rsid w:val="00295BEB"/>
    <w:rsid w:val="00307E29"/>
    <w:rsid w:val="00313E9A"/>
    <w:rsid w:val="00316627"/>
    <w:rsid w:val="003176F3"/>
    <w:rsid w:val="00335886"/>
    <w:rsid w:val="00337004"/>
    <w:rsid w:val="00351346"/>
    <w:rsid w:val="00375FB8"/>
    <w:rsid w:val="003821FA"/>
    <w:rsid w:val="00391F75"/>
    <w:rsid w:val="00391FF5"/>
    <w:rsid w:val="003E775C"/>
    <w:rsid w:val="00430530"/>
    <w:rsid w:val="004308DF"/>
    <w:rsid w:val="00443AB0"/>
    <w:rsid w:val="0045378A"/>
    <w:rsid w:val="004B6FEA"/>
    <w:rsid w:val="004D5D56"/>
    <w:rsid w:val="004D61DC"/>
    <w:rsid w:val="005063D4"/>
    <w:rsid w:val="00507647"/>
    <w:rsid w:val="00514989"/>
    <w:rsid w:val="00517CBC"/>
    <w:rsid w:val="0052739B"/>
    <w:rsid w:val="00583B9B"/>
    <w:rsid w:val="00594B79"/>
    <w:rsid w:val="0060720C"/>
    <w:rsid w:val="006328E1"/>
    <w:rsid w:val="006346BE"/>
    <w:rsid w:val="006368D1"/>
    <w:rsid w:val="0066255F"/>
    <w:rsid w:val="00687994"/>
    <w:rsid w:val="0069475A"/>
    <w:rsid w:val="006A7B6C"/>
    <w:rsid w:val="006B3ED6"/>
    <w:rsid w:val="006C0895"/>
    <w:rsid w:val="006C2A8E"/>
    <w:rsid w:val="006C6008"/>
    <w:rsid w:val="006E769A"/>
    <w:rsid w:val="006F0B5F"/>
    <w:rsid w:val="006F1E47"/>
    <w:rsid w:val="00731277"/>
    <w:rsid w:val="007466BC"/>
    <w:rsid w:val="007770EE"/>
    <w:rsid w:val="007818A5"/>
    <w:rsid w:val="008017D8"/>
    <w:rsid w:val="00836BD7"/>
    <w:rsid w:val="0084402C"/>
    <w:rsid w:val="00854980"/>
    <w:rsid w:val="00870B4C"/>
    <w:rsid w:val="00876D1F"/>
    <w:rsid w:val="00880BEB"/>
    <w:rsid w:val="00890822"/>
    <w:rsid w:val="008D1928"/>
    <w:rsid w:val="008F66F2"/>
    <w:rsid w:val="00941E18"/>
    <w:rsid w:val="00960961"/>
    <w:rsid w:val="0097450A"/>
    <w:rsid w:val="00980C92"/>
    <w:rsid w:val="0098517F"/>
    <w:rsid w:val="009C657C"/>
    <w:rsid w:val="009E1782"/>
    <w:rsid w:val="00A00324"/>
    <w:rsid w:val="00A0147B"/>
    <w:rsid w:val="00A108FA"/>
    <w:rsid w:val="00A2462A"/>
    <w:rsid w:val="00A41334"/>
    <w:rsid w:val="00A61E2B"/>
    <w:rsid w:val="00A749C6"/>
    <w:rsid w:val="00AB4610"/>
    <w:rsid w:val="00AC1FE1"/>
    <w:rsid w:val="00AE472E"/>
    <w:rsid w:val="00AF46E2"/>
    <w:rsid w:val="00B002B4"/>
    <w:rsid w:val="00B338CD"/>
    <w:rsid w:val="00B57EC5"/>
    <w:rsid w:val="00B70B46"/>
    <w:rsid w:val="00B73EEB"/>
    <w:rsid w:val="00B80B6F"/>
    <w:rsid w:val="00B82BDF"/>
    <w:rsid w:val="00BC5E5E"/>
    <w:rsid w:val="00BD13DE"/>
    <w:rsid w:val="00BD6F72"/>
    <w:rsid w:val="00BF3666"/>
    <w:rsid w:val="00BF5AF4"/>
    <w:rsid w:val="00C60412"/>
    <w:rsid w:val="00C76551"/>
    <w:rsid w:val="00CB0BAA"/>
    <w:rsid w:val="00CE6E05"/>
    <w:rsid w:val="00D17175"/>
    <w:rsid w:val="00D17217"/>
    <w:rsid w:val="00DC62E6"/>
    <w:rsid w:val="00DF1137"/>
    <w:rsid w:val="00DF2746"/>
    <w:rsid w:val="00E070C5"/>
    <w:rsid w:val="00E20DCD"/>
    <w:rsid w:val="00E21579"/>
    <w:rsid w:val="00E23E79"/>
    <w:rsid w:val="00E34DB9"/>
    <w:rsid w:val="00EC7D1E"/>
    <w:rsid w:val="00F00429"/>
    <w:rsid w:val="00F05E92"/>
    <w:rsid w:val="00F369C8"/>
    <w:rsid w:val="00F6668E"/>
    <w:rsid w:val="00FA3A4B"/>
    <w:rsid w:val="00FC0F56"/>
    <w:rsid w:val="00FE279F"/>
    <w:rsid w:val="00FF1D34"/>
    <w:rsid w:val="00FF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3328208">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27114596">
      <w:bodyDiv w:val="1"/>
      <w:marLeft w:val="0"/>
      <w:marRight w:val="0"/>
      <w:marTop w:val="0"/>
      <w:marBottom w:val="0"/>
      <w:divBdr>
        <w:top w:val="none" w:sz="0" w:space="0" w:color="auto"/>
        <w:left w:val="none" w:sz="0" w:space="0" w:color="auto"/>
        <w:bottom w:val="none" w:sz="0" w:space="0" w:color="auto"/>
        <w:right w:val="none" w:sz="0" w:space="0" w:color="auto"/>
      </w:divBdr>
    </w:div>
    <w:div w:id="234358079">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59898801">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647139">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21109121">
      <w:bodyDiv w:val="1"/>
      <w:marLeft w:val="0"/>
      <w:marRight w:val="0"/>
      <w:marTop w:val="0"/>
      <w:marBottom w:val="0"/>
      <w:divBdr>
        <w:top w:val="none" w:sz="0" w:space="0" w:color="auto"/>
        <w:left w:val="none" w:sz="0" w:space="0" w:color="auto"/>
        <w:bottom w:val="none" w:sz="0" w:space="0" w:color="auto"/>
        <w:right w:val="none" w:sz="0" w:space="0" w:color="auto"/>
      </w:divBdr>
    </w:div>
    <w:div w:id="691347991">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60431338">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09582385">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9374105">
      <w:bodyDiv w:val="1"/>
      <w:marLeft w:val="0"/>
      <w:marRight w:val="0"/>
      <w:marTop w:val="0"/>
      <w:marBottom w:val="0"/>
      <w:divBdr>
        <w:top w:val="none" w:sz="0" w:space="0" w:color="auto"/>
        <w:left w:val="none" w:sz="0" w:space="0" w:color="auto"/>
        <w:bottom w:val="none" w:sz="0" w:space="0" w:color="auto"/>
        <w:right w:val="none" w:sz="0" w:space="0" w:color="auto"/>
      </w:divBdr>
    </w:div>
    <w:div w:id="1126852605">
      <w:bodyDiv w:val="1"/>
      <w:marLeft w:val="0"/>
      <w:marRight w:val="0"/>
      <w:marTop w:val="0"/>
      <w:marBottom w:val="0"/>
      <w:divBdr>
        <w:top w:val="none" w:sz="0" w:space="0" w:color="auto"/>
        <w:left w:val="none" w:sz="0" w:space="0" w:color="auto"/>
        <w:bottom w:val="none" w:sz="0" w:space="0" w:color="auto"/>
        <w:right w:val="none" w:sz="0" w:space="0" w:color="auto"/>
      </w:divBdr>
      <w:divsChild>
        <w:div w:id="1286809664">
          <w:marLeft w:val="0"/>
          <w:marRight w:val="0"/>
          <w:marTop w:val="0"/>
          <w:marBottom w:val="0"/>
          <w:divBdr>
            <w:top w:val="none" w:sz="0" w:space="0" w:color="auto"/>
            <w:left w:val="none" w:sz="0" w:space="0" w:color="auto"/>
            <w:bottom w:val="none" w:sz="0" w:space="0" w:color="auto"/>
            <w:right w:val="none" w:sz="0" w:space="0" w:color="auto"/>
          </w:divBdr>
        </w:div>
        <w:div w:id="889075255">
          <w:marLeft w:val="0"/>
          <w:marRight w:val="0"/>
          <w:marTop w:val="0"/>
          <w:marBottom w:val="0"/>
          <w:divBdr>
            <w:top w:val="none" w:sz="0" w:space="0" w:color="auto"/>
            <w:left w:val="none" w:sz="0" w:space="0" w:color="auto"/>
            <w:bottom w:val="none" w:sz="0" w:space="0" w:color="auto"/>
            <w:right w:val="none" w:sz="0" w:space="0" w:color="auto"/>
          </w:divBdr>
        </w:div>
        <w:div w:id="1910575874">
          <w:marLeft w:val="0"/>
          <w:marRight w:val="0"/>
          <w:marTop w:val="0"/>
          <w:marBottom w:val="0"/>
          <w:divBdr>
            <w:top w:val="none" w:sz="0" w:space="0" w:color="auto"/>
            <w:left w:val="none" w:sz="0" w:space="0" w:color="auto"/>
            <w:bottom w:val="none" w:sz="0" w:space="0" w:color="auto"/>
            <w:right w:val="none" w:sz="0" w:space="0" w:color="auto"/>
          </w:divBdr>
        </w:div>
        <w:div w:id="1335307100">
          <w:marLeft w:val="0"/>
          <w:marRight w:val="0"/>
          <w:marTop w:val="0"/>
          <w:marBottom w:val="0"/>
          <w:divBdr>
            <w:top w:val="none" w:sz="0" w:space="0" w:color="auto"/>
            <w:left w:val="none" w:sz="0" w:space="0" w:color="auto"/>
            <w:bottom w:val="none" w:sz="0" w:space="0" w:color="auto"/>
            <w:right w:val="none" w:sz="0" w:space="0" w:color="auto"/>
          </w:divBdr>
        </w:div>
        <w:div w:id="1971470837">
          <w:marLeft w:val="0"/>
          <w:marRight w:val="0"/>
          <w:marTop w:val="0"/>
          <w:marBottom w:val="0"/>
          <w:divBdr>
            <w:top w:val="none" w:sz="0" w:space="0" w:color="auto"/>
            <w:left w:val="none" w:sz="0" w:space="0" w:color="auto"/>
            <w:bottom w:val="none" w:sz="0" w:space="0" w:color="auto"/>
            <w:right w:val="none" w:sz="0" w:space="0" w:color="auto"/>
          </w:divBdr>
        </w:div>
        <w:div w:id="1622417641">
          <w:marLeft w:val="0"/>
          <w:marRight w:val="0"/>
          <w:marTop w:val="0"/>
          <w:marBottom w:val="0"/>
          <w:divBdr>
            <w:top w:val="none" w:sz="0" w:space="0" w:color="auto"/>
            <w:left w:val="none" w:sz="0" w:space="0" w:color="auto"/>
            <w:bottom w:val="none" w:sz="0" w:space="0" w:color="auto"/>
            <w:right w:val="none" w:sz="0" w:space="0" w:color="auto"/>
          </w:divBdr>
        </w:div>
        <w:div w:id="580257886">
          <w:marLeft w:val="0"/>
          <w:marRight w:val="0"/>
          <w:marTop w:val="0"/>
          <w:marBottom w:val="0"/>
          <w:divBdr>
            <w:top w:val="none" w:sz="0" w:space="0" w:color="auto"/>
            <w:left w:val="none" w:sz="0" w:space="0" w:color="auto"/>
            <w:bottom w:val="none" w:sz="0" w:space="0" w:color="auto"/>
            <w:right w:val="none" w:sz="0" w:space="0" w:color="auto"/>
          </w:divBdr>
        </w:div>
        <w:div w:id="2015648822">
          <w:marLeft w:val="0"/>
          <w:marRight w:val="0"/>
          <w:marTop w:val="0"/>
          <w:marBottom w:val="0"/>
          <w:divBdr>
            <w:top w:val="none" w:sz="0" w:space="0" w:color="auto"/>
            <w:left w:val="none" w:sz="0" w:space="0" w:color="auto"/>
            <w:bottom w:val="none" w:sz="0" w:space="0" w:color="auto"/>
            <w:right w:val="none" w:sz="0" w:space="0" w:color="auto"/>
          </w:divBdr>
        </w:div>
        <w:div w:id="609824763">
          <w:marLeft w:val="0"/>
          <w:marRight w:val="0"/>
          <w:marTop w:val="0"/>
          <w:marBottom w:val="0"/>
          <w:divBdr>
            <w:top w:val="none" w:sz="0" w:space="0" w:color="auto"/>
            <w:left w:val="none" w:sz="0" w:space="0" w:color="auto"/>
            <w:bottom w:val="none" w:sz="0" w:space="0" w:color="auto"/>
            <w:right w:val="none" w:sz="0" w:space="0" w:color="auto"/>
          </w:divBdr>
        </w:div>
        <w:div w:id="1326010637">
          <w:marLeft w:val="0"/>
          <w:marRight w:val="0"/>
          <w:marTop w:val="0"/>
          <w:marBottom w:val="0"/>
          <w:divBdr>
            <w:top w:val="none" w:sz="0" w:space="0" w:color="auto"/>
            <w:left w:val="none" w:sz="0" w:space="0" w:color="auto"/>
            <w:bottom w:val="none" w:sz="0" w:space="0" w:color="auto"/>
            <w:right w:val="none" w:sz="0" w:space="0" w:color="auto"/>
          </w:divBdr>
        </w:div>
        <w:div w:id="2118937558">
          <w:marLeft w:val="0"/>
          <w:marRight w:val="0"/>
          <w:marTop w:val="0"/>
          <w:marBottom w:val="0"/>
          <w:divBdr>
            <w:top w:val="none" w:sz="0" w:space="0" w:color="auto"/>
            <w:left w:val="none" w:sz="0" w:space="0" w:color="auto"/>
            <w:bottom w:val="none" w:sz="0" w:space="0" w:color="auto"/>
            <w:right w:val="none" w:sz="0" w:space="0" w:color="auto"/>
          </w:divBdr>
        </w:div>
        <w:div w:id="521210721">
          <w:marLeft w:val="0"/>
          <w:marRight w:val="0"/>
          <w:marTop w:val="0"/>
          <w:marBottom w:val="0"/>
          <w:divBdr>
            <w:top w:val="none" w:sz="0" w:space="0" w:color="auto"/>
            <w:left w:val="none" w:sz="0" w:space="0" w:color="auto"/>
            <w:bottom w:val="none" w:sz="0" w:space="0" w:color="auto"/>
            <w:right w:val="none" w:sz="0" w:space="0" w:color="auto"/>
          </w:divBdr>
        </w:div>
        <w:div w:id="631131158">
          <w:marLeft w:val="0"/>
          <w:marRight w:val="0"/>
          <w:marTop w:val="0"/>
          <w:marBottom w:val="0"/>
          <w:divBdr>
            <w:top w:val="none" w:sz="0" w:space="0" w:color="auto"/>
            <w:left w:val="none" w:sz="0" w:space="0" w:color="auto"/>
            <w:bottom w:val="none" w:sz="0" w:space="0" w:color="auto"/>
            <w:right w:val="none" w:sz="0" w:space="0" w:color="auto"/>
          </w:divBdr>
        </w:div>
        <w:div w:id="183715170">
          <w:marLeft w:val="0"/>
          <w:marRight w:val="0"/>
          <w:marTop w:val="0"/>
          <w:marBottom w:val="0"/>
          <w:divBdr>
            <w:top w:val="none" w:sz="0" w:space="0" w:color="auto"/>
            <w:left w:val="none" w:sz="0" w:space="0" w:color="auto"/>
            <w:bottom w:val="none" w:sz="0" w:space="0" w:color="auto"/>
            <w:right w:val="none" w:sz="0" w:space="0" w:color="auto"/>
          </w:divBdr>
        </w:div>
        <w:div w:id="1358195975">
          <w:marLeft w:val="0"/>
          <w:marRight w:val="0"/>
          <w:marTop w:val="0"/>
          <w:marBottom w:val="0"/>
          <w:divBdr>
            <w:top w:val="none" w:sz="0" w:space="0" w:color="auto"/>
            <w:left w:val="none" w:sz="0" w:space="0" w:color="auto"/>
            <w:bottom w:val="none" w:sz="0" w:space="0" w:color="auto"/>
            <w:right w:val="none" w:sz="0" w:space="0" w:color="auto"/>
          </w:divBdr>
        </w:div>
        <w:div w:id="1417899160">
          <w:marLeft w:val="0"/>
          <w:marRight w:val="0"/>
          <w:marTop w:val="0"/>
          <w:marBottom w:val="0"/>
          <w:divBdr>
            <w:top w:val="none" w:sz="0" w:space="0" w:color="auto"/>
            <w:left w:val="none" w:sz="0" w:space="0" w:color="auto"/>
            <w:bottom w:val="none" w:sz="0" w:space="0" w:color="auto"/>
            <w:right w:val="none" w:sz="0" w:space="0" w:color="auto"/>
          </w:divBdr>
        </w:div>
        <w:div w:id="610940289">
          <w:marLeft w:val="0"/>
          <w:marRight w:val="0"/>
          <w:marTop w:val="0"/>
          <w:marBottom w:val="0"/>
          <w:divBdr>
            <w:top w:val="none" w:sz="0" w:space="0" w:color="auto"/>
            <w:left w:val="none" w:sz="0" w:space="0" w:color="auto"/>
            <w:bottom w:val="none" w:sz="0" w:space="0" w:color="auto"/>
            <w:right w:val="none" w:sz="0" w:space="0" w:color="auto"/>
          </w:divBdr>
        </w:div>
        <w:div w:id="904681383">
          <w:marLeft w:val="0"/>
          <w:marRight w:val="0"/>
          <w:marTop w:val="0"/>
          <w:marBottom w:val="0"/>
          <w:divBdr>
            <w:top w:val="none" w:sz="0" w:space="0" w:color="auto"/>
            <w:left w:val="none" w:sz="0" w:space="0" w:color="auto"/>
            <w:bottom w:val="none" w:sz="0" w:space="0" w:color="auto"/>
            <w:right w:val="none" w:sz="0" w:space="0" w:color="auto"/>
          </w:divBdr>
        </w:div>
      </w:divsChild>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8328992">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80063034">
      <w:bodyDiv w:val="1"/>
      <w:marLeft w:val="0"/>
      <w:marRight w:val="0"/>
      <w:marTop w:val="0"/>
      <w:marBottom w:val="0"/>
      <w:divBdr>
        <w:top w:val="none" w:sz="0" w:space="0" w:color="auto"/>
        <w:left w:val="none" w:sz="0" w:space="0" w:color="auto"/>
        <w:bottom w:val="none" w:sz="0" w:space="0" w:color="auto"/>
        <w:right w:val="none" w:sz="0" w:space="0" w:color="auto"/>
      </w:divBdr>
    </w:div>
    <w:div w:id="1287541637">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06168973">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85748431">
      <w:bodyDiv w:val="1"/>
      <w:marLeft w:val="0"/>
      <w:marRight w:val="0"/>
      <w:marTop w:val="0"/>
      <w:marBottom w:val="0"/>
      <w:divBdr>
        <w:top w:val="none" w:sz="0" w:space="0" w:color="auto"/>
        <w:left w:val="none" w:sz="0" w:space="0" w:color="auto"/>
        <w:bottom w:val="none" w:sz="0" w:space="0" w:color="auto"/>
        <w:right w:val="none" w:sz="0" w:space="0" w:color="auto"/>
      </w:divBdr>
    </w:div>
    <w:div w:id="1690133464">
      <w:bodyDiv w:val="1"/>
      <w:marLeft w:val="0"/>
      <w:marRight w:val="0"/>
      <w:marTop w:val="0"/>
      <w:marBottom w:val="0"/>
      <w:divBdr>
        <w:top w:val="none" w:sz="0" w:space="0" w:color="auto"/>
        <w:left w:val="none" w:sz="0" w:space="0" w:color="auto"/>
        <w:bottom w:val="none" w:sz="0" w:space="0" w:color="auto"/>
        <w:right w:val="none" w:sz="0" w:space="0" w:color="auto"/>
      </w:divBdr>
    </w:div>
    <w:div w:id="1732315281">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3406702">
      <w:bodyDiv w:val="1"/>
      <w:marLeft w:val="0"/>
      <w:marRight w:val="0"/>
      <w:marTop w:val="0"/>
      <w:marBottom w:val="0"/>
      <w:divBdr>
        <w:top w:val="none" w:sz="0" w:space="0" w:color="auto"/>
        <w:left w:val="none" w:sz="0" w:space="0" w:color="auto"/>
        <w:bottom w:val="none" w:sz="0" w:space="0" w:color="auto"/>
        <w:right w:val="none" w:sz="0" w:space="0" w:color="auto"/>
      </w:divBdr>
    </w:div>
    <w:div w:id="1746487083">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21993886">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45120276">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76793590">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72730943">
      <w:bodyDiv w:val="1"/>
      <w:marLeft w:val="0"/>
      <w:marRight w:val="0"/>
      <w:marTop w:val="0"/>
      <w:marBottom w:val="0"/>
      <w:divBdr>
        <w:top w:val="none" w:sz="0" w:space="0" w:color="auto"/>
        <w:left w:val="none" w:sz="0" w:space="0" w:color="auto"/>
        <w:bottom w:val="none" w:sz="0" w:space="0" w:color="auto"/>
        <w:right w:val="none" w:sz="0" w:space="0" w:color="auto"/>
      </w:divBdr>
    </w:div>
    <w:div w:id="2080710636">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7778356/" TargetMode="External"/><Relationship Id="rId13" Type="http://schemas.openxmlformats.org/officeDocument/2006/relationships/hyperlink" Target="https://pubmed.ncbi.nlm.nih.gov/37792613/" TargetMode="External"/><Relationship Id="rId18" Type="http://schemas.openxmlformats.org/officeDocument/2006/relationships/hyperlink" Target="https://pubmed.ncbi.nlm.nih.gov/37552290/" TargetMode="External"/><Relationship Id="rId3" Type="http://schemas.openxmlformats.org/officeDocument/2006/relationships/customXml" Target="../customXml/item3.xml"/><Relationship Id="rId21" Type="http://schemas.openxmlformats.org/officeDocument/2006/relationships/hyperlink" Target="https://pubmed.ncbi.nlm.nih.gov/37851421/" TargetMode="External"/><Relationship Id="rId7" Type="http://schemas.openxmlformats.org/officeDocument/2006/relationships/hyperlink" Target="mailto:PsychiatricPracticeUpdates@gmail.com" TargetMode="External"/><Relationship Id="rId12" Type="http://schemas.openxmlformats.org/officeDocument/2006/relationships/hyperlink" Target="https://pubmed.ncbi.nlm.nih.gov/37665682/" TargetMode="External"/><Relationship Id="rId17" Type="http://schemas.openxmlformats.org/officeDocument/2006/relationships/hyperlink" Target="https://pubmed.ncbi.nlm.nih.gov/37713195/" TargetMode="External"/><Relationship Id="rId2" Type="http://schemas.openxmlformats.org/officeDocument/2006/relationships/customXml" Target="../customXml/item2.xml"/><Relationship Id="rId16" Type="http://schemas.openxmlformats.org/officeDocument/2006/relationships/hyperlink" Target="https://pubmed.ncbi.nlm.nih.gov/37726108/" TargetMode="External"/><Relationship Id="rId20" Type="http://schemas.openxmlformats.org/officeDocument/2006/relationships/hyperlink" Target="https://pubmed.ncbi.nlm.nih.gov/3771354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7796504/"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pubmed.ncbi.nlm.nih.gov/37778124/" TargetMode="External"/><Relationship Id="rId23" Type="http://schemas.openxmlformats.org/officeDocument/2006/relationships/fontTable" Target="fontTable.xml"/><Relationship Id="rId10" Type="http://schemas.openxmlformats.org/officeDocument/2006/relationships/hyperlink" Target="https://pubmed.ncbi.nlm.nih.gov/37878348/" TargetMode="External"/><Relationship Id="rId19" Type="http://schemas.openxmlformats.org/officeDocument/2006/relationships/hyperlink" Target="https://pubmed.ncbi.nlm.nih.gov/37875578/" TargetMode="External"/><Relationship Id="rId4" Type="http://schemas.openxmlformats.org/officeDocument/2006/relationships/styles" Target="styles.xml"/><Relationship Id="rId9" Type="http://schemas.openxmlformats.org/officeDocument/2006/relationships/hyperlink" Target="http://clinicaltrials.gov/show/NCT03559426" TargetMode="External"/><Relationship Id="rId14" Type="http://schemas.openxmlformats.org/officeDocument/2006/relationships/hyperlink" Target="http://clinicaltrials.gov/show/NCT04338321" TargetMode="External"/><Relationship Id="rId22" Type="http://schemas.openxmlformats.org/officeDocument/2006/relationships/hyperlink" Target="https://pubmed.ncbi.nlm.nih.gov/37878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0C0AE0-D038-4280-9378-C9B905595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5580</Words>
  <Characters>31809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2023-11-06T15:12:00Z</dcterms:created>
  <dcterms:modified xsi:type="dcterms:W3CDTF">2023-11-06T15:12:00Z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