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2"/>
          <w:szCs w:val="22"/>
        </w:rPr>
      </w:pPr>
      <w:bookmarkStart w:id="0" w:name="_GoBack"/>
      <w:bookmarkEnd w:id="0"/>
      <w:r>
        <w:rPr>
          <w:b/>
          <w:color w:val="000000"/>
          <w:sz w:val="22"/>
          <w:szCs w:val="22"/>
        </w:rPr>
        <w:t>Information System &amp; Network Security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00000002" w14:textId="77777777" w:rsidR="00913916" w:rsidRDefault="00B03B0D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Course Code: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ISNS 6202</w:t>
      </w:r>
      <w:r>
        <w:rPr>
          <w:sz w:val="22"/>
          <w:szCs w:val="22"/>
        </w:rPr>
        <w:tab/>
      </w:r>
    </w:p>
    <w:p w14:paraId="00000003" w14:textId="77777777" w:rsidR="00913916" w:rsidRDefault="00B03B0D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Total Credit: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  <w:t>14 Credits</w:t>
      </w:r>
      <w:r>
        <w:rPr>
          <w:sz w:val="22"/>
          <w:szCs w:val="22"/>
        </w:rPr>
        <w:tab/>
      </w:r>
    </w:p>
    <w:p w14:paraId="00000004" w14:textId="77777777" w:rsidR="00913916" w:rsidRDefault="00B03B0D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Total hours: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140 hours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00005" w14:textId="77777777" w:rsidR="00913916" w:rsidRDefault="00B03B0D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Course status: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Specialty core course</w:t>
      </w:r>
    </w:p>
    <w:p w14:paraId="00000006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Course aim: </w:t>
      </w:r>
      <w:r>
        <w:rPr>
          <w:color w:val="000000"/>
          <w:sz w:val="22"/>
          <w:szCs w:val="22"/>
        </w:rPr>
        <w:t>This course aims at enabling students understand the concepts and identify some of the factors driving the need for network security; identify and classify particular examples of attacks; define the terms vulnerability, threat and attack and identify physi</w:t>
      </w:r>
      <w:r>
        <w:rPr>
          <w:color w:val="000000"/>
          <w:sz w:val="22"/>
          <w:szCs w:val="22"/>
        </w:rPr>
        <w:t>cal points of vulnerability in simple networks.</w:t>
      </w:r>
    </w:p>
    <w:p w14:paraId="00000007" w14:textId="77777777" w:rsidR="00913916" w:rsidRDefault="009139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08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Course Expected Learning Outcomes</w:t>
      </w:r>
    </w:p>
    <w:p w14:paraId="00000009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 the end of this course, students will acquire knowledge, skills and competencies that will enable them to:</w:t>
      </w:r>
    </w:p>
    <w:p w14:paraId="0000000A" w14:textId="77777777" w:rsidR="00913916" w:rsidRDefault="00B03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2"/>
          <w:szCs w:val="22"/>
        </w:rPr>
        <w:t>Identify the major types of threats to information security and</w:t>
      </w:r>
      <w:r>
        <w:rPr>
          <w:color w:val="000000"/>
          <w:sz w:val="22"/>
          <w:szCs w:val="22"/>
        </w:rPr>
        <w:t xml:space="preserve"> the associated attacks. </w:t>
      </w:r>
    </w:p>
    <w:p w14:paraId="0000000B" w14:textId="77777777" w:rsidR="00913916" w:rsidRDefault="00B03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2"/>
          <w:szCs w:val="22"/>
        </w:rPr>
        <w:t> Develop strategies to protect organization information assets from common attacks. </w:t>
      </w:r>
    </w:p>
    <w:p w14:paraId="0000000C" w14:textId="77777777" w:rsidR="00913916" w:rsidRDefault="00B03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2"/>
          <w:szCs w:val="22"/>
        </w:rPr>
        <w:t>Recognize how security policies, standards and practices are developed. </w:t>
      </w:r>
    </w:p>
    <w:p w14:paraId="0000000D" w14:textId="77777777" w:rsidR="00913916" w:rsidRDefault="009139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0E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Course Content: </w:t>
      </w:r>
      <w:r>
        <w:rPr>
          <w:color w:val="000000"/>
          <w:sz w:val="22"/>
          <w:szCs w:val="22"/>
        </w:rPr>
        <w:t>To achieve the above-mentioned outcomes, the course contents include;</w:t>
      </w:r>
    </w:p>
    <w:p w14:paraId="0000000F" w14:textId="77777777" w:rsidR="00913916" w:rsidRDefault="009139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</w:p>
    <w:p w14:paraId="00000010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yellow"/>
        </w:rPr>
        <w:t>Basics of Information System, The changing nature of Information System,</w:t>
      </w:r>
      <w:r>
        <w:rPr>
          <w:color w:val="000000"/>
          <w:sz w:val="22"/>
          <w:szCs w:val="22"/>
        </w:rPr>
        <w:t xml:space="preserve"> </w:t>
      </w:r>
    </w:p>
    <w:p w14:paraId="00000011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</w:rPr>
        <w:t>Threats of Information System, Threats and attacks, Classification of Threats and attacks</w:t>
      </w:r>
      <w:r>
        <w:rPr>
          <w:color w:val="000000"/>
          <w:sz w:val="22"/>
          <w:szCs w:val="22"/>
          <w:highlight w:val="yellow"/>
        </w:rPr>
        <w:t>,</w:t>
      </w:r>
    </w:p>
    <w:p w14:paraId="00000012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yellow"/>
        </w:rPr>
        <w:t xml:space="preserve"> Protecting Information System Security</w:t>
      </w:r>
      <w:r>
        <w:rPr>
          <w:color w:val="000000"/>
          <w:sz w:val="22"/>
          <w:szCs w:val="22"/>
        </w:rPr>
        <w:t>,</w:t>
      </w:r>
    </w:p>
    <w:p w14:paraId="00000013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Security in Wireless Computing, Credit Card frauds in mobile and wireless Computing, Security Policies and Measures in Mobile Computing,</w:t>
      </w:r>
    </w:p>
    <w:p w14:paraId="00000014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Information Security Management, Security Policy, Standards, Responsibility f</w:t>
      </w:r>
      <w:r>
        <w:rPr>
          <w:color w:val="000000"/>
          <w:sz w:val="22"/>
          <w:szCs w:val="22"/>
        </w:rPr>
        <w:t>or Information Security Management, Information Security Processes and Best practices,</w:t>
      </w:r>
    </w:p>
    <w:p w14:paraId="00000015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E-Commerce Security, </w:t>
      </w:r>
    </w:p>
    <w:p w14:paraId="00000016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  <w:highlight w:val="yellow"/>
        </w:rPr>
        <w:t>Building Blocks of Information Security, Basic principal of Information Systems Security, Information Security risk analysis, Term and Definitions</w:t>
      </w:r>
      <w:r>
        <w:rPr>
          <w:color w:val="000000"/>
          <w:sz w:val="22"/>
          <w:szCs w:val="22"/>
          <w:highlight w:val="yellow"/>
        </w:rPr>
        <w:t xml:space="preserve"> for Risk Analysis of Information Security, Risk Management and Risk Analysis, Data Privacy Fundamentals,</w:t>
      </w:r>
      <w:r>
        <w:rPr>
          <w:color w:val="000000"/>
          <w:sz w:val="22"/>
          <w:szCs w:val="22"/>
        </w:rPr>
        <w:t xml:space="preserve"> </w:t>
      </w:r>
    </w:p>
    <w:p w14:paraId="00000017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  <w:highlight w:val="yellow"/>
        </w:rPr>
        <w:t>Attacks - Services – Mechanisms- Model of Network security.-OSI architecture</w:t>
      </w:r>
      <w:r>
        <w:rPr>
          <w:color w:val="000000"/>
          <w:sz w:val="22"/>
          <w:szCs w:val="22"/>
        </w:rPr>
        <w:t>.</w:t>
      </w:r>
      <w:proofErr w:type="gramEnd"/>
    </w:p>
    <w:p w14:paraId="00000018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Teaching and Learning activities</w:t>
      </w:r>
      <w:r>
        <w:rPr>
          <w:color w:val="000000"/>
          <w:sz w:val="22"/>
          <w:szCs w:val="22"/>
        </w:rPr>
        <w:t>: Teacher-</w:t>
      </w:r>
      <w:proofErr w:type="spellStart"/>
      <w:r>
        <w:rPr>
          <w:color w:val="000000"/>
          <w:sz w:val="22"/>
          <w:szCs w:val="22"/>
        </w:rPr>
        <w:t>centred</w:t>
      </w:r>
      <w:proofErr w:type="spellEnd"/>
      <w:r>
        <w:rPr>
          <w:color w:val="000000"/>
          <w:sz w:val="22"/>
          <w:szCs w:val="22"/>
        </w:rPr>
        <w:t xml:space="preserve"> lectures, Seminar, Tu</w:t>
      </w:r>
      <w:r>
        <w:rPr>
          <w:color w:val="000000"/>
          <w:sz w:val="22"/>
          <w:szCs w:val="22"/>
        </w:rPr>
        <w:t xml:space="preserve">torials, Assignments, Independent studies and </w:t>
      </w:r>
      <w:proofErr w:type="spellStart"/>
      <w:r>
        <w:rPr>
          <w:color w:val="000000"/>
          <w:sz w:val="22"/>
          <w:szCs w:val="22"/>
        </w:rPr>
        <w:t>Practicals</w:t>
      </w:r>
      <w:proofErr w:type="spellEnd"/>
      <w:r>
        <w:rPr>
          <w:color w:val="000000"/>
          <w:sz w:val="22"/>
          <w:szCs w:val="22"/>
        </w:rPr>
        <w:t>.</w:t>
      </w:r>
    </w:p>
    <w:p w14:paraId="00000019" w14:textId="77777777" w:rsidR="00913916" w:rsidRDefault="009139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1A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ind w:left="1080" w:hanging="10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Assessment Methods</w:t>
      </w:r>
      <w:r>
        <w:rPr>
          <w:color w:val="000000"/>
          <w:sz w:val="22"/>
          <w:szCs w:val="22"/>
        </w:rPr>
        <w:t xml:space="preserve">: The course will involve </w:t>
      </w:r>
    </w:p>
    <w:p w14:paraId="0000001B" w14:textId="77777777" w:rsidR="00913916" w:rsidRDefault="00B03B0D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Formative assessment which constitute 40% involving the following activities; attempt customized questions; written assignments; read and review current</w:t>
      </w:r>
      <w:r>
        <w:rPr>
          <w:sz w:val="22"/>
          <w:szCs w:val="22"/>
        </w:rPr>
        <w:t xml:space="preserve"> research findings in the area, develop and/or assess prototypes; report writing on different assignments/</w:t>
      </w:r>
      <w:proofErr w:type="spellStart"/>
      <w:r>
        <w:rPr>
          <w:sz w:val="22"/>
          <w:szCs w:val="22"/>
        </w:rPr>
        <w:t>practicals</w:t>
      </w:r>
      <w:proofErr w:type="spellEnd"/>
      <w:r>
        <w:rPr>
          <w:sz w:val="22"/>
          <w:szCs w:val="22"/>
        </w:rPr>
        <w:t xml:space="preserve"> and presentations.</w:t>
      </w:r>
    </w:p>
    <w:p w14:paraId="0000001C" w14:textId="77777777" w:rsidR="00913916" w:rsidRDefault="00B03B0D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Summative assessment which constitute 60% involving university examination</w:t>
      </w:r>
    </w:p>
    <w:p w14:paraId="0000001D" w14:textId="77777777" w:rsidR="00913916" w:rsidRDefault="00913916">
      <w:pPr>
        <w:spacing w:after="120"/>
        <w:ind w:left="720"/>
        <w:jc w:val="both"/>
        <w:rPr>
          <w:sz w:val="22"/>
          <w:szCs w:val="22"/>
        </w:rPr>
      </w:pPr>
    </w:p>
    <w:p w14:paraId="0000001E" w14:textId="77777777" w:rsidR="00913916" w:rsidRDefault="00B03B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Reading List:</w:t>
      </w:r>
    </w:p>
    <w:p w14:paraId="0000001F" w14:textId="77777777" w:rsidR="00913916" w:rsidRDefault="00B0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  <w:sz w:val="22"/>
          <w:szCs w:val="22"/>
        </w:rPr>
        <w:t>Merkow</w:t>
      </w:r>
      <w:proofErr w:type="spellEnd"/>
      <w:r>
        <w:rPr>
          <w:color w:val="000000"/>
          <w:sz w:val="22"/>
          <w:szCs w:val="22"/>
        </w:rPr>
        <w:t>, M. S., &amp;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Breithaupt</w:t>
      </w:r>
      <w:proofErr w:type="spellEnd"/>
      <w:r>
        <w:rPr>
          <w:color w:val="000000"/>
          <w:sz w:val="22"/>
          <w:szCs w:val="22"/>
        </w:rPr>
        <w:t xml:space="preserve">, J. (2014). </w:t>
      </w:r>
      <w:r>
        <w:rPr>
          <w:i/>
          <w:color w:val="000000"/>
          <w:sz w:val="22"/>
          <w:szCs w:val="22"/>
        </w:rPr>
        <w:t>Information security: Principles and practices</w:t>
      </w:r>
      <w:r>
        <w:rPr>
          <w:color w:val="000000"/>
          <w:sz w:val="22"/>
          <w:szCs w:val="22"/>
        </w:rPr>
        <w:t>. Pearson Education.</w:t>
      </w:r>
    </w:p>
    <w:p w14:paraId="00000020" w14:textId="77777777" w:rsidR="00913916" w:rsidRDefault="00B0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  <w:sz w:val="22"/>
          <w:szCs w:val="22"/>
        </w:rPr>
        <w:t>Maiwald</w:t>
      </w:r>
      <w:proofErr w:type="spellEnd"/>
      <w:r>
        <w:rPr>
          <w:color w:val="000000"/>
          <w:sz w:val="22"/>
          <w:szCs w:val="22"/>
        </w:rPr>
        <w:t xml:space="preserve">, E. (2004). </w:t>
      </w:r>
      <w:r>
        <w:rPr>
          <w:i/>
          <w:color w:val="000000"/>
          <w:sz w:val="22"/>
          <w:szCs w:val="22"/>
        </w:rPr>
        <w:t>Fundamentals of network security</w:t>
      </w:r>
      <w:r>
        <w:rPr>
          <w:color w:val="000000"/>
          <w:sz w:val="22"/>
          <w:szCs w:val="22"/>
        </w:rPr>
        <w:t>. New York, NY: McGraw-Hill Technology Education.</w:t>
      </w:r>
    </w:p>
    <w:p w14:paraId="00000021" w14:textId="77777777" w:rsidR="00913916" w:rsidRDefault="00B0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2"/>
          <w:szCs w:val="22"/>
        </w:rPr>
        <w:t xml:space="preserve">Stallings, W., &amp; </w:t>
      </w:r>
      <w:proofErr w:type="spellStart"/>
      <w:r>
        <w:rPr>
          <w:color w:val="000000"/>
          <w:sz w:val="22"/>
          <w:szCs w:val="22"/>
        </w:rPr>
        <w:t>Chandavarkar</w:t>
      </w:r>
      <w:proofErr w:type="spellEnd"/>
      <w:r>
        <w:rPr>
          <w:color w:val="000000"/>
          <w:sz w:val="22"/>
          <w:szCs w:val="22"/>
        </w:rPr>
        <w:t xml:space="preserve">, B. R. (2014). </w:t>
      </w:r>
      <w:r>
        <w:rPr>
          <w:i/>
          <w:color w:val="000000"/>
          <w:sz w:val="22"/>
          <w:szCs w:val="22"/>
        </w:rPr>
        <w:t>Network security essentials: applications and standards</w:t>
      </w:r>
      <w:r>
        <w:rPr>
          <w:color w:val="000000"/>
          <w:sz w:val="22"/>
          <w:szCs w:val="22"/>
        </w:rPr>
        <w:t>. Boston: Pearson.</w:t>
      </w:r>
    </w:p>
    <w:p w14:paraId="00000022" w14:textId="77777777" w:rsidR="00913916" w:rsidRDefault="00B0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2"/>
          <w:szCs w:val="22"/>
        </w:rPr>
        <w:t xml:space="preserve">Bragg, R., </w:t>
      </w:r>
      <w:proofErr w:type="spellStart"/>
      <w:r>
        <w:rPr>
          <w:color w:val="000000"/>
          <w:sz w:val="22"/>
          <w:szCs w:val="22"/>
        </w:rPr>
        <w:t>Phodes-Ousley</w:t>
      </w:r>
      <w:proofErr w:type="spellEnd"/>
      <w:r>
        <w:rPr>
          <w:color w:val="000000"/>
          <w:sz w:val="22"/>
          <w:szCs w:val="22"/>
        </w:rPr>
        <w:t xml:space="preserve">, M., &amp; </w:t>
      </w:r>
      <w:proofErr w:type="spellStart"/>
      <w:r>
        <w:rPr>
          <w:color w:val="000000"/>
          <w:sz w:val="22"/>
          <w:szCs w:val="22"/>
        </w:rPr>
        <w:t>Strassberg</w:t>
      </w:r>
      <w:proofErr w:type="spellEnd"/>
      <w:r>
        <w:rPr>
          <w:color w:val="000000"/>
          <w:sz w:val="22"/>
          <w:szCs w:val="22"/>
        </w:rPr>
        <w:t xml:space="preserve">, K. (2004). </w:t>
      </w:r>
      <w:r>
        <w:rPr>
          <w:i/>
          <w:color w:val="000000"/>
          <w:sz w:val="22"/>
          <w:szCs w:val="22"/>
        </w:rPr>
        <w:t>Network security: the complete reference</w:t>
      </w:r>
      <w:r>
        <w:rPr>
          <w:color w:val="000000"/>
          <w:sz w:val="22"/>
          <w:szCs w:val="22"/>
        </w:rPr>
        <w:t>. Emeryville, CA: McGraw-Hill/Osborne.</w:t>
      </w:r>
    </w:p>
    <w:p w14:paraId="00000023" w14:textId="77777777" w:rsidR="00913916" w:rsidRDefault="00913916"/>
    <w:sectPr w:rsidR="00913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590"/>
    <w:multiLevelType w:val="multilevel"/>
    <w:tmpl w:val="3B26826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71536"/>
    <w:multiLevelType w:val="multilevel"/>
    <w:tmpl w:val="B7663258"/>
    <w:lvl w:ilvl="0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vertAlign w:val="baseline"/>
      </w:rPr>
    </w:lvl>
  </w:abstractNum>
  <w:abstractNum w:abstractNumId="2">
    <w:nsid w:val="6C914AB8"/>
    <w:multiLevelType w:val="multilevel"/>
    <w:tmpl w:val="95F698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85"/>
      </w:pPr>
      <w:rPr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color w:val="00000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85"/>
      </w:pPr>
      <w:rPr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color w:val="000000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color w:val="000000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85"/>
      </w:pPr>
      <w:rPr>
        <w:smallCaps w:val="0"/>
        <w:strike w:val="0"/>
        <w:color w:val="000000"/>
        <w:sz w:val="24"/>
        <w:szCs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916"/>
    <w:rsid w:val="00913916"/>
    <w:rsid w:val="00B0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Agrey Kato</dc:creator>
  <cp:lastModifiedBy>Windows User</cp:lastModifiedBy>
  <cp:revision>2</cp:revision>
  <dcterms:created xsi:type="dcterms:W3CDTF">2023-03-02T20:05:00Z</dcterms:created>
  <dcterms:modified xsi:type="dcterms:W3CDTF">2023-03-02T20:05:00Z</dcterms:modified>
</cp:coreProperties>
</file>