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/>
      </w:pPr>
      <w:r>
        <w:rPr>
          <w:rFonts w:ascii="Meiryo" w:cs="Meiryo" w:eastAsia="Meiryo" w:hAnsi="Meiryo"/>
          <w:b/>
          <w:bCs/>
          <w:color w:val="2E5FA3"/>
          <w:sz w:val="40"/>
          <w:szCs w:val="40"/>
        </w:rPr>
        <w:t xml:space="preserve">WPC2029 学生アドボカシープロジェクト</w:t>
      </w:r>
    </w:p>
    <w:p>
      <w:pPr>
        <w:spacing w:after="80" w:before="0"/>
      </w:pPr>
      <w:r>
        <w:rPr>
          <w:rFonts w:ascii="Meiryo" w:cs="Meiryo" w:eastAsia="Meiryo" w:hAnsi="Meiryo"/>
          <w:color w:val="1A1A1A"/>
          <w:sz w:val="22"/>
          <w:szCs w:val="22"/>
        </w:rPr>
        <w:t xml:space="preserve">パーキンソン病の課題に、自分たちの専門性で向き合う仲間を探しています</w:t>
      </w:r>
    </w:p>
    <w:p>
      <w:pPr>
        <w:spacing w:after="360" w:before="0"/>
      </w:pPr>
      <w:r>
        <w:rPr>
          <w:rFonts w:ascii="Meiryo" w:cs="Meiryo" w:eastAsia="Meiryo" w:hAnsi="Meiryo"/>
          <w:color w:val="666666"/>
          <w:sz w:val="18"/>
          <w:szCs w:val="18"/>
        </w:rPr>
        <w:t xml:space="preserve">主催：NPO法人てんびん　2026年</w:t>
      </w:r>
    </w:p>
    <w:p>
      <w:pPr>
        <w:pBdr>
          <w:bottom w:val="single" w:color="2E5FA3" w:sz="6" w:space="4"/>
        </w:pBdr>
        <w:spacing w:after="140" w:before="360"/>
      </w:pPr>
      <w:r>
        <w:rPr>
          <w:rFonts w:ascii="Meiryo" w:cs="Meiryo" w:eastAsia="Meiryo" w:hAnsi="Meiryo"/>
          <w:b/>
          <w:bCs/>
          <w:color w:val="2E5FA3"/>
          <w:sz w:val="24"/>
          <w:szCs w:val="24"/>
        </w:rPr>
        <w:t xml:space="preserve">1. このプロジェクトでやること</w:t>
      </w:r>
    </w:p>
    <w:p>
      <w:pPr>
        <w:spacing w:after="80" w:before="8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NPO法人てんびんと連携した高校・大学が、パーキンソン病に関するテーマを「半年サイクル」で探究・発表するプロジェクトです。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Meiryo" w:cs="Meiryo" w:eastAsia="Meiryo" w:hAnsi="Meiryo"/>
          <w:b/>
          <w:bCs/>
          <w:color w:val="1A1A1A"/>
          <w:sz w:val="20"/>
          <w:szCs w:val="20"/>
        </w:rPr>
        <w:t xml:space="preserve">【半年サイクル制】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各期の参加チームは、半年間テーマを探究し、期末に国内発表の場で成果を発表します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発表で終わりではなく、次の期のチームがそのテーマを掘り下げるか、実践へ発展させるかを引き継ぎます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メンバーは期ごとに変わってよい。「人」ではなく「テーマと知見」が積み重なる構造です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Meiryo" w:cs="Meiryo" w:eastAsia="Meiryo" w:hAnsi="Meiryo"/>
          <w:b/>
          <w:bCs/>
          <w:color w:val="1A1A1A"/>
          <w:sz w:val="20"/>
          <w:szCs w:val="20"/>
        </w:rPr>
        <w:t xml:space="preserve">【WPC2029への発信】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てんびんが複数期にわたる成果を整理・統合し、世界パーキンソン病学会（WPC2029）で発信します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発表の形式・分野は問いません（映像・アート・学術研究・政策提言・ワークショップなど）</w:t>
      </w:r>
    </w:p>
    <w:p>
      <w:pPr>
        <w:spacing w:after="80" w:before="80"/>
      </w:pPr>
      <w:r>
        <w:t xml:space="preserve"/>
      </w:r>
    </w:p>
    <w:p>
      <w:pPr>
        <w:pBdr>
          <w:bottom w:val="single" w:color="2E5FA3" w:sz="6" w:space="4"/>
        </w:pBdr>
        <w:spacing w:after="140" w:before="360"/>
      </w:pPr>
      <w:r>
        <w:rPr>
          <w:rFonts w:ascii="Meiryo" w:cs="Meiryo" w:eastAsia="Meiryo" w:hAnsi="Meiryo"/>
          <w:b/>
          <w:bCs/>
          <w:color w:val="2E5FA3"/>
          <w:sz w:val="24"/>
          <w:szCs w:val="24"/>
        </w:rPr>
        <w:t xml:space="preserve">2. 参加メンバーと役割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  <w:tc>
          <w:tcPr>
            <w:tcW w:type="dxa" w:w="62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コーディネーター（NPO）</w:t>
            </w:r>
          </w:p>
        </w:tc>
        <w:tc>
          <w:tcPr>
            <w:tcW w:type="dxa" w:w="62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場の設計・当事者へのアクセス提供・各期の進行管理・WPC2029への蓄積整理</w:t>
            </w:r>
          </w:p>
        </w:tc>
      </w:tr>
      <w:tr>
        <w:tc>
          <w:tcPr>
            <w:tcW w:type="dxa" w:w="2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参加チーム（高校・大学）</w:t>
            </w:r>
          </w:p>
        </w:tc>
        <w:tc>
          <w:tcPr>
            <w:tcW w:type="dxa" w:w="62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半年間のテーマ探究・期末発表。複数校混合チームも可</w:t>
            </w:r>
          </w:p>
        </w:tc>
      </w:tr>
      <w:tr>
        <w:tc>
          <w:tcPr>
            <w:tcW w:type="dxa" w:w="2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次期参加チーム</w:t>
            </w:r>
          </w:p>
        </w:tc>
        <w:tc>
          <w:tcPr>
            <w:tcW w:type="dxa" w:w="62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前期の成果を受け取り、テーマをどう継承・発展させるかを自ら設計する</w:t>
            </w:r>
          </w:p>
        </w:tc>
      </w:tr>
      <w:tr>
        <w:tc>
          <w:tcPr>
            <w:tcW w:type="dxa" w:w="2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パーキンソン病当事者・家族</w:t>
            </w:r>
          </w:p>
        </w:tc>
        <w:tc>
          <w:tcPr>
            <w:tcW w:type="dxa" w:w="62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活動への協力・意見提供・各期の発表に参加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5FA3" w:sz="6" w:space="4"/>
        </w:pBdr>
        <w:spacing w:after="140" w:before="360"/>
      </w:pPr>
      <w:r>
        <w:rPr>
          <w:rFonts w:ascii="Meiryo" w:cs="Meiryo" w:eastAsia="Meiryo" w:hAnsi="Meiryo"/>
          <w:b/>
          <w:bCs/>
          <w:color w:val="2E5FA3"/>
          <w:sz w:val="24"/>
          <w:szCs w:val="24"/>
        </w:rPr>
        <w:t xml:space="preserve">3. ステークホルダーそれぞれの意義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ステークホルダー</w:t>
            </w:r>
          </w:p>
        </w:tc>
        <w:tc>
          <w:tcPr>
            <w:tcW w:type="dxa" w:w="62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この企画から得られる意義</w:t>
            </w:r>
          </w:p>
        </w:tc>
      </w:tr>
      <w:tr>
        <w:tc>
          <w:tcPr>
            <w:tcW w:type="dxa" w:w="2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NPO法人てんびん</w:t>
            </w:r>
          </w:p>
        </w:tc>
        <w:tc>
          <w:tcPr>
            <w:tcW w:type="dxa" w:w="62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若い世代との継続的な連携・テーマの蓄積・WPC2029での国際発信力強化</w:t>
            </w:r>
          </w:p>
        </w:tc>
      </w:tr>
      <w:tr>
        <w:tc>
          <w:tcPr>
            <w:tcW w:type="dxa" w:w="2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参加チームの学生（共通）</w:t>
            </w:r>
          </w:p>
        </w:tc>
        <w:tc>
          <w:tcPr>
            <w:tcW w:type="dxa" w:w="62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半年間の実践経験・国内発表の実績・本物の社会課題への参加・異分野連携体験</w:t>
            </w:r>
          </w:p>
        </w:tc>
      </w:tr>
      <w:tr>
        <w:tc>
          <w:tcPr>
            <w:tcW w:type="dxa" w:w="2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高校生</w:t>
            </w:r>
          </w:p>
        </w:tc>
        <w:tc>
          <w:tcPr>
            <w:tcW w:type="dxa" w:w="62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総合型選抜での活動実績・社会へ提言する体験（半年で完結するため参加しやすい）</w:t>
            </w:r>
          </w:p>
        </w:tc>
      </w:tr>
      <w:tr>
        <w:tc>
          <w:tcPr>
            <w:tcW w:type="dxa" w:w="2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大学生</w:t>
            </w:r>
          </w:p>
        </w:tc>
        <w:tc>
          <w:tcPr>
            <w:tcW w:type="dxa" w:w="62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研究・就活における実績・社会実装の経験（ゼミ・研究室単位での参加も可）</w:t>
            </w:r>
          </w:p>
        </w:tc>
      </w:tr>
      <w:tr>
        <w:tc>
          <w:tcPr>
            <w:tcW w:type="dxa" w:w="2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パーキンソン病当事者・家族</w:t>
            </w:r>
          </w:p>
        </w:tc>
        <w:tc>
          <w:tcPr>
            <w:tcW w:type="dxa" w:w="62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多様な視点からの継続的なアドボカシー・次世代との継続的な対話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5FA3" w:sz="6" w:space="4"/>
        </w:pBdr>
        <w:spacing w:after="140" w:before="360"/>
      </w:pPr>
      <w:r>
        <w:rPr>
          <w:rFonts w:ascii="Meiryo" w:cs="Meiryo" w:eastAsia="Meiryo" w:hAnsi="Meiryo"/>
          <w:b/>
          <w:bCs/>
          <w:color w:val="2E5FA3"/>
          <w:sz w:val="24"/>
          <w:szCs w:val="24"/>
        </w:rPr>
        <w:t xml:space="preserve">4. サイクルとテーマ継承のイメージ</w:t>
      </w:r>
    </w:p>
    <w:p>
      <w:pPr>
        <w:spacing w:after="80" w:before="8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以下はテーマが「スティグマと学生」から発展する場合の例です。実際のテーマは参加チームが設定します。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26"/>
      </w:tblGrid>
      <w:tr>
        <w:tc>
          <w:tcPr>
            <w:tcW w:type="dxa" w:w="14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期</w:t>
            </w:r>
          </w:p>
        </w:tc>
        <w:tc>
          <w:tcPr>
            <w:tcW w:type="dxa" w:w="22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テーマの方向</w:t>
            </w:r>
          </w:p>
        </w:tc>
        <w:tc>
          <w:tcPr>
            <w:tcW w:type="dxa" w:w="54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活動・発表のイメージ（例）</w:t>
            </w:r>
          </w:p>
        </w:tc>
      </w:tr>
      <w:tr>
        <w:tc>
          <w:tcPr>
            <w:tcW w:type="dxa" w:w="14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第1期（半年）</w:t>
            </w:r>
          </w:p>
        </w:tc>
        <w:tc>
          <w:tcPr>
            <w:tcW w:type="dxa" w:w="22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探究・提言</w:t>
            </w:r>
          </w:p>
        </w:tc>
        <w:tc>
          <w:tcPr>
            <w:tcW w:type="dxa" w:w="54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「パーキンソン病のスティグマと学生にできること」を調査し、医療者・行政への提言を発表</w:t>
            </w:r>
          </w:p>
        </w:tc>
      </w:tr>
      <w:tr>
        <w:tc>
          <w:tcPr>
            <w:tcW w:type="dxa" w:w="14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第2期（半年）</w:t>
            </w:r>
          </w:p>
        </w:tc>
        <w:tc>
          <w:tcPr>
            <w:tcW w:type="dxa" w:w="22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掘り下げ</w:t>
            </w:r>
          </w:p>
        </w:tc>
        <w:tc>
          <w:tcPr>
            <w:tcW w:type="dxa" w:w="54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前期の提言を受け、「スティグマを減らす映像表現」をテーマにアニメーション制作・上映</w:t>
            </w:r>
          </w:p>
        </w:tc>
      </w:tr>
      <w:tr>
        <w:tc>
          <w:tcPr>
            <w:tcW w:type="dxa" w:w="14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第3期（半年）</w:t>
            </w:r>
          </w:p>
        </w:tc>
        <w:tc>
          <w:tcPr>
            <w:tcW w:type="dxa" w:w="22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実践・展開</w:t>
            </w:r>
          </w:p>
        </w:tc>
        <w:tc>
          <w:tcPr>
            <w:tcW w:type="dxa" w:w="54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映像を使った出前授業を設計・実施。高校生向けパーキンソン病啓発プログラムとして展開</w:t>
            </w:r>
          </w:p>
        </w:tc>
      </w:tr>
      <w:tr>
        <w:tc>
          <w:tcPr>
            <w:tcW w:type="dxa" w:w="14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WPC2029</w:t>
            </w:r>
          </w:p>
        </w:tc>
        <w:tc>
          <w:tcPr>
            <w:tcW w:type="dxa" w:w="22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てんびんが統合・発信</w:t>
            </w:r>
          </w:p>
        </w:tc>
        <w:tc>
          <w:tcPr>
            <w:tcW w:type="dxa" w:w="54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3期分の成果をてんびんが整理し、「日本の学生×PD」として国際学会で発表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Meiryo" w:cs="Meiryo" w:eastAsia="Meiryo" w:hAnsi="Meiryo"/>
          <w:color w:val="666666"/>
          <w:sz w:val="20"/>
          <w:szCs w:val="20"/>
        </w:rPr>
        <w:t xml:space="preserve">※ 各期のテーマは次期チームが自由に設定します。前期を掘り下げるか、全く新しい角度で入り直してもかまいません。</w:t>
      </w:r>
    </w:p>
    <w:p>
      <w:pPr>
        <w:spacing w:after="80" w:before="80"/>
      </w:pPr>
      <w:r>
        <w:t xml:space="preserve"/>
      </w:r>
    </w:p>
    <w:p>
      <w:pPr>
        <w:pBdr>
          <w:bottom w:val="single" w:color="2E5FA3" w:sz="6" w:space="4"/>
        </w:pBdr>
        <w:spacing w:after="140" w:before="360"/>
      </w:pPr>
      <w:r>
        <w:rPr>
          <w:rFonts w:ascii="Meiryo" w:cs="Meiryo" w:eastAsia="Meiryo" w:hAnsi="Meiryo"/>
          <w:b/>
          <w:bCs/>
          <w:color w:val="2E5FA3"/>
          <w:sz w:val="24"/>
          <w:szCs w:val="24"/>
        </w:rPr>
        <w:t xml:space="preserve">5. 懸念への回答</w:t>
      </w:r>
    </w:p>
    <w:p>
      <w:pPr>
        <w:spacing w:after="80" w:before="80"/>
      </w:pPr>
      <w:r>
        <w:rPr>
          <w:rFonts w:ascii="Meiryo" w:cs="Meiryo" w:eastAsia="Meiryo" w:hAnsi="Meiryo"/>
          <w:b/>
          <w:bCs/>
          <w:color w:val="1A1A1A"/>
          <w:sz w:val="20"/>
          <w:szCs w:val="20"/>
        </w:rPr>
        <w:t xml:space="preserve">Q：学生がお客様になってしまうのでは？</w:t>
      </w:r>
    </w:p>
    <w:p>
      <w:pPr>
        <w:spacing w:after="80" w:before="8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A：半年サイクル制にすることで、この問題を構造的に解決します。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参加は半年間の完結型。「3年間続けなければ」というプレッシャーがない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期末発表が必須なので、参加するだけで終わる構造になっていない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前期の成果をどう使うかを自分たちで設計するため、次期チームも主体的に関わる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それでも以下の3条件を参加の前提として明示し、自己選別を促します：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自分たちの視点・テーマを持っていること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主体的に動けること（「参加させてもらう」スタンスは不可）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定期連携（月1〜2回程度）に参加できること</w:t>
      </w:r>
    </w:p>
    <w:p>
      <w:pPr>
        <w:spacing w:after="80" w:before="80"/>
      </w:pPr>
      <w:r>
        <w:t xml:space="preserve"/>
      </w:r>
    </w:p>
    <w:p>
      <w:pPr>
        <w:pBdr>
          <w:bottom w:val="single" w:color="2E5FA3" w:sz="6" w:space="4"/>
        </w:pBdr>
        <w:spacing w:after="140" w:before="360"/>
      </w:pPr>
      <w:r>
        <w:rPr>
          <w:rFonts w:ascii="Meiryo" w:cs="Meiryo" w:eastAsia="Meiryo" w:hAnsi="Meiryo"/>
          <w:b/>
          <w:bCs/>
          <w:color w:val="2E5FA3"/>
          <w:sz w:val="24"/>
          <w:szCs w:val="24"/>
        </w:rPr>
        <w:t xml:space="preserve">6. 次のステップ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第1期の参加チーム募集開始（2026年内）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キックオフミーティングの設計・日程調整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国内発表の場の設計（開催時期・場所・形式）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テーマ継承の仕組みづくり（引き継ぎ資料・記録のフォーマット）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WPC2029の発表申し込みに関する情報収集</w:t>
      </w:r>
    </w:p>
    <w:p>
      <w:pPr>
        <w:spacing w:after="80" w:before="80"/>
      </w:pPr>
      <w:r>
        <w:t xml:space="preserve"/>
      </w:r>
    </w:p>
    <w:p>
      <w:pPr>
        <w:spacing w:after="0" w:before="200"/>
        <w:jc w:val="right"/>
      </w:pPr>
      <w:r>
        <w:rPr>
          <w:rFonts w:ascii="Meiryo" w:cs="Meiryo" w:eastAsia="Meiryo" w:hAnsi="Meiryo"/>
          <w:color w:val="666666"/>
          <w:sz w:val="18"/>
          <w:szCs w:val="18"/>
        </w:rPr>
        <w:t xml:space="preserve">2026年6月　NPO法人てんびん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jc w:val="right"/>
    </w:pPr>
    <w:r>
      <w:rPr>
        <w:rFonts w:ascii="Meiryo" w:cs="Meiryo" w:eastAsia="Meiryo" w:hAnsi="Meiryo"/>
        <w:color w:val="666666"/>
        <w:sz w:val="16"/>
        <w:szCs w:val="16"/>
      </w:rPr>
      <w:t xml:space="preserve">NPO法人てんびん  |  </w:t>
    </w:r>
    <w:r>
      <w:rPr>
        <w:rFonts w:ascii="Meiryo" w:cs="Meiryo" w:eastAsia="Meiryo" w:hAnsi="Meiryo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jc w:val="right"/>
    </w:pPr>
    <w:r>
      <w:rPr>
        <w:rFonts w:ascii="Meiryo" w:cs="Meiryo" w:eastAsia="Meiryo" w:hAnsi="Meiryo"/>
        <w:color w:val="666666"/>
        <w:sz w:val="16"/>
        <w:szCs w:val="16"/>
      </w:rPr>
      <w:t xml:space="preserve">WPC2029 学生アドボカシープロジェクト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2026-06-18T07:02:57.617Z</dcterms:created>
  <dcterms:modified xsi:type="dcterms:W3CDTF">2026-06-18T07:02:57.621Z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