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48"/>
          <w:szCs w:val="48"/>
        </w:rPr>
        <w:t xml:space="preserve">AMAX GLOBAL PTY LTD</w:t>
      </w:r>
    </w:p>
    <w:p>
      <w:pPr>
        <w:spacing w:after="80" w:before="0"/>
        <w:jc w:val="center"/>
      </w:pPr>
      <w:r>
        <w:rPr>
          <w:rFonts w:ascii="Arial" w:cs="Arial" w:eastAsia="Arial" w:hAnsi="Arial"/>
          <w:color w:val="555555"/>
          <w:sz w:val="24"/>
          <w:szCs w:val="24"/>
        </w:rPr>
        <w:t xml:space="preserve">ABN: 54 690 827 608</w:t>
      </w:r>
    </w:p>
    <w:p>
      <w:pPr>
        <w:spacing w:after="80" w:before="80"/>
      </w:pPr>
      <w:r>
        <w:t xml:space="preserve"/>
      </w:r>
    </w:p>
    <w:p>
      <w:pPr>
        <w:shd w:fill="1F4E79" w:val="clear"/>
        <w:spacing w:after="120" w:before="240"/>
        <w:jc w:val="center"/>
      </w:pPr>
      <w:r>
        <w:rPr>
          <w:rFonts w:ascii="Arial" w:cs="Arial" w:eastAsia="Arial" w:hAnsi="Arial"/>
          <w:b/>
          <w:bCs/>
          <w:color w:val="FFFFFF"/>
          <w:sz w:val="36"/>
          <w:szCs w:val="36"/>
        </w:rPr>
        <w:t xml:space="preserve">ANTI-MONEY LAUNDERING AND</w:t>
      </w:r>
    </w:p>
    <w:p>
      <w:pPr>
        <w:shd w:fill="1F4E79" w:val="clear"/>
        <w:spacing w:after="0" w:before="0"/>
        <w:jc w:val="center"/>
      </w:pPr>
      <w:r>
        <w:rPr>
          <w:rFonts w:ascii="Arial" w:cs="Arial" w:eastAsia="Arial" w:hAnsi="Arial"/>
          <w:b/>
          <w:bCs/>
          <w:color w:val="FFFFFF"/>
          <w:sz w:val="36"/>
          <w:szCs w:val="36"/>
        </w:rPr>
        <w:t xml:space="preserve">COUNTER-TERRORISM FINANCING PROGRAM</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9 April 2026</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Prepared Date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9 April 2026</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Qin Xiong</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Qin Xiong</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9 April 2027</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CONFIDENTIAL</w:t>
            </w:r>
          </w:p>
        </w:tc>
      </w:tr>
    </w:tbl>
    <w:p>
      <w:pPr>
        <w:spacing w:after="80" w:before="80"/>
      </w:pPr>
      <w:r>
        <w:t xml:space="preserve"/>
      </w:r>
    </w:p>
    <w:p>
      <w:pPr>
        <w:spacing w:after="60" w:before="120"/>
        <w:jc w:val="center"/>
      </w:pPr>
      <w:r>
        <w:rPr>
          <w:rFonts w:ascii="Arial" w:cs="Arial" w:eastAsia="Arial" w:hAnsi="Arial"/>
          <w:i/>
          <w:iCs/>
          <w:color w:val="555555"/>
          <w:sz w:val="18"/>
          <w:szCs w:val="18"/>
        </w:rPr>
        <w:t xml:space="preserve">Prepared in accordance with the Anti-Money Laundering and Counter-Terrorism Financing Act 2006 (Cth)</w:t>
      </w:r>
    </w:p>
    <w:p>
      <w:pPr>
        <w:spacing w:after="60" w:before="0"/>
        <w:jc w:val="center"/>
      </w:pPr>
      <w:r>
        <w:rPr>
          <w:rFonts w:ascii="Arial" w:cs="Arial" w:eastAsia="Arial" w:hAnsi="Arial"/>
          <w:i/>
          <w:iCs/>
          <w:color w:val="555555"/>
          <w:sz w:val="18"/>
          <w:szCs w:val="18"/>
        </w:rPr>
        <w:t xml:space="preserve">and the Anti-Money Laundering and Counter-Terrorism Financing Rules 2025</w:t>
      </w:r>
    </w:p>
    <w:p>
      <w:r>
        <w:br w:type="page"/>
      </w:r>
    </w:p>
    <w:p>
      <w:pPr>
        <w:shd w:fill="1F4E79" w:val="clear"/>
        <w:spacing w:after="240" w:before="240"/>
        <w:jc w:val="center"/>
      </w:pPr>
      <w:r>
        <w:rPr>
          <w:rFonts w:ascii="Arial" w:cs="Arial" w:eastAsia="Arial" w:hAnsi="Arial"/>
          <w:b/>
          <w:bCs/>
          <w:color w:val="FFFFFF"/>
          <w:sz w:val="32"/>
          <w:szCs w:val="32"/>
        </w:rPr>
        <w:t xml:space="preserve">PART A — AML/CTF SYSTEMS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r>
              <w:rPr>
                <w:rFonts w:ascii="Arial" w:cs="Arial" w:eastAsia="Arial" w:hAnsi="Arial"/>
                <w:i/>
                <w:iCs/>
                <w:color w:val="1F4E79"/>
                <w:sz w:val="20"/>
                <w:szCs w:val="20"/>
              </w:rPr>
              <w:t xml:space="preserve">Part A covers the governance framework, ML/TF risk assessment, transaction monitoring, reporting obligations, travel rule compliance, employee due diligence, training, record keeping, and independent review requirements of AMAX GLOBAL PTY LTD.</w:t>
            </w:r>
          </w:p>
        </w:tc>
      </w:tr>
    </w:tbl>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  Introduction and Purpose</w:t>
      </w:r>
    </w:p>
    <w:p>
      <w:pPr>
        <w:spacing w:after="80" w:before="60"/>
      </w:pPr>
      <w:r>
        <w:rPr>
          <w:rFonts w:ascii="Arial" w:cs="Arial" w:eastAsia="Arial" w:hAnsi="Arial"/>
          <w:sz w:val="20"/>
          <w:szCs w:val="20"/>
        </w:rPr>
        <w:t xml:space="preserve">This Anti-Money Laundering and Counter-Terrorism Financing (AML/CTF) Program has been established by AMAX GLOBAL PTY LTD (ABN 54 690 827 608) in accordance with the obligations imposed by the Anti-Money Laundering and Counter-Terrorism Financing Act 2006 (Cth) (the Act) and the Anti-Money Laundering and Counter-Terrorism Financing Rules 2025 (the Rules).</w:t>
      </w:r>
    </w:p>
    <w:p>
      <w:pPr>
        <w:spacing w:after="80" w:before="60"/>
      </w:pPr>
      <w:r>
        <w:rPr>
          <w:rFonts w:ascii="Arial" w:cs="Arial" w:eastAsia="Arial" w:hAnsi="Arial"/>
          <w:sz w:val="20"/>
          <w:szCs w:val="20"/>
        </w:rPr>
        <w:t xml:space="preserve">This Program sets out the policies, procedures and controls adopted by the business to identify, mitigate and manage the risk that its designated services may be used for money laundering (ML), terrorism financing (TF) or proliferation financing (PF).</w:t>
      </w:r>
    </w:p>
    <w:p>
      <w:pPr>
        <w:spacing w:after="80" w:before="60"/>
      </w:pPr>
      <w:r>
        <w:rPr>
          <w:rFonts w:ascii="Arial" w:cs="Arial" w:eastAsia="Arial" w:hAnsi="Arial"/>
          <w:sz w:val="20"/>
          <w:szCs w:val="20"/>
        </w:rPr>
        <w:t xml:space="preserve">This Program is effective from 9 April 2026 and will be reviewed annually or upon any material change to the business, its services, customer base, or regulatory environment.</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2.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Legal Name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AMAX GLOBAL PTY LTD</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ABN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54 690 827 608</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Business Address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Level 2, Kings Court, 8-12 King Street, Rockdale NSW 2216, Australia</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AML/CTF Compliance Officer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Qin Xiong (Director)</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Contact Email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info@amaxglobal.com.au</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Contact Phone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0401 699 386</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Designated Services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Digital Currency Exchange (DCE) and Remittance Services</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AUSTRAC Registration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DCE Register and Remittance Sector Register</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Commencement Date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9 April 2026</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www.amaxglobal.com.au</w:t>
            </w:r>
          </w:p>
        </w:tc>
      </w:tr>
    </w:tbl>
    <w:p>
      <w:pPr>
        <w:spacing w:after="80" w:before="80"/>
      </w:pPr>
      <w:r>
        <w:t xml:space="preserve"/>
      </w:r>
    </w:p>
    <w:p>
      <w:pPr>
        <w:spacing w:after="80" w:before="60"/>
      </w:pPr>
      <w:r>
        <w:rPr>
          <w:rFonts w:ascii="Arial" w:cs="Arial" w:eastAsia="Arial" w:hAnsi="Arial"/>
          <w:sz w:val="20"/>
          <w:szCs w:val="20"/>
        </w:rPr>
        <w:t xml:space="preserve">The business provides two categories of designated services under the Act:</w:t>
      </w:r>
    </w:p>
    <w:p>
      <w:pPr>
        <w:pStyle w:val="ListParagraph"/>
        <w:numPr>
          <w:ilvl w:val="0"/>
          <w:numId w:val="2"/>
        </w:numPr>
        <w:spacing w:after="40" w:before="40"/>
      </w:pPr>
      <w:r>
        <w:rPr>
          <w:rFonts w:ascii="Arial" w:cs="Arial" w:eastAsia="Arial" w:hAnsi="Arial"/>
          <w:b w:val="false"/>
          <w:bCs w:val="false"/>
          <w:sz w:val="20"/>
          <w:szCs w:val="20"/>
        </w:rPr>
        <w:t xml:space="preserve">Digital Currency Exchange Services — the exchange of digital currencies (including Bitcoin, Ethereum and other virtual assets) for Australian dollars and other fiat currencies, and vice versa, via an online platform and in-person at the registered premises.</w:t>
      </w:r>
    </w:p>
    <w:p>
      <w:pPr>
        <w:pStyle w:val="ListParagraph"/>
        <w:numPr>
          <w:ilvl w:val="0"/>
          <w:numId w:val="2"/>
        </w:numPr>
        <w:spacing w:after="40" w:before="40"/>
      </w:pPr>
      <w:r>
        <w:rPr>
          <w:rFonts w:ascii="Arial" w:cs="Arial" w:eastAsia="Arial" w:hAnsi="Arial"/>
          <w:b w:val="false"/>
          <w:bCs w:val="false"/>
          <w:sz w:val="20"/>
          <w:szCs w:val="20"/>
        </w:rPr>
        <w:t xml:space="preserve">Remittance Services — the transfer of money domestically and internationally on behalf of customers, operating as an independent remittance dealer using the business's own systems and processes.</w:t>
      </w:r>
    </w:p>
    <w:p>
      <w:pPr>
        <w:spacing w:after="80" w:before="80"/>
      </w:pPr>
      <w:r>
        <w:t xml:space="preserve"/>
      </w:r>
    </w:p>
    <w:p>
      <w:pPr>
        <w:spacing w:after="80" w:before="60"/>
      </w:pPr>
      <w:r>
        <w:rPr>
          <w:rFonts w:ascii="Arial" w:cs="Arial" w:eastAsia="Arial" w:hAnsi="Arial"/>
          <w:sz w:val="20"/>
          <w:szCs w:val="20"/>
        </w:rPr>
        <w:t xml:space="preserve">Customer funds are received and disbursed via regulated third-party payment providers under contractual arrangements. The business does not hold customer funds on an ongoing basis. The business does not maintain stored value accounts or custodial wallets.</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3.  Governance, Roles and Responsibilities</w:t>
      </w:r>
    </w:p>
    <w:p>
      <w:pPr>
        <w:pStyle w:val="Heading2"/>
        <w:pBdr>
          <w:bottom w:val="single" w:color="2E75B6" w:sz="3" w:space="1"/>
        </w:pBdr>
        <w:spacing w:after="80" w:before="240"/>
      </w:pPr>
      <w:r>
        <w:rPr>
          <w:rFonts w:ascii="Arial" w:cs="Arial" w:eastAsia="Arial" w:hAnsi="Arial"/>
          <w:b/>
          <w:bCs/>
          <w:color w:val="1F4E79"/>
          <w:sz w:val="24"/>
          <w:szCs w:val="24"/>
        </w:rPr>
        <w:t xml:space="preserve">3.1  AML/CTF Compliance Officer</w:t>
      </w:r>
    </w:p>
    <w:p>
      <w:pPr>
        <w:spacing w:after="80" w:before="60"/>
      </w:pPr>
      <w:r>
        <w:rPr>
          <w:rFonts w:ascii="Arial" w:cs="Arial" w:eastAsia="Arial" w:hAnsi="Arial"/>
          <w:sz w:val="20"/>
          <w:szCs w:val="20"/>
        </w:rPr>
        <w:t xml:space="preserve">Qin Xiong, Director of AMAX GLOBAL PTY LTD, is appointed as the AML/CTF Compliance Officer. The Compliance Officer is responsible for:</w:t>
      </w:r>
    </w:p>
    <w:p>
      <w:pPr>
        <w:pStyle w:val="ListParagraph"/>
        <w:numPr>
          <w:ilvl w:val="0"/>
          <w:numId w:val="2"/>
        </w:numPr>
        <w:spacing w:after="40" w:before="40"/>
      </w:pPr>
      <w:r>
        <w:rPr>
          <w:rFonts w:ascii="Arial" w:cs="Arial" w:eastAsia="Arial" w:hAnsi="Arial"/>
          <w:b w:val="false"/>
          <w:bCs w:val="false"/>
          <w:sz w:val="20"/>
          <w:szCs w:val="20"/>
        </w:rPr>
        <w:t xml:space="preserve">Developing, implementing, maintaining, and updating this AML/CTF Program</w:t>
      </w:r>
    </w:p>
    <w:p>
      <w:pPr>
        <w:pStyle w:val="ListParagraph"/>
        <w:numPr>
          <w:ilvl w:val="0"/>
          <w:numId w:val="2"/>
        </w:numPr>
        <w:spacing w:after="40" w:before="40"/>
      </w:pPr>
      <w:r>
        <w:rPr>
          <w:rFonts w:ascii="Arial" w:cs="Arial" w:eastAsia="Arial" w:hAnsi="Arial"/>
          <w:b w:val="false"/>
          <w:bCs w:val="false"/>
          <w:sz w:val="20"/>
          <w:szCs w:val="20"/>
        </w:rPr>
        <w:t xml:space="preserve">Ensuring the business meets all obligations under the Act and the Rules</w:t>
      </w:r>
    </w:p>
    <w:p>
      <w:pPr>
        <w:pStyle w:val="ListParagraph"/>
        <w:numPr>
          <w:ilvl w:val="0"/>
          <w:numId w:val="2"/>
        </w:numPr>
        <w:spacing w:after="40" w:before="40"/>
      </w:pPr>
      <w:r>
        <w:rPr>
          <w:rFonts w:ascii="Arial" w:cs="Arial" w:eastAsia="Arial" w:hAnsi="Arial"/>
          <w:b w:val="false"/>
          <w:bCs w:val="false"/>
          <w:sz w:val="20"/>
          <w:szCs w:val="20"/>
        </w:rPr>
        <w:t xml:space="preserve">Overseeing the day-to-day operation of AML/CTF controls</w:t>
      </w:r>
    </w:p>
    <w:p>
      <w:pPr>
        <w:pStyle w:val="ListParagraph"/>
        <w:numPr>
          <w:ilvl w:val="0"/>
          <w:numId w:val="2"/>
        </w:numPr>
        <w:spacing w:after="40" w:before="40"/>
      </w:pPr>
      <w:r>
        <w:rPr>
          <w:rFonts w:ascii="Arial" w:cs="Arial" w:eastAsia="Arial" w:hAnsi="Arial"/>
          <w:b w:val="false"/>
          <w:bCs w:val="false"/>
          <w:sz w:val="20"/>
          <w:szCs w:val="20"/>
        </w:rPr>
        <w:t xml:space="preserve">Ensuring timely submission of all required reports to AUSTRAC (SMRs, IVTSs, and TTRs)</w:t>
      </w:r>
    </w:p>
    <w:p>
      <w:pPr>
        <w:pStyle w:val="ListParagraph"/>
        <w:numPr>
          <w:ilvl w:val="0"/>
          <w:numId w:val="2"/>
        </w:numPr>
        <w:spacing w:after="40" w:before="40"/>
      </w:pPr>
      <w:r>
        <w:rPr>
          <w:rFonts w:ascii="Arial" w:cs="Arial" w:eastAsia="Arial" w:hAnsi="Arial"/>
          <w:b w:val="false"/>
          <w:bCs w:val="false"/>
          <w:sz w:val="20"/>
          <w:szCs w:val="20"/>
        </w:rPr>
        <w:t xml:space="preserve">Conducting or overseeing employee AML/CTF training</w:t>
      </w:r>
    </w:p>
    <w:p>
      <w:pPr>
        <w:pStyle w:val="ListParagraph"/>
        <w:numPr>
          <w:ilvl w:val="0"/>
          <w:numId w:val="2"/>
        </w:numPr>
        <w:spacing w:after="40" w:before="40"/>
      </w:pPr>
      <w:r>
        <w:rPr>
          <w:rFonts w:ascii="Arial" w:cs="Arial" w:eastAsia="Arial" w:hAnsi="Arial"/>
          <w:b w:val="false"/>
          <w:bCs w:val="false"/>
          <w:sz w:val="20"/>
          <w:szCs w:val="20"/>
        </w:rPr>
        <w:t xml:space="preserve">Conducting or commissioning independent reviews of this Program</w:t>
      </w:r>
    </w:p>
    <w:p>
      <w:pPr>
        <w:pStyle w:val="ListParagraph"/>
        <w:numPr>
          <w:ilvl w:val="0"/>
          <w:numId w:val="2"/>
        </w:numPr>
        <w:spacing w:after="40" w:before="40"/>
      </w:pPr>
      <w:r>
        <w:rPr>
          <w:rFonts w:ascii="Arial" w:cs="Arial" w:eastAsia="Arial" w:hAnsi="Arial"/>
          <w:b w:val="false"/>
          <w:bCs w:val="false"/>
          <w:sz w:val="20"/>
          <w:szCs w:val="20"/>
        </w:rPr>
        <w:t xml:space="preserve">Reporting material compliance issues to the governing body</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3.2  Governing Body Oversight</w:t>
      </w:r>
    </w:p>
    <w:p>
      <w:pPr>
        <w:spacing w:after="80" w:before="60"/>
      </w:pPr>
      <w:r>
        <w:rPr>
          <w:rFonts w:ascii="Arial" w:cs="Arial" w:eastAsia="Arial" w:hAnsi="Arial"/>
          <w:sz w:val="20"/>
          <w:szCs w:val="20"/>
        </w:rPr>
        <w:t xml:space="preserve">The Director of the business is responsible for:</w:t>
      </w:r>
    </w:p>
    <w:p>
      <w:pPr>
        <w:pStyle w:val="ListParagraph"/>
        <w:numPr>
          <w:ilvl w:val="0"/>
          <w:numId w:val="2"/>
        </w:numPr>
        <w:spacing w:after="40" w:before="40"/>
      </w:pPr>
      <w:r>
        <w:rPr>
          <w:rFonts w:ascii="Arial" w:cs="Arial" w:eastAsia="Arial" w:hAnsi="Arial"/>
          <w:b w:val="false"/>
          <w:bCs w:val="false"/>
          <w:sz w:val="20"/>
          <w:szCs w:val="20"/>
        </w:rPr>
        <w:t xml:space="preserve">Approving this AML/CTF Program and any material amendments</w:t>
      </w:r>
    </w:p>
    <w:p>
      <w:pPr>
        <w:pStyle w:val="ListParagraph"/>
        <w:numPr>
          <w:ilvl w:val="0"/>
          <w:numId w:val="2"/>
        </w:numPr>
        <w:spacing w:after="40" w:before="40"/>
      </w:pPr>
      <w:r>
        <w:rPr>
          <w:rFonts w:ascii="Arial" w:cs="Arial" w:eastAsia="Arial" w:hAnsi="Arial"/>
          <w:b w:val="false"/>
          <w:bCs w:val="false"/>
          <w:sz w:val="20"/>
          <w:szCs w:val="20"/>
        </w:rPr>
        <w:t xml:space="preserve">Providing oversight of ML/TF risk management and AML/CTF compliance</w:t>
      </w:r>
    </w:p>
    <w:p>
      <w:pPr>
        <w:pStyle w:val="ListParagraph"/>
        <w:numPr>
          <w:ilvl w:val="0"/>
          <w:numId w:val="2"/>
        </w:numPr>
        <w:spacing w:after="40" w:before="40"/>
      </w:pPr>
      <w:r>
        <w:rPr>
          <w:rFonts w:ascii="Arial" w:cs="Arial" w:eastAsia="Arial" w:hAnsi="Arial"/>
          <w:b w:val="false"/>
          <w:bCs w:val="false"/>
          <w:sz w:val="20"/>
          <w:szCs w:val="20"/>
        </w:rPr>
        <w:t xml:space="preserve">Allocating adequate resources to implement and maintain the Program</w:t>
      </w:r>
    </w:p>
    <w:p>
      <w:pPr>
        <w:pStyle w:val="ListParagraph"/>
        <w:numPr>
          <w:ilvl w:val="0"/>
          <w:numId w:val="2"/>
        </w:numPr>
        <w:spacing w:after="40" w:before="40"/>
      </w:pPr>
      <w:r>
        <w:rPr>
          <w:rFonts w:ascii="Arial" w:cs="Arial" w:eastAsia="Arial" w:hAnsi="Arial"/>
          <w:b w:val="false"/>
          <w:bCs w:val="false"/>
          <w:sz w:val="20"/>
          <w:szCs w:val="20"/>
        </w:rPr>
        <w:t xml:space="preserve">Receiving regular reports from the Compliance Officer on compliance matters</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3.3  All Employees and Contractors</w:t>
      </w:r>
    </w:p>
    <w:p>
      <w:pPr>
        <w:pStyle w:val="ListParagraph"/>
        <w:numPr>
          <w:ilvl w:val="0"/>
          <w:numId w:val="2"/>
        </w:numPr>
        <w:spacing w:after="40" w:before="40"/>
      </w:pPr>
      <w:r>
        <w:rPr>
          <w:rFonts w:ascii="Arial" w:cs="Arial" w:eastAsia="Arial" w:hAnsi="Arial"/>
          <w:b w:val="false"/>
          <w:bCs w:val="false"/>
          <w:sz w:val="20"/>
          <w:szCs w:val="20"/>
        </w:rPr>
        <w:t xml:space="preserve">Completing AML/CTF training as required</w:t>
      </w:r>
    </w:p>
    <w:p>
      <w:pPr>
        <w:pStyle w:val="ListParagraph"/>
        <w:numPr>
          <w:ilvl w:val="0"/>
          <w:numId w:val="2"/>
        </w:numPr>
        <w:spacing w:after="40" w:before="40"/>
      </w:pPr>
      <w:r>
        <w:rPr>
          <w:rFonts w:ascii="Arial" w:cs="Arial" w:eastAsia="Arial" w:hAnsi="Arial"/>
          <w:b w:val="false"/>
          <w:bCs w:val="false"/>
          <w:sz w:val="20"/>
          <w:szCs w:val="20"/>
        </w:rPr>
        <w:t xml:space="preserve">Complying with the procedures set out in this Program</w:t>
      </w:r>
    </w:p>
    <w:p>
      <w:pPr>
        <w:pStyle w:val="ListParagraph"/>
        <w:numPr>
          <w:ilvl w:val="0"/>
          <w:numId w:val="2"/>
        </w:numPr>
        <w:spacing w:after="40" w:before="40"/>
      </w:pPr>
      <w:r>
        <w:rPr>
          <w:rFonts w:ascii="Arial" w:cs="Arial" w:eastAsia="Arial" w:hAnsi="Arial"/>
          <w:b w:val="false"/>
          <w:bCs w:val="false"/>
          <w:sz w:val="20"/>
          <w:szCs w:val="20"/>
        </w:rPr>
        <w:t xml:space="preserve">Reporting suspicious matters or concerns to the Compliance Officer immediately</w:t>
      </w:r>
    </w:p>
    <w:p>
      <w:pPr>
        <w:pStyle w:val="ListParagraph"/>
        <w:numPr>
          <w:ilvl w:val="0"/>
          <w:numId w:val="2"/>
        </w:numPr>
        <w:spacing w:after="40" w:before="40"/>
      </w:pPr>
      <w:r>
        <w:rPr>
          <w:rFonts w:ascii="Arial" w:cs="Arial" w:eastAsia="Arial" w:hAnsi="Arial"/>
          <w:b w:val="false"/>
          <w:bCs w:val="false"/>
          <w:sz w:val="20"/>
          <w:szCs w:val="20"/>
        </w:rPr>
        <w:t xml:space="preserve">Maintaining confidentiality of all STR/SMR filings (tipping-off prohibition)</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4.  ML/TF Risk Assessment</w:t>
      </w:r>
    </w:p>
    <w:p>
      <w:pPr>
        <w:pStyle w:val="Heading2"/>
        <w:pBdr>
          <w:bottom w:val="single" w:color="2E75B6" w:sz="3" w:space="1"/>
        </w:pBdr>
        <w:spacing w:after="80" w:before="240"/>
      </w:pPr>
      <w:r>
        <w:rPr>
          <w:rFonts w:ascii="Arial" w:cs="Arial" w:eastAsia="Arial" w:hAnsi="Arial"/>
          <w:b/>
          <w:bCs/>
          <w:color w:val="1F4E79"/>
          <w:sz w:val="24"/>
          <w:szCs w:val="24"/>
        </w:rPr>
        <w:t xml:space="preserve">4.1  Risk Assessment Methodology</w:t>
      </w:r>
    </w:p>
    <w:p>
      <w:pPr>
        <w:spacing w:after="80" w:before="60"/>
      </w:pPr>
      <w:r>
        <w:rPr>
          <w:rFonts w:ascii="Arial" w:cs="Arial" w:eastAsia="Arial" w:hAnsi="Arial"/>
          <w:sz w:val="20"/>
          <w:szCs w:val="20"/>
        </w:rPr>
        <w:t xml:space="preserve">The business has conducted a Money Laundering and Terrorism Financing (ML/TF) risk assessment using a risk-based approach, assessing the following risk factors:</w:t>
      </w:r>
    </w:p>
    <w:p>
      <w:pPr>
        <w:pStyle w:val="ListParagraph"/>
        <w:numPr>
          <w:ilvl w:val="0"/>
          <w:numId w:val="2"/>
        </w:numPr>
        <w:spacing w:after="40" w:before="40"/>
      </w:pPr>
      <w:r>
        <w:rPr>
          <w:rFonts w:ascii="Arial" w:cs="Arial" w:eastAsia="Arial" w:hAnsi="Arial"/>
          <w:b w:val="false"/>
          <w:bCs w:val="false"/>
          <w:sz w:val="20"/>
          <w:szCs w:val="20"/>
        </w:rPr>
        <w:t xml:space="preserve">Nature and complexity of designated services offered</w:t>
      </w:r>
    </w:p>
    <w:p>
      <w:pPr>
        <w:pStyle w:val="ListParagraph"/>
        <w:numPr>
          <w:ilvl w:val="0"/>
          <w:numId w:val="2"/>
        </w:numPr>
        <w:spacing w:after="40" w:before="40"/>
      </w:pPr>
      <w:r>
        <w:rPr>
          <w:rFonts w:ascii="Arial" w:cs="Arial" w:eastAsia="Arial" w:hAnsi="Arial"/>
          <w:b w:val="false"/>
          <w:bCs w:val="false"/>
          <w:sz w:val="20"/>
          <w:szCs w:val="20"/>
        </w:rPr>
        <w:t xml:space="preserve">Customer types and demographic profile</w:t>
      </w:r>
    </w:p>
    <w:p>
      <w:pPr>
        <w:pStyle w:val="ListParagraph"/>
        <w:numPr>
          <w:ilvl w:val="0"/>
          <w:numId w:val="2"/>
        </w:numPr>
        <w:spacing w:after="40" w:before="40"/>
      </w:pPr>
      <w:r>
        <w:rPr>
          <w:rFonts w:ascii="Arial" w:cs="Arial" w:eastAsia="Arial" w:hAnsi="Arial"/>
          <w:b w:val="false"/>
          <w:bCs w:val="false"/>
          <w:sz w:val="20"/>
          <w:szCs w:val="20"/>
        </w:rPr>
        <w:t xml:space="preserve">Delivery channels used to provide services</w:t>
      </w:r>
    </w:p>
    <w:p>
      <w:pPr>
        <w:pStyle w:val="ListParagraph"/>
        <w:numPr>
          <w:ilvl w:val="0"/>
          <w:numId w:val="2"/>
        </w:numPr>
        <w:spacing w:after="40" w:before="40"/>
      </w:pPr>
      <w:r>
        <w:rPr>
          <w:rFonts w:ascii="Arial" w:cs="Arial" w:eastAsia="Arial" w:hAnsi="Arial"/>
          <w:b w:val="false"/>
          <w:bCs w:val="false"/>
          <w:sz w:val="20"/>
          <w:szCs w:val="20"/>
        </w:rPr>
        <w:t xml:space="preserve">Jurisdictions involved in transactions</w:t>
      </w:r>
    </w:p>
    <w:p>
      <w:pPr>
        <w:pStyle w:val="ListParagraph"/>
        <w:numPr>
          <w:ilvl w:val="0"/>
          <w:numId w:val="2"/>
        </w:numPr>
        <w:spacing w:after="40" w:before="40"/>
      </w:pPr>
      <w:r>
        <w:rPr>
          <w:rFonts w:ascii="Arial" w:cs="Arial" w:eastAsia="Arial" w:hAnsi="Arial"/>
          <w:b w:val="false"/>
          <w:bCs w:val="false"/>
          <w:sz w:val="20"/>
          <w:szCs w:val="20"/>
        </w:rPr>
        <w:t xml:space="preserve">Transaction volumes and values</w:t>
      </w:r>
    </w:p>
    <w:p>
      <w:pPr>
        <w:spacing w:after="80" w:before="80"/>
      </w:pPr>
      <w:r>
        <w:t xml:space="preserve"/>
      </w:r>
    </w:p>
    <w:p>
      <w:pPr>
        <w:spacing w:after="80" w:before="60"/>
      </w:pPr>
      <w:r>
        <w:rPr>
          <w:rFonts w:ascii="Arial" w:cs="Arial" w:eastAsia="Arial" w:hAnsi="Arial"/>
          <w:sz w:val="20"/>
          <w:szCs w:val="20"/>
        </w:rPr>
        <w:t xml:space="preserve">Risk is rated as High, Medium, or Low based on the likelihood and impact of ML/TF occurring through each risk factor, and the effectiveness of controls in place.</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4.2  Risk Scoring Methodology</w:t>
      </w:r>
    </w:p>
    <w:p>
      <w:pPr>
        <w:spacing w:after="80" w:before="60"/>
      </w:pPr>
      <w:r>
        <w:rPr>
          <w:rFonts w:ascii="Arial" w:cs="Arial" w:eastAsia="Arial" w:hAnsi="Arial"/>
          <w:sz w:val="20"/>
          <w:szCs w:val="20"/>
        </w:rPr>
        <w:t xml:space="preserve">Each risk factor is scored on the following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Score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Rating</w:t>
            </w:r>
          </w:p>
        </w:tc>
        <w:tc>
          <w:tcPr>
            <w:tcW w:type="dxa" w:w="58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Low</w:t>
            </w:r>
          </w:p>
        </w:tc>
        <w:tc>
          <w:tcPr>
            <w:tcW w:type="dxa" w:w="5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Minimal likelihood and/or impact; strong controls mitigate exposure</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Medium</w:t>
            </w:r>
          </w:p>
        </w:tc>
        <w:tc>
          <w:tcPr>
            <w:tcW w:type="dxa" w:w="5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Moderate likelihood or impact; adequate controls in place</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High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Elevated likelihood and impact; requires enhanced controls</w:t>
            </w:r>
          </w:p>
        </w:tc>
      </w:tr>
    </w:tbl>
    <w:p>
      <w:pPr>
        <w:spacing w:after="80" w:before="80"/>
      </w:pPr>
      <w:r>
        <w:t xml:space="preserve"/>
      </w:r>
    </w:p>
    <w:p>
      <w:pPr>
        <w:spacing w:after="80" w:before="60"/>
      </w:pPr>
      <w:r>
        <w:rPr>
          <w:rFonts w:ascii="Arial" w:cs="Arial" w:eastAsia="Arial" w:hAnsi="Arial"/>
          <w:sz w:val="20"/>
          <w:szCs w:val="20"/>
        </w:rPr>
        <w:t xml:space="preserve">A customer's overall risk rating is determined by combining scores across: Geography (1–3), Transaction Behaviour (1–3), Product/Service Used (1–3), and Customer Type (1–3). Total scores are interpreted as: 4–6 = Low Risk, 7–9 = Medium Risk, 10–12 = High Risk.</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4.3  Risk Assessment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2660"/>
        <w:gridCol w:w="150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Risk Category</w:t>
            </w:r>
          </w:p>
        </w:tc>
        <w:tc>
          <w:tcPr>
            <w:tcW w:type="dxa" w:w="25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2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Inherent Risk</w:t>
            </w:r>
          </w:p>
        </w:tc>
        <w:tc>
          <w:tcPr>
            <w:tcW w:type="dxa" w:w="266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Controls</w:t>
            </w:r>
          </w:p>
        </w:tc>
        <w:tc>
          <w:tcPr>
            <w:tcW w:type="dxa" w:w="15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Residual Risk</w:t>
            </w:r>
          </w:p>
        </w:tc>
      </w:tr>
      <w:tr>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Digital Currency Exchange</w:t>
            </w:r>
          </w:p>
        </w:tc>
        <w:tc>
          <w:tcPr>
            <w:tcW w:type="dxa" w:w="2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Exchange of crypto assets for fiat — high ML/TF risk sector globally due to speed and pseudo-anonymity</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C00000"/>
                <w:sz w:val="18"/>
                <w:szCs w:val="18"/>
              </w:rPr>
              <w:t xml:space="preserve">High</w:t>
            </w:r>
          </w:p>
        </w:tc>
        <w:tc>
          <w:tcPr>
            <w:tcW w:type="dxa" w:w="266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KYC/CDD at onboarding; transaction monitoring; source of funds checks for large transactions; blockchain analytics tools</w:t>
            </w:r>
          </w:p>
        </w:tc>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E36C09"/>
                <w:sz w:val="18"/>
                <w:szCs w:val="18"/>
              </w:rPr>
              <w:t xml:space="preserve">Medium</w:t>
            </w:r>
          </w:p>
        </w:tc>
      </w:tr>
      <w:tr>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Remittance Services</w:t>
            </w:r>
          </w:p>
        </w:tc>
        <w:tc>
          <w:tcPr>
            <w:tcW w:type="dxa" w:w="2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International money transfers — risk of layering and integration, particularly for high-risk corridors</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C00000"/>
                <w:sz w:val="18"/>
                <w:szCs w:val="18"/>
              </w:rPr>
              <w:t xml:space="preserve">High</w:t>
            </w:r>
          </w:p>
        </w:tc>
        <w:tc>
          <w:tcPr>
            <w:tcW w:type="dxa" w:w="266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KYC/CDD; IVTS reporting; enhanced due diligence for high-risk jurisdictions; transaction limits for unverified customers</w:t>
            </w:r>
          </w:p>
        </w:tc>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E36C09"/>
                <w:sz w:val="18"/>
                <w:szCs w:val="18"/>
              </w:rPr>
              <w:t xml:space="preserve">Medium</w:t>
            </w:r>
          </w:p>
        </w:tc>
      </w:tr>
      <w:tr>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Online Platform Delivery</w:t>
            </w:r>
          </w:p>
        </w:tc>
        <w:tc>
          <w:tcPr>
            <w:tcW w:type="dxa" w:w="2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Services delivered via website/mobile app — reduced face-to-face interaction increases identity risk</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C00000"/>
                <w:sz w:val="18"/>
                <w:szCs w:val="18"/>
              </w:rPr>
              <w:t xml:space="preserve">High</w:t>
            </w:r>
          </w:p>
        </w:tc>
        <w:tc>
          <w:tcPr>
            <w:tcW w:type="dxa" w:w="266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Digital identity verification (document + biometric check); device fingerprinting; IP monitoring</w:t>
            </w:r>
          </w:p>
        </w:tc>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E36C09"/>
                <w:sz w:val="18"/>
                <w:szCs w:val="18"/>
              </w:rPr>
              <w:t xml:space="preserve">Medium</w:t>
            </w:r>
          </w:p>
        </w:tc>
      </w:tr>
      <w:tr>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Retail Walk-In Customers</w:t>
            </w:r>
          </w:p>
        </w:tc>
        <w:tc>
          <w:tcPr>
            <w:tcW w:type="dxa" w:w="2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In-person cash or card transactions at Rockdale premises — risk of structuring and smurfing</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E36C09"/>
                <w:sz w:val="18"/>
                <w:szCs w:val="18"/>
              </w:rPr>
              <w:t xml:space="preserve">Medium</w:t>
            </w:r>
          </w:p>
        </w:tc>
        <w:tc>
          <w:tcPr>
            <w:tcW w:type="dxa" w:w="266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In-person ID verification; transaction monitoring for structuring patterns; TTR reporting for cash &gt;= $10,000</w:t>
            </w:r>
          </w:p>
        </w:tc>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375623"/>
                <w:sz w:val="18"/>
                <w:szCs w:val="18"/>
              </w:rPr>
              <w:t xml:space="preserve">Low</w:t>
            </w:r>
          </w:p>
        </w:tc>
      </w:tr>
      <w:tr>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PEP / Sanctioned Persons</w:t>
            </w:r>
          </w:p>
        </w:tc>
        <w:tc>
          <w:tcPr>
            <w:tcW w:type="dxa" w:w="2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Politically Exposed Persons and sanctioned individuals present elevated risk</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C00000"/>
                <w:sz w:val="18"/>
                <w:szCs w:val="18"/>
              </w:rPr>
              <w:t xml:space="preserve">High</w:t>
            </w:r>
          </w:p>
        </w:tc>
        <w:tc>
          <w:tcPr>
            <w:tcW w:type="dxa" w:w="266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PEP and sanctions screening at onboarding and ongoing; ECDD for PEPs; refusal of service to sanctioned persons</w:t>
            </w:r>
          </w:p>
        </w:tc>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375623"/>
                <w:sz w:val="18"/>
                <w:szCs w:val="18"/>
              </w:rPr>
              <w:t xml:space="preserve">Low</w:t>
            </w:r>
          </w:p>
        </w:tc>
      </w:tr>
      <w:tr>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High-Risk Jurisdictions</w:t>
            </w:r>
          </w:p>
        </w:tc>
        <w:tc>
          <w:tcPr>
            <w:tcW w:type="dxa" w:w="2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Transactions involving FATF grey/black list countries or high-risk corridors</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C00000"/>
                <w:sz w:val="18"/>
                <w:szCs w:val="18"/>
              </w:rPr>
              <w:t xml:space="preserve">High</w:t>
            </w:r>
          </w:p>
        </w:tc>
        <w:tc>
          <w:tcPr>
            <w:tcW w:type="dxa" w:w="266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Jurisdiction risk screening; enhanced CDD for high-risk country customers; AUSTRAC guidance reviewed regularly</w:t>
            </w:r>
          </w:p>
        </w:tc>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E36C09"/>
                <w:sz w:val="18"/>
                <w:szCs w:val="18"/>
              </w:rPr>
              <w:t xml:space="preserve">Medium</w:t>
            </w:r>
          </w:p>
        </w:tc>
      </w:tr>
      <w:tr>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Employee / Insider Risk</w:t>
            </w:r>
          </w:p>
        </w:tc>
        <w:tc>
          <w:tcPr>
            <w:tcW w:type="dxa" w:w="2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Risk of staff facilitating ML/TF or acting fraudulently</w:t>
            </w:r>
          </w:p>
        </w:tc>
        <w:tc>
          <w:tcPr>
            <w:tcW w:type="dxa" w:w="12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375623"/>
                <w:sz w:val="18"/>
                <w:szCs w:val="18"/>
              </w:rPr>
              <w:t xml:space="preserve">Low</w:t>
            </w:r>
          </w:p>
        </w:tc>
        <w:tc>
          <w:tcPr>
            <w:tcW w:type="dxa" w:w="266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val="false"/>
                <w:bCs w:val="false"/>
                <w:color w:val="1A1A1A"/>
                <w:sz w:val="18"/>
                <w:szCs w:val="18"/>
              </w:rPr>
              <w:t xml:space="preserve">Employee due diligence at hiring; ongoing awareness training; segregation of duties where possible</w:t>
            </w:r>
          </w:p>
        </w:tc>
        <w:tc>
          <w:tcPr>
            <w:tcW w:type="dxa" w:w="1500"/>
            <w:tcBorders>
              <w:top w:val="single" w:color="BBBBBB" w:sz="1"/>
              <w:left w:val="single" w:color="BBBBBB" w:sz="1"/>
              <w:bottom w:val="single" w:color="BBBBBB" w:sz="1"/>
              <w:right w:val="single" w:color="BBBBBB" w:sz="1"/>
            </w:tcBorders>
            <w:tcMar>
              <w:top w:type="dxa" w:w="80"/>
              <w:left w:type="dxa" w:w="100"/>
              <w:bottom w:type="dxa" w:w="80"/>
              <w:right w:type="dxa" w:w="100"/>
            </w:tcMar>
          </w:tcPr>
          <w:p>
            <w:r>
              <w:rPr>
                <w:rFonts w:ascii="Arial" w:cs="Arial" w:eastAsia="Arial" w:hAnsi="Arial"/>
                <w:b/>
                <w:bCs/>
                <w:color w:val="375623"/>
                <w:sz w:val="18"/>
                <w:szCs w:val="18"/>
              </w:rPr>
              <w:t xml:space="preserve">Low</w:t>
            </w:r>
          </w:p>
        </w:tc>
      </w:tr>
    </w:tbl>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4.4  Risk Appetite</w:t>
      </w:r>
    </w:p>
    <w:p>
      <w:pPr>
        <w:spacing w:after="80" w:before="60"/>
      </w:pPr>
      <w:r>
        <w:rPr>
          <w:rFonts w:ascii="Arial" w:cs="Arial" w:eastAsia="Arial" w:hAnsi="Arial"/>
          <w:sz w:val="20"/>
          <w:szCs w:val="20"/>
        </w:rPr>
        <w:t xml:space="preserve">The business has a LOW tolerance for money laundering and terrorism financing (ML/TF) risk and is committed to minimising risk exposure through the effective implementation of its AML/CTF controls.</w:t>
      </w:r>
    </w:p>
    <w:p>
      <w:pPr>
        <w:pStyle w:val="ListParagraph"/>
        <w:numPr>
          <w:ilvl w:val="0"/>
          <w:numId w:val="2"/>
        </w:numPr>
        <w:spacing w:after="40" w:before="40"/>
      </w:pPr>
      <w:r>
        <w:rPr>
          <w:rFonts w:ascii="Arial" w:cs="Arial" w:eastAsia="Arial" w:hAnsi="Arial"/>
          <w:b w:val="false"/>
          <w:bCs w:val="false"/>
          <w:sz w:val="20"/>
          <w:szCs w:val="20"/>
        </w:rPr>
        <w:t xml:space="preserve">The business will not provide services to customers who cannot be adequately identified and verified.</w:t>
      </w:r>
    </w:p>
    <w:p>
      <w:pPr>
        <w:pStyle w:val="ListParagraph"/>
        <w:numPr>
          <w:ilvl w:val="0"/>
          <w:numId w:val="2"/>
        </w:numPr>
        <w:spacing w:after="40" w:before="40"/>
      </w:pPr>
      <w:r>
        <w:rPr>
          <w:rFonts w:ascii="Arial" w:cs="Arial" w:eastAsia="Arial" w:hAnsi="Arial"/>
          <w:b w:val="false"/>
          <w:bCs w:val="false"/>
          <w:sz w:val="20"/>
          <w:szCs w:val="20"/>
        </w:rPr>
        <w:t xml:space="preserve">The business will not provide services to or on behalf of any individual, entity, or jurisdiction subject to applicable sanctions.</w:t>
      </w:r>
    </w:p>
    <w:p>
      <w:pPr>
        <w:pStyle w:val="ListParagraph"/>
        <w:numPr>
          <w:ilvl w:val="0"/>
          <w:numId w:val="2"/>
        </w:numPr>
        <w:spacing w:after="40" w:before="40"/>
      </w:pPr>
      <w:r>
        <w:rPr>
          <w:rFonts w:ascii="Arial" w:cs="Arial" w:eastAsia="Arial" w:hAnsi="Arial"/>
          <w:b w:val="false"/>
          <w:bCs w:val="false"/>
          <w:sz w:val="20"/>
          <w:szCs w:val="20"/>
        </w:rPr>
        <w:t xml:space="preserve">Residual MEDIUM risk in DCE and remittance activities is acknowledged and managed through ongoing monitoring and enhanced due diligence where required.</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4.5  Risk Assessment Review</w:t>
      </w:r>
    </w:p>
    <w:p>
      <w:pPr>
        <w:spacing w:after="80" w:before="60"/>
      </w:pPr>
      <w:r>
        <w:rPr>
          <w:rFonts w:ascii="Arial" w:cs="Arial" w:eastAsia="Arial" w:hAnsi="Arial"/>
          <w:sz w:val="20"/>
          <w:szCs w:val="20"/>
        </w:rPr>
        <w:t xml:space="preserve">This risk assessment will be reviewed: annually as part of the Program review cycle; when there is a material change to the business model, services, or customer base; following any AUSTRAC guidance or typology report relevant to DCE or remittance; and following any internal or external audit findings.</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5.  Third-Party Risk Management</w:t>
      </w:r>
    </w:p>
    <w:p>
      <w:pPr>
        <w:pStyle w:val="Heading2"/>
        <w:pBdr>
          <w:bottom w:val="single" w:color="2E75B6" w:sz="3" w:space="1"/>
        </w:pBdr>
        <w:spacing w:after="80" w:before="240"/>
      </w:pPr>
      <w:r>
        <w:rPr>
          <w:rFonts w:ascii="Arial" w:cs="Arial" w:eastAsia="Arial" w:hAnsi="Arial"/>
          <w:b/>
          <w:bCs/>
          <w:color w:val="1F4E79"/>
          <w:sz w:val="24"/>
          <w:szCs w:val="24"/>
        </w:rPr>
        <w:t xml:space="preserve">5.1  Overview</w:t>
      </w:r>
    </w:p>
    <w:p>
      <w:pPr>
        <w:spacing w:after="80" w:before="60"/>
      </w:pPr>
      <w:r>
        <w:rPr>
          <w:rFonts w:ascii="Arial" w:cs="Arial" w:eastAsia="Arial" w:hAnsi="Arial"/>
          <w:sz w:val="20"/>
          <w:szCs w:val="20"/>
        </w:rPr>
        <w:t xml:space="preserve">AMAX GLOBAL PTY LTD relies on third-party providers to support the delivery of its designated services, including KYC/identity verification providers, payment and liquidity providers, and Travel Rule compliance solutions. The business maintains a formal framework for managing the risks associated with these arrangements.</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5.2  Vendor Onboarding Due Diligence</w:t>
      </w:r>
    </w:p>
    <w:p>
      <w:pPr>
        <w:spacing w:after="80" w:before="60"/>
      </w:pPr>
      <w:r>
        <w:rPr>
          <w:rFonts w:ascii="Arial" w:cs="Arial" w:eastAsia="Arial" w:hAnsi="Arial"/>
          <w:sz w:val="20"/>
          <w:szCs w:val="20"/>
        </w:rPr>
        <w:t xml:space="preserve">Before engaging any third-party provider, the Compliance Officer will conduct due diligence including:</w:t>
      </w:r>
    </w:p>
    <w:p>
      <w:pPr>
        <w:pStyle w:val="ListParagraph"/>
        <w:numPr>
          <w:ilvl w:val="0"/>
          <w:numId w:val="2"/>
        </w:numPr>
        <w:spacing w:after="40" w:before="40"/>
      </w:pPr>
      <w:r>
        <w:rPr>
          <w:rFonts w:ascii="Arial" w:cs="Arial" w:eastAsia="Arial" w:hAnsi="Arial"/>
          <w:b w:val="false"/>
          <w:bCs w:val="false"/>
          <w:sz w:val="20"/>
          <w:szCs w:val="20"/>
        </w:rPr>
        <w:t xml:space="preserve">Verification of the provider's regulatory licences and registrations</w:t>
      </w:r>
    </w:p>
    <w:p>
      <w:pPr>
        <w:pStyle w:val="ListParagraph"/>
        <w:numPr>
          <w:ilvl w:val="0"/>
          <w:numId w:val="2"/>
        </w:numPr>
        <w:spacing w:after="40" w:before="40"/>
      </w:pPr>
      <w:r>
        <w:rPr>
          <w:rFonts w:ascii="Arial" w:cs="Arial" w:eastAsia="Arial" w:hAnsi="Arial"/>
          <w:b w:val="false"/>
          <w:bCs w:val="false"/>
          <w:sz w:val="20"/>
          <w:szCs w:val="20"/>
        </w:rPr>
        <w:t xml:space="preserve">Assessment of the provider's own AML/CTF capabilities and policies</w:t>
      </w:r>
    </w:p>
    <w:p>
      <w:pPr>
        <w:pStyle w:val="ListParagraph"/>
        <w:numPr>
          <w:ilvl w:val="0"/>
          <w:numId w:val="2"/>
        </w:numPr>
        <w:spacing w:after="40" w:before="40"/>
      </w:pPr>
      <w:r>
        <w:rPr>
          <w:rFonts w:ascii="Arial" w:cs="Arial" w:eastAsia="Arial" w:hAnsi="Arial"/>
          <w:b w:val="false"/>
          <w:bCs w:val="false"/>
          <w:sz w:val="20"/>
          <w:szCs w:val="20"/>
        </w:rPr>
        <w:t xml:space="preserve">Reputation checks including public regulatory actions or sanctions</w:t>
      </w:r>
    </w:p>
    <w:p>
      <w:pPr>
        <w:pStyle w:val="ListParagraph"/>
        <w:numPr>
          <w:ilvl w:val="0"/>
          <w:numId w:val="2"/>
        </w:numPr>
        <w:spacing w:after="40" w:before="40"/>
      </w:pPr>
      <w:r>
        <w:rPr>
          <w:rFonts w:ascii="Arial" w:cs="Arial" w:eastAsia="Arial" w:hAnsi="Arial"/>
          <w:b w:val="false"/>
          <w:bCs w:val="false"/>
          <w:sz w:val="20"/>
          <w:szCs w:val="20"/>
        </w:rPr>
        <w:t xml:space="preserve">Review of data security and privacy practices</w:t>
      </w:r>
    </w:p>
    <w:p>
      <w:pPr>
        <w:pStyle w:val="ListParagraph"/>
        <w:numPr>
          <w:ilvl w:val="0"/>
          <w:numId w:val="2"/>
        </w:numPr>
        <w:spacing w:after="40" w:before="40"/>
      </w:pPr>
      <w:r>
        <w:rPr>
          <w:rFonts w:ascii="Arial" w:cs="Arial" w:eastAsia="Arial" w:hAnsi="Arial"/>
          <w:b w:val="false"/>
          <w:bCs w:val="false"/>
          <w:sz w:val="20"/>
          <w:szCs w:val="20"/>
        </w:rPr>
        <w:t xml:space="preserve">Confirmation that written contracts are in place prior to commencement</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5.3  Contractual Requirements</w:t>
      </w:r>
    </w:p>
    <w:p>
      <w:pPr>
        <w:spacing w:after="80" w:before="60"/>
      </w:pPr>
      <w:r>
        <w:rPr>
          <w:rFonts w:ascii="Arial" w:cs="Arial" w:eastAsia="Arial" w:hAnsi="Arial"/>
          <w:sz w:val="20"/>
          <w:szCs w:val="20"/>
        </w:rPr>
        <w:t xml:space="preserve">All third-party agreements must include:</w:t>
      </w:r>
    </w:p>
    <w:p>
      <w:pPr>
        <w:pStyle w:val="ListParagraph"/>
        <w:numPr>
          <w:ilvl w:val="0"/>
          <w:numId w:val="2"/>
        </w:numPr>
        <w:spacing w:after="40" w:before="40"/>
      </w:pPr>
      <w:r>
        <w:rPr>
          <w:rFonts w:ascii="Arial" w:cs="Arial" w:eastAsia="Arial" w:hAnsi="Arial"/>
          <w:b w:val="false"/>
          <w:bCs w:val="false"/>
          <w:sz w:val="20"/>
          <w:szCs w:val="20"/>
        </w:rPr>
        <w:t xml:space="preserve">Explicit obligations to comply with applicable AML/CTF laws</w:t>
      </w:r>
    </w:p>
    <w:p>
      <w:pPr>
        <w:pStyle w:val="ListParagraph"/>
        <w:numPr>
          <w:ilvl w:val="0"/>
          <w:numId w:val="2"/>
        </w:numPr>
        <w:spacing w:after="40" w:before="40"/>
      </w:pPr>
      <w:r>
        <w:rPr>
          <w:rFonts w:ascii="Arial" w:cs="Arial" w:eastAsia="Arial" w:hAnsi="Arial"/>
          <w:b w:val="false"/>
          <w:bCs w:val="false"/>
          <w:sz w:val="20"/>
          <w:szCs w:val="20"/>
        </w:rPr>
        <w:t xml:space="preserve">Data retention and security requirements consistent with this Program</w:t>
      </w:r>
    </w:p>
    <w:p>
      <w:pPr>
        <w:pStyle w:val="ListParagraph"/>
        <w:numPr>
          <w:ilvl w:val="0"/>
          <w:numId w:val="2"/>
        </w:numPr>
        <w:spacing w:after="40" w:before="40"/>
      </w:pPr>
      <w:r>
        <w:rPr>
          <w:rFonts w:ascii="Arial" w:cs="Arial" w:eastAsia="Arial" w:hAnsi="Arial"/>
          <w:b w:val="false"/>
          <w:bCs w:val="false"/>
          <w:sz w:val="20"/>
          <w:szCs w:val="20"/>
        </w:rPr>
        <w:t xml:space="preserve">The right for AMAX GLOBAL to audit or request compliance evidence</w:t>
      </w:r>
    </w:p>
    <w:p>
      <w:pPr>
        <w:pStyle w:val="ListParagraph"/>
        <w:numPr>
          <w:ilvl w:val="0"/>
          <w:numId w:val="2"/>
        </w:numPr>
        <w:spacing w:after="40" w:before="40"/>
      </w:pPr>
      <w:r>
        <w:rPr>
          <w:rFonts w:ascii="Arial" w:cs="Arial" w:eastAsia="Arial" w:hAnsi="Arial"/>
          <w:b w:val="false"/>
          <w:bCs w:val="false"/>
          <w:sz w:val="20"/>
          <w:szCs w:val="20"/>
        </w:rPr>
        <w:t xml:space="preserve">Notification obligations in the event of a data breach or compliance failure</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5.4  Ongoing Monitoring</w:t>
      </w:r>
    </w:p>
    <w:p>
      <w:pPr>
        <w:pStyle w:val="ListParagraph"/>
        <w:numPr>
          <w:ilvl w:val="0"/>
          <w:numId w:val="2"/>
        </w:numPr>
        <w:spacing w:after="40" w:before="40"/>
      </w:pPr>
      <w:r>
        <w:rPr>
          <w:rFonts w:ascii="Arial" w:cs="Arial" w:eastAsia="Arial" w:hAnsi="Arial"/>
          <w:b w:val="false"/>
          <w:bCs w:val="false"/>
          <w:sz w:val="20"/>
          <w:szCs w:val="20"/>
        </w:rPr>
        <w:t xml:space="preserve">Annual review of each third-party provider's continued suitability</w:t>
      </w:r>
    </w:p>
    <w:p>
      <w:pPr>
        <w:pStyle w:val="ListParagraph"/>
        <w:numPr>
          <w:ilvl w:val="0"/>
          <w:numId w:val="2"/>
        </w:numPr>
        <w:spacing w:after="40" w:before="40"/>
      </w:pPr>
      <w:r>
        <w:rPr>
          <w:rFonts w:ascii="Arial" w:cs="Arial" w:eastAsia="Arial" w:hAnsi="Arial"/>
          <w:b w:val="false"/>
          <w:bCs w:val="false"/>
          <w:sz w:val="20"/>
          <w:szCs w:val="20"/>
        </w:rPr>
        <w:t xml:space="preserve">Monitoring of provider performance against contractual SLAs</w:t>
      </w:r>
    </w:p>
    <w:p>
      <w:pPr>
        <w:pStyle w:val="ListParagraph"/>
        <w:numPr>
          <w:ilvl w:val="0"/>
          <w:numId w:val="2"/>
        </w:numPr>
        <w:spacing w:after="40" w:before="40"/>
      </w:pPr>
      <w:r>
        <w:rPr>
          <w:rFonts w:ascii="Arial" w:cs="Arial" w:eastAsia="Arial" w:hAnsi="Arial"/>
          <w:b w:val="false"/>
          <w:bCs w:val="false"/>
          <w:sz w:val="20"/>
          <w:szCs w:val="20"/>
        </w:rPr>
        <w:t xml:space="preserve">Immediate escalation to Compliance Officer if a provider fails to meet obligations</w:t>
      </w:r>
    </w:p>
    <w:p>
      <w:pPr>
        <w:pStyle w:val="ListParagraph"/>
        <w:numPr>
          <w:ilvl w:val="0"/>
          <w:numId w:val="2"/>
        </w:numPr>
        <w:spacing w:after="40" w:before="40"/>
      </w:pPr>
      <w:r>
        <w:rPr>
          <w:rFonts w:ascii="Arial" w:cs="Arial" w:eastAsia="Arial" w:hAnsi="Arial"/>
          <w:b w:val="false"/>
          <w:bCs w:val="false"/>
          <w:sz w:val="20"/>
          <w:szCs w:val="20"/>
        </w:rPr>
        <w:t xml:space="preserve">Re-assessment triggered by any material change to a provider's regulatory status</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6.  Transaction Monitoring Program</w:t>
      </w:r>
    </w:p>
    <w:p>
      <w:pPr>
        <w:pStyle w:val="Heading2"/>
        <w:pBdr>
          <w:bottom w:val="single" w:color="2E75B6" w:sz="3" w:space="1"/>
        </w:pBdr>
        <w:spacing w:after="80" w:before="240"/>
      </w:pPr>
      <w:r>
        <w:rPr>
          <w:rFonts w:ascii="Arial" w:cs="Arial" w:eastAsia="Arial" w:hAnsi="Arial"/>
          <w:b/>
          <w:bCs/>
          <w:color w:val="1F4E79"/>
          <w:sz w:val="24"/>
          <w:szCs w:val="24"/>
        </w:rPr>
        <w:t xml:space="preserve">6.1  Overview</w:t>
      </w:r>
    </w:p>
    <w:p>
      <w:pPr>
        <w:spacing w:after="80" w:before="60"/>
      </w:pPr>
      <w:r>
        <w:rPr>
          <w:rFonts w:ascii="Arial" w:cs="Arial" w:eastAsia="Arial" w:hAnsi="Arial"/>
          <w:sz w:val="20"/>
          <w:szCs w:val="20"/>
        </w:rPr>
        <w:t xml:space="preserve">The business operates a transaction monitoring program designed to detect unusual or suspicious transactions that may indicate ML/TF activity. Monitoring is conducted on an ongoing basis using a rules-based system applying defined thresholds and behavioural indicators.</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6.2  Monitoring Rules and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Indicator / Rule</w:t>
            </w:r>
          </w:p>
        </w:tc>
        <w:tc>
          <w:tcPr>
            <w:tcW w:type="dxa" w:w="25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Threshold / Trigger</w:t>
            </w:r>
          </w:p>
        </w:tc>
        <w:tc>
          <w:tcPr>
            <w:tcW w:type="dxa" w:w="386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Response Required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Cash transaction &gt;= AUD $10,000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Single transaction or multiple transactions totalling $10,000+ in 24 hours by same customer</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Submit Threshold Transaction Report (TTR) to AUSTRAC within 10 business days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Structuring suspicion</w:t>
            </w:r>
          </w:p>
        </w:tc>
        <w:tc>
          <w:tcPr>
            <w:tcW w:type="dxa" w:w="2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Multiple transactions below $10,000 threshold by same customer appearing designed to avoid TTR</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Conduct manual review; submit SMR if suspicious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Anonymous or false identity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Customer requests anonymity or provides inconsistent/false information during onboarding</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Refuse service; consider SMR filing</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Transaction inconsistent with profile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Transaction amount, frequency or purpose inconsistent with customer's stated profile</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Manual review; request source of funds documentation; consider SMR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High-risk jurisdiction transfer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Transfer to/from FATF grey/black list country or high-risk corridor</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Enhanced review; ECDD applied; consider SMR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Rapid crypto-fiat conversion</w:t>
            </w:r>
          </w:p>
        </w:tc>
        <w:tc>
          <w:tcPr>
            <w:tcW w:type="dxa" w:w="2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Multiple crypto purchases immediately converted to fiat with no clear business purpose</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Manual review; request explanation; consider SMR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Crypto structuring pattern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Multiple small crypto purchases immediately followed by transfer out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Manual review; consider SMR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Sanctions / PEP match post-onboarding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Customer identified on sanctions or PEP list after account activation</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Freeze account; notify Compliance Officer immediately; consider SMR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Unusual activity spike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Abnormal increase in transaction frequency or value vs customer baseline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Automated alert; manual review within 24 hours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Unknown international beneficiary</w:t>
            </w:r>
          </w:p>
        </w:tc>
        <w:tc>
          <w:tcPr>
            <w:tcW w:type="dxa" w:w="2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International transfer to a new or unknown beneficiary above threshold</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Manual review; verify beneficiary; consider SMR</w:t>
            </w:r>
          </w:p>
        </w:tc>
      </w:tr>
    </w:tbl>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6.3  Alert Workflow and Escalation</w:t>
      </w:r>
    </w:p>
    <w:p>
      <w:pPr>
        <w:spacing w:after="80" w:before="60"/>
      </w:pPr>
      <w:r>
        <w:rPr>
          <w:rFonts w:ascii="Arial" w:cs="Arial" w:eastAsia="Arial" w:hAnsi="Arial"/>
          <w:sz w:val="20"/>
          <w:szCs w:val="20"/>
        </w:rPr>
        <w:t xml:space="preserve">All transaction monitoring alerts must be reviewed by the Compliance Officer within 24 hours. The escalation process is as follows:</w:t>
      </w:r>
    </w:p>
    <w:p>
      <w:pPr>
        <w:pStyle w:val="ListParagraph"/>
        <w:numPr>
          <w:ilvl w:val="0"/>
          <w:numId w:val="2"/>
        </w:numPr>
        <w:spacing w:after="40" w:before="40"/>
      </w:pPr>
      <w:r>
        <w:rPr>
          <w:rFonts w:ascii="Arial" w:cs="Arial" w:eastAsia="Arial" w:hAnsi="Arial"/>
          <w:b w:val="false"/>
          <w:bCs w:val="false"/>
          <w:sz w:val="20"/>
          <w:szCs w:val="20"/>
        </w:rPr>
        <w:t xml:space="preserve">Step 1 — Automated alert generated by monitoring system</w:t>
      </w:r>
    </w:p>
    <w:p>
      <w:pPr>
        <w:pStyle w:val="ListParagraph"/>
        <w:numPr>
          <w:ilvl w:val="0"/>
          <w:numId w:val="2"/>
        </w:numPr>
        <w:spacing w:after="40" w:before="40"/>
      </w:pPr>
      <w:r>
        <w:rPr>
          <w:rFonts w:ascii="Arial" w:cs="Arial" w:eastAsia="Arial" w:hAnsi="Arial"/>
          <w:b w:val="false"/>
          <w:bCs w:val="false"/>
          <w:sz w:val="20"/>
          <w:szCs w:val="20"/>
        </w:rPr>
        <w:t xml:space="preserve">Step 2 — Compliance Officer reviews alert and underlying transaction data within 24 hours</w:t>
      </w:r>
    </w:p>
    <w:p>
      <w:pPr>
        <w:pStyle w:val="ListParagraph"/>
        <w:numPr>
          <w:ilvl w:val="0"/>
          <w:numId w:val="2"/>
        </w:numPr>
        <w:spacing w:after="40" w:before="40"/>
      </w:pPr>
      <w:r>
        <w:rPr>
          <w:rFonts w:ascii="Arial" w:cs="Arial" w:eastAsia="Arial" w:hAnsi="Arial"/>
          <w:b w:val="false"/>
          <w:bCs w:val="false"/>
          <w:sz w:val="20"/>
          <w:szCs w:val="20"/>
        </w:rPr>
        <w:t xml:space="preserve">Step 3 — If resolved as false positive: document rationale and close the alert</w:t>
      </w:r>
    </w:p>
    <w:p>
      <w:pPr>
        <w:pStyle w:val="ListParagraph"/>
        <w:numPr>
          <w:ilvl w:val="0"/>
          <w:numId w:val="2"/>
        </w:numPr>
        <w:spacing w:after="40" w:before="40"/>
      </w:pPr>
      <w:r>
        <w:rPr>
          <w:rFonts w:ascii="Arial" w:cs="Arial" w:eastAsia="Arial" w:hAnsi="Arial"/>
          <w:b w:val="false"/>
          <w:bCs w:val="false"/>
          <w:sz w:val="20"/>
          <w:szCs w:val="20"/>
        </w:rPr>
        <w:t xml:space="preserve">Step 4 — If unresolved: escalate to Enhanced Review — request additional information from customer</w:t>
      </w:r>
    </w:p>
    <w:p>
      <w:pPr>
        <w:pStyle w:val="ListParagraph"/>
        <w:numPr>
          <w:ilvl w:val="0"/>
          <w:numId w:val="2"/>
        </w:numPr>
        <w:spacing w:after="40" w:before="40"/>
      </w:pPr>
      <w:r>
        <w:rPr>
          <w:rFonts w:ascii="Arial" w:cs="Arial" w:eastAsia="Arial" w:hAnsi="Arial"/>
          <w:b w:val="false"/>
          <w:bCs w:val="false"/>
          <w:sz w:val="20"/>
          <w:szCs w:val="20"/>
        </w:rPr>
        <w:t xml:space="preserve">Step 5 — If Enhanced Review confirms suspicious activity: file SMR with AUSTRAC via AUSTRAC Online within 24 hours of forming the suspicion</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6.4  Threshold Calibration and Optimisation</w:t>
      </w:r>
    </w:p>
    <w:p>
      <w:pPr>
        <w:pStyle w:val="ListParagraph"/>
        <w:numPr>
          <w:ilvl w:val="0"/>
          <w:numId w:val="2"/>
        </w:numPr>
        <w:spacing w:after="40" w:before="40"/>
      </w:pPr>
      <w:r>
        <w:rPr>
          <w:rFonts w:ascii="Arial" w:cs="Arial" w:eastAsia="Arial" w:hAnsi="Arial"/>
          <w:b w:val="false"/>
          <w:bCs w:val="false"/>
          <w:sz w:val="20"/>
          <w:szCs w:val="20"/>
        </w:rPr>
        <w:t xml:space="preserve">Monitoring rules and thresholds are reviewed quarterly by the Compliance Officer</w:t>
      </w:r>
    </w:p>
    <w:p>
      <w:pPr>
        <w:pStyle w:val="ListParagraph"/>
        <w:numPr>
          <w:ilvl w:val="0"/>
          <w:numId w:val="2"/>
        </w:numPr>
        <w:spacing w:after="40" w:before="40"/>
      </w:pPr>
      <w:r>
        <w:rPr>
          <w:rFonts w:ascii="Arial" w:cs="Arial" w:eastAsia="Arial" w:hAnsi="Arial"/>
          <w:b w:val="false"/>
          <w:bCs w:val="false"/>
          <w:sz w:val="20"/>
          <w:szCs w:val="20"/>
        </w:rPr>
        <w:t xml:space="preserve">False positive rates are tracked and documented</w:t>
      </w:r>
    </w:p>
    <w:p>
      <w:pPr>
        <w:pStyle w:val="ListParagraph"/>
        <w:numPr>
          <w:ilvl w:val="0"/>
          <w:numId w:val="2"/>
        </w:numPr>
        <w:spacing w:after="40" w:before="40"/>
      </w:pPr>
      <w:r>
        <w:rPr>
          <w:rFonts w:ascii="Arial" w:cs="Arial" w:eastAsia="Arial" w:hAnsi="Arial"/>
          <w:b w:val="false"/>
          <w:bCs w:val="false"/>
          <w:sz w:val="20"/>
          <w:szCs w:val="20"/>
        </w:rPr>
        <w:t xml:space="preserve">Rules are adjusted where high false positive rates indicate miscalibration</w:t>
      </w:r>
    </w:p>
    <w:p>
      <w:pPr>
        <w:pStyle w:val="ListParagraph"/>
        <w:numPr>
          <w:ilvl w:val="0"/>
          <w:numId w:val="2"/>
        </w:numPr>
        <w:spacing w:after="40" w:before="40"/>
      </w:pPr>
      <w:r>
        <w:rPr>
          <w:rFonts w:ascii="Arial" w:cs="Arial" w:eastAsia="Arial" w:hAnsi="Arial"/>
          <w:b w:val="false"/>
          <w:bCs w:val="false"/>
          <w:sz w:val="20"/>
          <w:szCs w:val="20"/>
        </w:rPr>
        <w:t xml:space="preserve">Any changes to rules are documented with rationale and approved by the Compliance Officer</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7.  SMR Decision Framework</w:t>
      </w:r>
    </w:p>
    <w:p>
      <w:pPr>
        <w:pStyle w:val="Heading2"/>
        <w:pBdr>
          <w:bottom w:val="single" w:color="2E75B6" w:sz="3" w:space="1"/>
        </w:pBdr>
        <w:spacing w:after="80" w:before="240"/>
      </w:pPr>
      <w:r>
        <w:rPr>
          <w:rFonts w:ascii="Arial" w:cs="Arial" w:eastAsia="Arial" w:hAnsi="Arial"/>
          <w:b/>
          <w:bCs/>
          <w:color w:val="1F4E79"/>
          <w:sz w:val="24"/>
          <w:szCs w:val="24"/>
        </w:rPr>
        <w:t xml:space="preserve">7.1  Suspicion Indicators</w:t>
      </w:r>
    </w:p>
    <w:p>
      <w:pPr>
        <w:spacing w:after="80" w:before="60"/>
      </w:pPr>
      <w:r>
        <w:rPr>
          <w:rFonts w:ascii="Arial" w:cs="Arial" w:eastAsia="Arial" w:hAnsi="Arial"/>
          <w:sz w:val="20"/>
          <w:szCs w:val="20"/>
        </w:rPr>
        <w:t xml:space="preserve">A suspicion is formed when the Compliance Officer has reasonable grounds to suspect, based on the available information, that one or more of the following applies:</w:t>
      </w:r>
    </w:p>
    <w:p>
      <w:pPr>
        <w:pStyle w:val="ListParagraph"/>
        <w:numPr>
          <w:ilvl w:val="0"/>
          <w:numId w:val="2"/>
        </w:numPr>
        <w:spacing w:after="40" w:before="40"/>
      </w:pPr>
      <w:r>
        <w:rPr>
          <w:rFonts w:ascii="Arial" w:cs="Arial" w:eastAsia="Arial" w:hAnsi="Arial"/>
          <w:b w:val="false"/>
          <w:bCs w:val="false"/>
          <w:sz w:val="20"/>
          <w:szCs w:val="20"/>
        </w:rPr>
        <w:t xml:space="preserve">A customer is not who they claim to be or has provided false identification</w:t>
      </w:r>
    </w:p>
    <w:p>
      <w:pPr>
        <w:pStyle w:val="ListParagraph"/>
        <w:numPr>
          <w:ilvl w:val="0"/>
          <w:numId w:val="2"/>
        </w:numPr>
        <w:spacing w:after="40" w:before="40"/>
      </w:pPr>
      <w:r>
        <w:rPr>
          <w:rFonts w:ascii="Arial" w:cs="Arial" w:eastAsia="Arial" w:hAnsi="Arial"/>
          <w:b w:val="false"/>
          <w:bCs w:val="false"/>
          <w:sz w:val="20"/>
          <w:szCs w:val="20"/>
        </w:rPr>
        <w:t xml:space="preserve">A transaction may involve proceeds of crime or unlawful activity</w:t>
      </w:r>
    </w:p>
    <w:p>
      <w:pPr>
        <w:pStyle w:val="ListParagraph"/>
        <w:numPr>
          <w:ilvl w:val="0"/>
          <w:numId w:val="2"/>
        </w:numPr>
        <w:spacing w:after="40" w:before="40"/>
      </w:pPr>
      <w:r>
        <w:rPr>
          <w:rFonts w:ascii="Arial" w:cs="Arial" w:eastAsia="Arial" w:hAnsi="Arial"/>
          <w:b w:val="false"/>
          <w:bCs w:val="false"/>
          <w:sz w:val="20"/>
          <w:szCs w:val="20"/>
        </w:rPr>
        <w:t xml:space="preserve">A transaction may involve financing of terrorism or proliferation</w:t>
      </w:r>
    </w:p>
    <w:p>
      <w:pPr>
        <w:pStyle w:val="ListParagraph"/>
        <w:numPr>
          <w:ilvl w:val="0"/>
          <w:numId w:val="2"/>
        </w:numPr>
        <w:spacing w:after="40" w:before="40"/>
      </w:pPr>
      <w:r>
        <w:rPr>
          <w:rFonts w:ascii="Arial" w:cs="Arial" w:eastAsia="Arial" w:hAnsi="Arial"/>
          <w:b w:val="false"/>
          <w:bCs w:val="false"/>
          <w:sz w:val="20"/>
          <w:szCs w:val="20"/>
        </w:rPr>
        <w:t xml:space="preserve">A customer is attempting to avoid reporting or compliance requirements</w:t>
      </w:r>
    </w:p>
    <w:p>
      <w:pPr>
        <w:pStyle w:val="ListParagraph"/>
        <w:numPr>
          <w:ilvl w:val="0"/>
          <w:numId w:val="2"/>
        </w:numPr>
        <w:spacing w:after="40" w:before="40"/>
      </w:pPr>
      <w:r>
        <w:rPr>
          <w:rFonts w:ascii="Arial" w:cs="Arial" w:eastAsia="Arial" w:hAnsi="Arial"/>
          <w:b w:val="false"/>
          <w:bCs w:val="false"/>
          <w:sz w:val="20"/>
          <w:szCs w:val="20"/>
        </w:rPr>
        <w:t xml:space="preserve">Transaction patterns are consistent with known ML/TF typologies</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7.2  SMR Decision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4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Documentation Required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Identify the trigger event or alert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Alert reference number, date, customer ID</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2</w:t>
            </w:r>
          </w:p>
        </w:tc>
        <w:tc>
          <w:tcPr>
            <w:tcW w:type="dxa" w:w="38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Gather supporting evidence</w:t>
            </w:r>
          </w:p>
        </w:tc>
        <w:tc>
          <w:tcPr>
            <w:tcW w:type="dxa" w:w="47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Transaction records, customer profile, KYC documents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3</w:t>
            </w:r>
          </w:p>
        </w:tc>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Compliance Officer forms suspicion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Written rationale documenting grounds for suspicion</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4</w:t>
            </w:r>
          </w:p>
        </w:tc>
        <w:tc>
          <w:tcPr>
            <w:tcW w:type="dxa" w:w="38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Decision: file SMR or close</w:t>
            </w:r>
          </w:p>
        </w:tc>
        <w:tc>
          <w:tcPr>
            <w:tcW w:type="dxa" w:w="47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SMR Internal Worksheet completed in all cases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5</w:t>
            </w:r>
          </w:p>
        </w:tc>
        <w:tc>
          <w:tcPr>
            <w:tcW w:type="dxa" w:w="3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If SMR: lodge via AUSTRAC Online within 24 hours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AUSTRAC submission reference number retained</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6</w:t>
            </w:r>
          </w:p>
        </w:tc>
        <w:tc>
          <w:tcPr>
            <w:tcW w:type="dxa" w:w="38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Maintain strict confidentiality</w:t>
            </w:r>
          </w:p>
        </w:tc>
        <w:tc>
          <w:tcPr>
            <w:tcW w:type="dxa" w:w="47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No disclosure to customer or any third party (tipping-off offence)</w:t>
            </w:r>
          </w:p>
        </w:tc>
      </w:tr>
    </w:tbl>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8.  Travel Rule — Operational Workflow</w:t>
      </w:r>
    </w:p>
    <w:p>
      <w:pPr>
        <w:pStyle w:val="Heading2"/>
        <w:pBdr>
          <w:bottom w:val="single" w:color="2E75B6" w:sz="3" w:space="1"/>
        </w:pBdr>
        <w:spacing w:after="80" w:before="240"/>
      </w:pPr>
      <w:r>
        <w:rPr>
          <w:rFonts w:ascii="Arial" w:cs="Arial" w:eastAsia="Arial" w:hAnsi="Arial"/>
          <w:b/>
          <w:bCs/>
          <w:color w:val="1F4E79"/>
          <w:sz w:val="24"/>
          <w:szCs w:val="24"/>
        </w:rPr>
        <w:t xml:space="preserve">8.1  Overview</w:t>
      </w:r>
    </w:p>
    <w:p>
      <w:pPr>
        <w:spacing w:after="80" w:before="60"/>
      </w:pPr>
      <w:r>
        <w:rPr>
          <w:rFonts w:ascii="Arial" w:cs="Arial" w:eastAsia="Arial" w:hAnsi="Arial"/>
          <w:sz w:val="20"/>
          <w:szCs w:val="20"/>
        </w:rPr>
        <w:t xml:space="preserve">From 31 March 2026, AMAX GLOBAL PTY LTD is subject to the Travel Rule obligations under the reformed AML/CTF Act. This section sets out the operational decision logic applied to all international value transfers.</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8.2  Required Information</w:t>
      </w:r>
    </w:p>
    <w:p>
      <w:pPr>
        <w:spacing w:after="80" w:before="60"/>
      </w:pPr>
      <w:r>
        <w:rPr>
          <w:rFonts w:ascii="Arial" w:cs="Arial" w:eastAsia="Arial" w:hAnsi="Arial"/>
          <w:sz w:val="20"/>
          <w:szCs w:val="20"/>
        </w:rPr>
        <w:t xml:space="preserve">For all international value transfers (both remittance and virtual asset transfers), the following information must be collected and passed to the receiving institution:</w:t>
      </w:r>
    </w:p>
    <w:p>
      <w:pPr>
        <w:pStyle w:val="ListParagraph"/>
        <w:numPr>
          <w:ilvl w:val="0"/>
          <w:numId w:val="2"/>
        </w:numPr>
        <w:spacing w:after="40" w:before="40"/>
      </w:pPr>
      <w:r>
        <w:rPr>
          <w:rFonts w:ascii="Arial" w:cs="Arial" w:eastAsia="Arial" w:hAnsi="Arial"/>
          <w:b w:val="false"/>
          <w:bCs w:val="false"/>
          <w:sz w:val="20"/>
          <w:szCs w:val="20"/>
        </w:rPr>
        <w:t xml:space="preserve">Ordering customer: full name, account or wallet address, residential address or date of birth, and national identification number or customer identification number</w:t>
      </w:r>
    </w:p>
    <w:p>
      <w:pPr>
        <w:pStyle w:val="ListParagraph"/>
        <w:numPr>
          <w:ilvl w:val="0"/>
          <w:numId w:val="2"/>
        </w:numPr>
        <w:spacing w:after="40" w:before="40"/>
      </w:pPr>
      <w:r>
        <w:rPr>
          <w:rFonts w:ascii="Arial" w:cs="Arial" w:eastAsia="Arial" w:hAnsi="Arial"/>
          <w:b w:val="false"/>
          <w:bCs w:val="false"/>
          <w:sz w:val="20"/>
          <w:szCs w:val="20"/>
        </w:rPr>
        <w:t xml:space="preserve">Beneficiary customer: full name and account or wallet address</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8.3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Scenario</w:t>
            </w:r>
          </w:p>
        </w:tc>
        <w:tc>
          <w:tcPr>
            <w:tcW w:type="dxa" w:w="3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Condition</w:t>
            </w:r>
          </w:p>
        </w:tc>
        <w:tc>
          <w:tcPr>
            <w:tcW w:type="dxa" w:w="38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System Action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Travel Rule data complete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All required sender + beneficiary data present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Proceed with transfer</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Travel Rule data missing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Required data absent or incomplete</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Reject transaction — do not process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Partial data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Some fields missing</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Hold transaction — escalate to Compliance Officer within 4 hours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Counterparty non-compliant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Receiving institution cannot receive Travel Rule data</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Enhanced review — Compliance Officer approval required before proceeding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Unhosted wallet (crypto)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Transfer to/from private/unhosted wallet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Apply enhanced scrutiny — verify wallet ownership — document decision</w:t>
            </w:r>
          </w:p>
        </w:tc>
      </w:tr>
    </w:tbl>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8.4  Provider Requirement</w:t>
      </w:r>
    </w:p>
    <w:p>
      <w:pPr>
        <w:spacing w:after="80" w:before="60"/>
      </w:pPr>
      <w:r>
        <w:rPr>
          <w:rFonts w:ascii="Arial" w:cs="Arial" w:eastAsia="Arial" w:hAnsi="Arial"/>
          <w:sz w:val="20"/>
          <w:szCs w:val="20"/>
        </w:rPr>
        <w:t xml:space="preserve">A recognised Travel Rule compliance solution must be integrated before any international virtual asset transfers are processed. The provider must be compliant with FATF Travel Rule standards. No international virtual asset transfers will be processed until this solution is operational.</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8.5  Record Retention</w:t>
      </w:r>
    </w:p>
    <w:p>
      <w:pPr>
        <w:spacing w:after="80" w:before="60"/>
      </w:pPr>
      <w:r>
        <w:rPr>
          <w:rFonts w:ascii="Arial" w:cs="Arial" w:eastAsia="Arial" w:hAnsi="Arial"/>
          <w:sz w:val="20"/>
          <w:szCs w:val="20"/>
        </w:rPr>
        <w:t xml:space="preserve">All Travel Rule information (ordering and beneficiary data) must be retained for a minimum of 7 years from the date of transfer.</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9.  AUSTRAC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Report Type</w:t>
            </w:r>
          </w:p>
        </w:tc>
        <w:tc>
          <w:tcPr>
            <w:tcW w:type="dxa" w:w="2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Trigger</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Deadline</w:t>
            </w:r>
          </w:p>
        </w:tc>
        <w:tc>
          <w:tcPr>
            <w:tcW w:type="dxa" w:w="2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Lodgement Method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Suspicious Matter Report (SMR)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Reasonable grounds to suspect ML/TF activity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Within 24 hours of forming suspicion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AUSTRAC Online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Threshold Transaction Report (TTR)</w:t>
            </w:r>
          </w:p>
        </w:tc>
        <w:tc>
          <w:tcPr>
            <w:tcW w:type="dxa" w:w="28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Cash transaction of AUD $10,000 or more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Within 10 business days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AUSTRAC Online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International Value Transfer Service (IVTS)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Every international funds transfer sent or received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As required by Rules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AUSTRAC Online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Annual Compliance Report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When requested by AUSTRAC</w:t>
            </w:r>
          </w:p>
        </w:tc>
        <w:tc>
          <w:tcPr>
            <w:tcW w:type="dxa" w:w="2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As directed by AUSTRAC</w:t>
            </w:r>
          </w:p>
        </w:tc>
        <w:tc>
          <w:tcPr>
            <w:tcW w:type="dxa" w:w="21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AUSTRAC Online</w:t>
            </w:r>
          </w:p>
        </w:tc>
      </w:tr>
    </w:tbl>
    <w:p>
      <w:pPr>
        <w:spacing w:after="80" w:before="80"/>
      </w:pPr>
      <w:r>
        <w:t xml:space="preserve"/>
      </w:r>
    </w:p>
    <w:p>
      <w:pPr>
        <w:spacing w:after="80" w:before="60"/>
      </w:pPr>
      <w:r>
        <w:rPr>
          <w:rFonts w:ascii="Arial" w:cs="Arial" w:eastAsia="Arial" w:hAnsi="Arial"/>
          <w:sz w:val="20"/>
          <w:szCs w:val="20"/>
        </w:rPr>
        <w:t xml:space="preserve">The content of any SMR must be kept strictly confidential. Disclosing to the subject of an SMR that a report has been filed constitutes a tipping-off offence under the Act.</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10.  Employee Due Diligence Program</w:t>
      </w:r>
    </w:p>
    <w:p>
      <w:pPr>
        <w:pStyle w:val="Heading2"/>
        <w:pBdr>
          <w:bottom w:val="single" w:color="2E75B6" w:sz="3" w:space="1"/>
        </w:pBdr>
        <w:spacing w:after="80" w:before="240"/>
      </w:pPr>
      <w:r>
        <w:rPr>
          <w:rFonts w:ascii="Arial" w:cs="Arial" w:eastAsia="Arial" w:hAnsi="Arial"/>
          <w:b/>
          <w:bCs/>
          <w:color w:val="1F4E79"/>
          <w:sz w:val="24"/>
          <w:szCs w:val="24"/>
        </w:rPr>
        <w:t xml:space="preserve">10.1  Pre-Employment Screening</w:t>
      </w:r>
    </w:p>
    <w:p>
      <w:pPr>
        <w:pStyle w:val="ListParagraph"/>
        <w:numPr>
          <w:ilvl w:val="0"/>
          <w:numId w:val="2"/>
        </w:numPr>
        <w:spacing w:after="40" w:before="40"/>
      </w:pPr>
      <w:r>
        <w:rPr>
          <w:rFonts w:ascii="Arial" w:cs="Arial" w:eastAsia="Arial" w:hAnsi="Arial"/>
          <w:b w:val="false"/>
          <w:bCs w:val="false"/>
          <w:sz w:val="20"/>
          <w:szCs w:val="20"/>
        </w:rPr>
        <w:t xml:space="preserve">Verify the identity of the prospective employee using government-issued ID</w:t>
      </w:r>
    </w:p>
    <w:p>
      <w:pPr>
        <w:pStyle w:val="ListParagraph"/>
        <w:numPr>
          <w:ilvl w:val="0"/>
          <w:numId w:val="2"/>
        </w:numPr>
        <w:spacing w:after="40" w:before="40"/>
      </w:pPr>
      <w:r>
        <w:rPr>
          <w:rFonts w:ascii="Arial" w:cs="Arial" w:eastAsia="Arial" w:hAnsi="Arial"/>
          <w:b w:val="false"/>
          <w:bCs w:val="false"/>
          <w:sz w:val="20"/>
          <w:szCs w:val="20"/>
        </w:rPr>
        <w:t xml:space="preserve">Conduct a national police check (or foreign equivalent for overseas applicants) issued within the last 6 months</w:t>
      </w:r>
    </w:p>
    <w:p>
      <w:pPr>
        <w:pStyle w:val="ListParagraph"/>
        <w:numPr>
          <w:ilvl w:val="0"/>
          <w:numId w:val="2"/>
        </w:numPr>
        <w:spacing w:after="40" w:before="40"/>
      </w:pPr>
      <w:r>
        <w:rPr>
          <w:rFonts w:ascii="Arial" w:cs="Arial" w:eastAsia="Arial" w:hAnsi="Arial"/>
          <w:b w:val="false"/>
          <w:bCs w:val="false"/>
          <w:sz w:val="20"/>
          <w:szCs w:val="20"/>
        </w:rPr>
        <w:t xml:space="preserve">Check references and employment history</w:t>
      </w:r>
    </w:p>
    <w:p>
      <w:pPr>
        <w:pStyle w:val="ListParagraph"/>
        <w:numPr>
          <w:ilvl w:val="0"/>
          <w:numId w:val="2"/>
        </w:numPr>
        <w:spacing w:after="40" w:before="40"/>
      </w:pPr>
      <w:r>
        <w:rPr>
          <w:rFonts w:ascii="Arial" w:cs="Arial" w:eastAsia="Arial" w:hAnsi="Arial"/>
          <w:b w:val="false"/>
          <w:bCs w:val="false"/>
          <w:sz w:val="20"/>
          <w:szCs w:val="20"/>
        </w:rPr>
        <w:t xml:space="preserve">Conduct sanctions and PEP screening</w:t>
      </w:r>
    </w:p>
    <w:p>
      <w:pPr>
        <w:pStyle w:val="ListParagraph"/>
        <w:numPr>
          <w:ilvl w:val="0"/>
          <w:numId w:val="2"/>
        </w:numPr>
        <w:spacing w:after="40" w:before="40"/>
      </w:pPr>
      <w:r>
        <w:rPr>
          <w:rFonts w:ascii="Arial" w:cs="Arial" w:eastAsia="Arial" w:hAnsi="Arial"/>
          <w:b w:val="false"/>
          <w:bCs w:val="false"/>
          <w:sz w:val="20"/>
          <w:szCs w:val="20"/>
        </w:rPr>
        <w:t xml:space="preserve">Assess whether the person's background is consistent with the role's access to financial systems and customer data</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10.2  Ongoing Employee Monitoring</w:t>
      </w:r>
    </w:p>
    <w:p>
      <w:pPr>
        <w:pStyle w:val="ListParagraph"/>
        <w:numPr>
          <w:ilvl w:val="0"/>
          <w:numId w:val="2"/>
        </w:numPr>
        <w:spacing w:after="40" w:before="40"/>
      </w:pPr>
      <w:r>
        <w:rPr>
          <w:rFonts w:ascii="Arial" w:cs="Arial" w:eastAsia="Arial" w:hAnsi="Arial"/>
          <w:b w:val="false"/>
          <w:bCs w:val="false"/>
          <w:sz w:val="20"/>
          <w:szCs w:val="20"/>
        </w:rPr>
        <w:t xml:space="preserve">Require employees to disclose any changes in circumstances that may affect their suitability</w:t>
      </w:r>
    </w:p>
    <w:p>
      <w:pPr>
        <w:pStyle w:val="ListParagraph"/>
        <w:numPr>
          <w:ilvl w:val="0"/>
          <w:numId w:val="2"/>
        </w:numPr>
        <w:spacing w:after="40" w:before="40"/>
      </w:pPr>
      <w:r>
        <w:rPr>
          <w:rFonts w:ascii="Arial" w:cs="Arial" w:eastAsia="Arial" w:hAnsi="Arial"/>
          <w:b w:val="false"/>
          <w:bCs w:val="false"/>
          <w:sz w:val="20"/>
          <w:szCs w:val="20"/>
        </w:rPr>
        <w:t xml:space="preserve">Monitor employee conduct for red flags such as unexplained wealth or resistance to oversight</w:t>
      </w:r>
    </w:p>
    <w:p>
      <w:pPr>
        <w:pStyle w:val="ListParagraph"/>
        <w:numPr>
          <w:ilvl w:val="0"/>
          <w:numId w:val="2"/>
        </w:numPr>
        <w:spacing w:after="40" w:before="40"/>
      </w:pPr>
      <w:r>
        <w:rPr>
          <w:rFonts w:ascii="Arial" w:cs="Arial" w:eastAsia="Arial" w:hAnsi="Arial"/>
          <w:b w:val="false"/>
          <w:bCs w:val="false"/>
          <w:sz w:val="20"/>
          <w:szCs w:val="20"/>
        </w:rPr>
        <w:t xml:space="preserve">Conduct periodic re-screening for employees in higher-risk roles</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11.  AML/CTF Training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Training Type</w:t>
            </w:r>
          </w:p>
        </w:tc>
        <w:tc>
          <w:tcPr>
            <w:tcW w:type="dxa" w:w="35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Frequency / Trigger</w:t>
            </w:r>
          </w:p>
        </w:tc>
        <w:tc>
          <w:tcPr>
            <w:tcW w:type="dxa" w:w="28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Audience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Induction training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Before commencing duties — all new staff</w:t>
            </w:r>
          </w:p>
        </w:tc>
        <w:tc>
          <w:tcPr>
            <w:tcW w:type="dxa" w:w="2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All new employees and contractors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Annual refresher training</w:t>
            </w:r>
          </w:p>
        </w:tc>
        <w:tc>
          <w:tcPr>
            <w:tcW w:type="dxa" w:w="3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Every 12 months</w:t>
            </w:r>
          </w:p>
        </w:tc>
        <w:tc>
          <w:tcPr>
            <w:tcW w:type="dxa" w:w="2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All staff</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Role-specific training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When staff take on new responsibilities involving designated services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Relevant staff</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Regulatory update training</w:t>
            </w:r>
          </w:p>
        </w:tc>
        <w:tc>
          <w:tcPr>
            <w:tcW w:type="dxa" w:w="3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When material changes to AML/CTF law or AUSTRAC guidance occur</w:t>
            </w:r>
          </w:p>
        </w:tc>
        <w:tc>
          <w:tcPr>
            <w:tcW w:type="dxa" w:w="2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All staff</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Incident-driven training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Following any significant compliance incident or audit finding</w:t>
            </w:r>
          </w:p>
        </w:tc>
        <w:tc>
          <w:tcPr>
            <w:tcW w:type="dxa" w:w="2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All affected staff</w:t>
            </w:r>
          </w:p>
        </w:tc>
      </w:tr>
    </w:tbl>
    <w:p>
      <w:pPr>
        <w:spacing w:after="80" w:before="80"/>
      </w:pPr>
      <w:r>
        <w:t xml:space="preserve"/>
      </w:r>
    </w:p>
    <w:p>
      <w:pPr>
        <w:spacing w:after="80" w:before="60"/>
      </w:pPr>
      <w:r>
        <w:rPr>
          <w:rFonts w:ascii="Arial" w:cs="Arial" w:eastAsia="Arial" w:hAnsi="Arial"/>
          <w:sz w:val="20"/>
          <w:szCs w:val="20"/>
        </w:rPr>
        <w:t xml:space="preserve">Training records including date, attendees, and content covered must be maintained for a minimum of 7 years.</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12.  Record Keeping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Record Type</w:t>
            </w:r>
          </w:p>
        </w:tc>
        <w:tc>
          <w:tcPr>
            <w:tcW w:type="dxa" w:w="38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Retention Period</w:t>
            </w:r>
          </w:p>
        </w:tc>
      </w:tr>
      <w:tr>
        <w:tc>
          <w:tcPr>
            <w:tcW w:type="dxa" w:w="5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Customer identification and verification documents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7 years from the end of the business relationship</w:t>
            </w:r>
          </w:p>
        </w:tc>
      </w:tr>
      <w:tr>
        <w:tc>
          <w:tcPr>
            <w:tcW w:type="dxa" w:w="5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Transaction records (all designated service transactions)</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7 years from the date of the transaction</w:t>
            </w:r>
          </w:p>
        </w:tc>
      </w:tr>
      <w:tr>
        <w:tc>
          <w:tcPr>
            <w:tcW w:type="dxa" w:w="5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TTRs, SMRs, and IVTS reports submitted to AUSTRAC</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7 years from date of submission</w:t>
            </w:r>
          </w:p>
        </w:tc>
      </w:tr>
      <w:tr>
        <w:tc>
          <w:tcPr>
            <w:tcW w:type="dxa" w:w="5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Travel Rule information (ordering and beneficiary data)</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7 years from date of transfer</w:t>
            </w:r>
          </w:p>
        </w:tc>
      </w:tr>
      <w:tr>
        <w:tc>
          <w:tcPr>
            <w:tcW w:type="dxa" w:w="5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Employee due diligence records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7 years from end of employment</w:t>
            </w:r>
          </w:p>
        </w:tc>
      </w:tr>
      <w:tr>
        <w:tc>
          <w:tcPr>
            <w:tcW w:type="dxa" w:w="5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Training records</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7 years from date of training</w:t>
            </w:r>
          </w:p>
        </w:tc>
      </w:tr>
      <w:tr>
        <w:tc>
          <w:tcPr>
            <w:tcW w:type="dxa" w:w="5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AML/CTF Program and all versions/amendments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7 years from date of each version</w:t>
            </w:r>
          </w:p>
        </w:tc>
      </w:tr>
      <w:tr>
        <w:tc>
          <w:tcPr>
            <w:tcW w:type="dxa" w:w="5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Transaction monitoring alerts and review outcomes</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7 years from date of alert</w:t>
            </w:r>
          </w:p>
        </w:tc>
      </w:tr>
      <w:tr>
        <w:tc>
          <w:tcPr>
            <w:tcW w:type="dxa" w:w="5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Independent review reports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7 years from date of report</w:t>
            </w:r>
          </w:p>
        </w:tc>
      </w:tr>
      <w:tr>
        <w:tc>
          <w:tcPr>
            <w:tcW w:type="dxa" w:w="5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SMR internal worksheets and case documentation</w:t>
            </w:r>
          </w:p>
        </w:tc>
        <w:tc>
          <w:tcPr>
            <w:tcW w:type="dxa" w:w="3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7 years from date of decision</w:t>
            </w:r>
          </w:p>
        </w:tc>
      </w:tr>
    </w:tbl>
    <w:p>
      <w:pPr>
        <w:spacing w:after="80" w:before="80"/>
      </w:pPr>
      <w:r>
        <w:t xml:space="preserve"/>
      </w:r>
    </w:p>
    <w:p>
      <w:pPr>
        <w:spacing w:after="80" w:before="60"/>
      </w:pPr>
      <w:r>
        <w:rPr>
          <w:rFonts w:ascii="Arial" w:cs="Arial" w:eastAsia="Arial" w:hAnsi="Arial"/>
          <w:sz w:val="20"/>
          <w:szCs w:val="20"/>
        </w:rPr>
        <w:t xml:space="preserve">Records must be stored securely, be readily retrievable, and be capable of being provided to AUSTRAC within a reasonable timeframe upon request. Digital records must be backed up and protected against loss, corruption or unauthorised access.</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13.  Independent Review</w:t>
      </w:r>
    </w:p>
    <w:p>
      <w:pPr>
        <w:spacing w:after="80" w:before="60"/>
      </w:pPr>
      <w:r>
        <w:rPr>
          <w:rFonts w:ascii="Arial" w:cs="Arial" w:eastAsia="Arial" w:hAnsi="Arial"/>
          <w:sz w:val="20"/>
          <w:szCs w:val="20"/>
        </w:rPr>
        <w:t xml:space="preserve">The business will commission an independent review of this AML/CTF Program at least once every 2 years, or more frequently if: AUSTRAC requests a review; there is a significant change to the business model or services; a significant compliance incident occurs; or there is material new AUSTRAC guidance or regulatory change.</w:t>
      </w:r>
    </w:p>
    <w:p>
      <w:pPr>
        <w:spacing w:after="80" w:before="60"/>
      </w:pPr>
      <w:r>
        <w:rPr>
          <w:rFonts w:ascii="Arial" w:cs="Arial" w:eastAsia="Arial" w:hAnsi="Arial"/>
          <w:sz w:val="20"/>
          <w:szCs w:val="20"/>
        </w:rPr>
        <w:t xml:space="preserve">The independent reviewer must be independent of the business and have appropriate expertise in AML/CTF compliance. Results must be reported to the Director and used to improve the Program.</w:t>
      </w:r>
    </w:p>
    <w:p>
      <w:pPr>
        <w:spacing w:after="80" w:before="80"/>
      </w:pPr>
      <w:r>
        <w:t xml:space="preserve"/>
      </w:r>
    </w:p>
    <w:p>
      <w:r>
        <w:br w:type="page"/>
      </w:r>
    </w:p>
    <w:p>
      <w:pPr>
        <w:shd w:fill="1F4E79" w:val="clear"/>
        <w:spacing w:after="240" w:before="240"/>
        <w:jc w:val="center"/>
      </w:pPr>
      <w:r>
        <w:rPr>
          <w:rFonts w:ascii="Arial" w:cs="Arial" w:eastAsia="Arial" w:hAnsi="Arial"/>
          <w:b/>
          <w:bCs/>
          <w:color w:val="FFFFFF"/>
          <w:sz w:val="32"/>
          <w:szCs w:val="32"/>
        </w:rPr>
        <w:t xml:space="preserve">PART B — CUSTOMER IDENTIFICATION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D6E4F0" w:val="clear"/>
            <w:tcMar>
              <w:top w:type="dxa" w:w="120"/>
              <w:left w:type="dxa" w:w="180"/>
              <w:bottom w:type="dxa" w:w="120"/>
              <w:right w:type="dxa" w:w="180"/>
            </w:tcMar>
          </w:tcPr>
          <w:p>
            <w:r>
              <w:rPr>
                <w:rFonts w:ascii="Arial" w:cs="Arial" w:eastAsia="Arial" w:hAnsi="Arial"/>
                <w:i/>
                <w:iCs/>
                <w:color w:val="1F4E79"/>
                <w:sz w:val="20"/>
                <w:szCs w:val="20"/>
              </w:rPr>
              <w:t xml:space="preserve">Part B sets out the procedures used by AMAX GLOBAL PTY LTD to identify and verify the identity of customers before providing designated services, in accordance with the AML/CTF Act 2006 and AML/CTF Rules 2025.</w:t>
            </w:r>
          </w:p>
        </w:tc>
      </w:tr>
    </w:tbl>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14.  Customer Due Diligence (CDD) — Overview</w:t>
      </w:r>
    </w:p>
    <w:p>
      <w:pPr>
        <w:spacing w:after="80" w:before="60"/>
      </w:pPr>
      <w:r>
        <w:rPr>
          <w:rFonts w:ascii="Arial" w:cs="Arial" w:eastAsia="Arial" w:hAnsi="Arial"/>
          <w:sz w:val="20"/>
          <w:szCs w:val="20"/>
        </w:rPr>
        <w:t xml:space="preserve">The business applies a risk-based approach to customer due diligence. All customers must be identified and verified before the business provides a designated service. The level of due diligence applied is commensurate with the assessed risk of the customer and the transaction.</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15.  Standard CDD — Individual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Information Required</w:t>
            </w:r>
          </w:p>
        </w:tc>
        <w:tc>
          <w:tcPr>
            <w:tcW w:type="dxa" w:w="58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Acceptable Verification Documents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Full legal name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Government-issued photo ID (passport, driver's licence, national ID card)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Date of birth</w:t>
            </w:r>
          </w:p>
        </w:tc>
        <w:tc>
          <w:tcPr>
            <w:tcW w:type="dxa" w:w="5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Same as above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Residential address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Utility bill, bank statement, or government correspondence (issued within 3 months)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Nationality / country of residence</w:t>
            </w:r>
          </w:p>
        </w:tc>
        <w:tc>
          <w:tcPr>
            <w:tcW w:type="dxa" w:w="58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Passport or national ID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Contact details (phone/email)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Customer declaration, verified by OTP or email confirmation</w:t>
            </w:r>
          </w:p>
        </w:tc>
      </w:tr>
    </w:tbl>
    <w:p>
      <w:pPr>
        <w:spacing w:after="80" w:before="80"/>
      </w:pPr>
      <w:r>
        <w:t xml:space="preserve"/>
      </w:r>
    </w:p>
    <w:p>
      <w:pPr>
        <w:spacing w:after="80" w:before="60"/>
      </w:pPr>
      <w:r>
        <w:rPr>
          <w:rFonts w:ascii="Arial" w:cs="Arial" w:eastAsia="Arial" w:hAnsi="Arial"/>
          <w:sz w:val="20"/>
          <w:szCs w:val="20"/>
        </w:rPr>
        <w:t xml:space="preserve">Verification must be performed using at least one of:</w:t>
      </w:r>
    </w:p>
    <w:p>
      <w:pPr>
        <w:pStyle w:val="ListParagraph"/>
        <w:numPr>
          <w:ilvl w:val="0"/>
          <w:numId w:val="2"/>
        </w:numPr>
        <w:spacing w:after="40" w:before="40"/>
      </w:pPr>
      <w:r>
        <w:rPr>
          <w:rFonts w:ascii="Arial" w:cs="Arial" w:eastAsia="Arial" w:hAnsi="Arial"/>
          <w:b w:val="false"/>
          <w:bCs w:val="false"/>
          <w:sz w:val="20"/>
          <w:szCs w:val="20"/>
        </w:rPr>
        <w:t xml:space="preserve">Document verification — sighting original or certified copy of government-issued ID</w:t>
      </w:r>
    </w:p>
    <w:p>
      <w:pPr>
        <w:pStyle w:val="ListParagraph"/>
        <w:numPr>
          <w:ilvl w:val="0"/>
          <w:numId w:val="2"/>
        </w:numPr>
        <w:spacing w:after="40" w:before="40"/>
      </w:pPr>
      <w:r>
        <w:rPr>
          <w:rFonts w:ascii="Arial" w:cs="Arial" w:eastAsia="Arial" w:hAnsi="Arial"/>
          <w:b w:val="false"/>
          <w:bCs w:val="false"/>
          <w:sz w:val="20"/>
          <w:szCs w:val="20"/>
        </w:rPr>
        <w:t xml:space="preserve">Electronic verification — using an approved third-party identity verification service (e.g. GreenID, Veriff, or equivalent) that checks against government records, credit bureau data, and/or biometric matching</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16.  Standard CDD — Business / Corporate Customers</w:t>
      </w:r>
    </w:p>
    <w:p>
      <w:pPr>
        <w:pStyle w:val="ListParagraph"/>
        <w:numPr>
          <w:ilvl w:val="0"/>
          <w:numId w:val="2"/>
        </w:numPr>
        <w:spacing w:after="40" w:before="40"/>
      </w:pPr>
      <w:r>
        <w:rPr>
          <w:rFonts w:ascii="Arial" w:cs="Arial" w:eastAsia="Arial" w:hAnsi="Arial"/>
          <w:b w:val="false"/>
          <w:bCs w:val="false"/>
          <w:sz w:val="20"/>
          <w:szCs w:val="20"/>
        </w:rPr>
        <w:t xml:space="preserve">Full legal name and registered trading name of the entity</w:t>
      </w:r>
    </w:p>
    <w:p>
      <w:pPr>
        <w:pStyle w:val="ListParagraph"/>
        <w:numPr>
          <w:ilvl w:val="0"/>
          <w:numId w:val="2"/>
        </w:numPr>
        <w:spacing w:after="40" w:before="40"/>
      </w:pPr>
      <w:r>
        <w:rPr>
          <w:rFonts w:ascii="Arial" w:cs="Arial" w:eastAsia="Arial" w:hAnsi="Arial"/>
          <w:b w:val="false"/>
          <w:bCs w:val="false"/>
          <w:sz w:val="20"/>
          <w:szCs w:val="20"/>
        </w:rPr>
        <w:t xml:space="preserve">ACN / ABN / registration number and jurisdiction of registration</w:t>
      </w:r>
    </w:p>
    <w:p>
      <w:pPr>
        <w:pStyle w:val="ListParagraph"/>
        <w:numPr>
          <w:ilvl w:val="0"/>
          <w:numId w:val="2"/>
        </w:numPr>
        <w:spacing w:after="40" w:before="40"/>
      </w:pPr>
      <w:r>
        <w:rPr>
          <w:rFonts w:ascii="Arial" w:cs="Arial" w:eastAsia="Arial" w:hAnsi="Arial"/>
          <w:b w:val="false"/>
          <w:bCs w:val="false"/>
          <w:sz w:val="20"/>
          <w:szCs w:val="20"/>
        </w:rPr>
        <w:t xml:space="preserve">Registered business address</w:t>
      </w:r>
    </w:p>
    <w:p>
      <w:pPr>
        <w:pStyle w:val="ListParagraph"/>
        <w:numPr>
          <w:ilvl w:val="0"/>
          <w:numId w:val="2"/>
        </w:numPr>
        <w:spacing w:after="40" w:before="40"/>
      </w:pPr>
      <w:r>
        <w:rPr>
          <w:rFonts w:ascii="Arial" w:cs="Arial" w:eastAsia="Arial" w:hAnsi="Arial"/>
          <w:b w:val="false"/>
          <w:bCs w:val="false"/>
          <w:sz w:val="20"/>
          <w:szCs w:val="20"/>
        </w:rPr>
        <w:t xml:space="preserve">Nature and purpose of the business</w:t>
      </w:r>
    </w:p>
    <w:p>
      <w:pPr>
        <w:pStyle w:val="ListParagraph"/>
        <w:numPr>
          <w:ilvl w:val="0"/>
          <w:numId w:val="2"/>
        </w:numPr>
        <w:spacing w:after="40" w:before="40"/>
      </w:pPr>
      <w:r>
        <w:rPr>
          <w:rFonts w:ascii="Arial" w:cs="Arial" w:eastAsia="Arial" w:hAnsi="Arial"/>
          <w:b w:val="false"/>
          <w:bCs w:val="false"/>
          <w:sz w:val="20"/>
          <w:szCs w:val="20"/>
        </w:rPr>
        <w:t xml:space="preserve">Names and verification of directors and any beneficial owners with 25%+ ownership or control</w:t>
      </w:r>
    </w:p>
    <w:p>
      <w:pPr>
        <w:pStyle w:val="ListParagraph"/>
        <w:numPr>
          <w:ilvl w:val="0"/>
          <w:numId w:val="2"/>
        </w:numPr>
        <w:spacing w:after="40" w:before="40"/>
      </w:pPr>
      <w:r>
        <w:rPr>
          <w:rFonts w:ascii="Arial" w:cs="Arial" w:eastAsia="Arial" w:hAnsi="Arial"/>
          <w:b w:val="false"/>
          <w:bCs w:val="false"/>
          <w:sz w:val="20"/>
          <w:szCs w:val="20"/>
        </w:rPr>
        <w:t xml:space="preserve">ASIC company extract or equivalent for foreign entities</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17.  Enhanced Customer Due Diligence (ECDD)</w:t>
      </w:r>
    </w:p>
    <w:p>
      <w:pPr>
        <w:pStyle w:val="Heading2"/>
        <w:pBdr>
          <w:bottom w:val="single" w:color="2E75B6" w:sz="3" w:space="1"/>
        </w:pBdr>
        <w:spacing w:after="80" w:before="240"/>
      </w:pPr>
      <w:r>
        <w:rPr>
          <w:rFonts w:ascii="Arial" w:cs="Arial" w:eastAsia="Arial" w:hAnsi="Arial"/>
          <w:b/>
          <w:bCs/>
          <w:color w:val="1F4E79"/>
          <w:sz w:val="24"/>
          <w:szCs w:val="24"/>
        </w:rPr>
        <w:t xml:space="preserve">17.1  Triggers for ECDD</w:t>
      </w:r>
    </w:p>
    <w:p>
      <w:pPr>
        <w:pStyle w:val="ListParagraph"/>
        <w:numPr>
          <w:ilvl w:val="0"/>
          <w:numId w:val="2"/>
        </w:numPr>
        <w:spacing w:after="40" w:before="40"/>
      </w:pPr>
      <w:r>
        <w:rPr>
          <w:rFonts w:ascii="Arial" w:cs="Arial" w:eastAsia="Arial" w:hAnsi="Arial"/>
          <w:b w:val="false"/>
          <w:bCs w:val="false"/>
          <w:sz w:val="20"/>
          <w:szCs w:val="20"/>
        </w:rPr>
        <w:t xml:space="preserve">The customer is identified as a Politically Exposed Person (PEP) or close associate of a PEP</w:t>
      </w:r>
    </w:p>
    <w:p>
      <w:pPr>
        <w:pStyle w:val="ListParagraph"/>
        <w:numPr>
          <w:ilvl w:val="0"/>
          <w:numId w:val="2"/>
        </w:numPr>
        <w:spacing w:after="40" w:before="40"/>
      </w:pPr>
      <w:r>
        <w:rPr>
          <w:rFonts w:ascii="Arial" w:cs="Arial" w:eastAsia="Arial" w:hAnsi="Arial"/>
          <w:b w:val="false"/>
          <w:bCs w:val="false"/>
          <w:sz w:val="20"/>
          <w:szCs w:val="20"/>
        </w:rPr>
        <w:t xml:space="preserve">The customer resides in or sends funds to/from a FATF-listed high-risk or monitored jurisdiction</w:t>
      </w:r>
    </w:p>
    <w:p>
      <w:pPr>
        <w:pStyle w:val="ListParagraph"/>
        <w:numPr>
          <w:ilvl w:val="0"/>
          <w:numId w:val="2"/>
        </w:numPr>
        <w:spacing w:after="40" w:before="40"/>
      </w:pPr>
      <w:r>
        <w:rPr>
          <w:rFonts w:ascii="Arial" w:cs="Arial" w:eastAsia="Arial" w:hAnsi="Arial"/>
          <w:b w:val="false"/>
          <w:bCs w:val="false"/>
          <w:sz w:val="20"/>
          <w:szCs w:val="20"/>
        </w:rPr>
        <w:t xml:space="preserve">The transaction involves unusually large amounts inconsistent with the customer's profile</w:t>
      </w:r>
    </w:p>
    <w:p>
      <w:pPr>
        <w:pStyle w:val="ListParagraph"/>
        <w:numPr>
          <w:ilvl w:val="0"/>
          <w:numId w:val="2"/>
        </w:numPr>
        <w:spacing w:after="40" w:before="40"/>
      </w:pPr>
      <w:r>
        <w:rPr>
          <w:rFonts w:ascii="Arial" w:cs="Arial" w:eastAsia="Arial" w:hAnsi="Arial"/>
          <w:b w:val="false"/>
          <w:bCs w:val="false"/>
          <w:sz w:val="20"/>
          <w:szCs w:val="20"/>
        </w:rPr>
        <w:t xml:space="preserve">Automated transaction monitoring generates a risk alert for the customer</w:t>
      </w:r>
    </w:p>
    <w:p>
      <w:pPr>
        <w:pStyle w:val="ListParagraph"/>
        <w:numPr>
          <w:ilvl w:val="0"/>
          <w:numId w:val="2"/>
        </w:numPr>
        <w:spacing w:after="40" w:before="40"/>
      </w:pPr>
      <w:r>
        <w:rPr>
          <w:rFonts w:ascii="Arial" w:cs="Arial" w:eastAsia="Arial" w:hAnsi="Arial"/>
          <w:b w:val="false"/>
          <w:bCs w:val="false"/>
          <w:sz w:val="20"/>
          <w:szCs w:val="20"/>
        </w:rPr>
        <w:t xml:space="preserve">The customer requests anonymity or provides inconsistent information during onboarding</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17.2  ECDD Measures</w:t>
      </w:r>
    </w:p>
    <w:p>
      <w:pPr>
        <w:pStyle w:val="ListParagraph"/>
        <w:numPr>
          <w:ilvl w:val="0"/>
          <w:numId w:val="2"/>
        </w:numPr>
        <w:spacing w:after="40" w:before="40"/>
      </w:pPr>
      <w:r>
        <w:rPr>
          <w:rFonts w:ascii="Arial" w:cs="Arial" w:eastAsia="Arial" w:hAnsi="Arial"/>
          <w:b w:val="false"/>
          <w:bCs w:val="false"/>
          <w:sz w:val="20"/>
          <w:szCs w:val="20"/>
        </w:rPr>
        <w:t xml:space="preserve">Senior management approval for the business relationship</w:t>
      </w:r>
    </w:p>
    <w:p>
      <w:pPr>
        <w:pStyle w:val="ListParagraph"/>
        <w:numPr>
          <w:ilvl w:val="0"/>
          <w:numId w:val="2"/>
        </w:numPr>
        <w:spacing w:after="40" w:before="40"/>
      </w:pPr>
      <w:r>
        <w:rPr>
          <w:rFonts w:ascii="Arial" w:cs="Arial" w:eastAsia="Arial" w:hAnsi="Arial"/>
          <w:b w:val="false"/>
          <w:bCs w:val="false"/>
          <w:sz w:val="20"/>
          <w:szCs w:val="20"/>
        </w:rPr>
        <w:t xml:space="preserve">Source of wealth and source of funds verification</w:t>
      </w:r>
    </w:p>
    <w:p>
      <w:pPr>
        <w:pStyle w:val="ListParagraph"/>
        <w:numPr>
          <w:ilvl w:val="0"/>
          <w:numId w:val="2"/>
        </w:numPr>
        <w:spacing w:after="40" w:before="40"/>
      </w:pPr>
      <w:r>
        <w:rPr>
          <w:rFonts w:ascii="Arial" w:cs="Arial" w:eastAsia="Arial" w:hAnsi="Arial"/>
          <w:b w:val="false"/>
          <w:bCs w:val="false"/>
          <w:sz w:val="20"/>
          <w:szCs w:val="20"/>
        </w:rPr>
        <w:t xml:space="preserve">More frequent transaction monitoring and review</w:t>
      </w:r>
    </w:p>
    <w:p>
      <w:pPr>
        <w:pStyle w:val="ListParagraph"/>
        <w:numPr>
          <w:ilvl w:val="0"/>
          <w:numId w:val="2"/>
        </w:numPr>
        <w:spacing w:after="40" w:before="40"/>
      </w:pPr>
      <w:r>
        <w:rPr>
          <w:rFonts w:ascii="Arial" w:cs="Arial" w:eastAsia="Arial" w:hAnsi="Arial"/>
          <w:b w:val="false"/>
          <w:bCs w:val="false"/>
          <w:sz w:val="20"/>
          <w:szCs w:val="20"/>
        </w:rPr>
        <w:t xml:space="preserve">Ongoing enhanced scrutiny of the business relationship</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18.  Politically Exposed Persons (PEPs)</w:t>
      </w:r>
    </w:p>
    <w:p>
      <w:pPr>
        <w:spacing w:after="80" w:before="60"/>
      </w:pPr>
      <w:r>
        <w:rPr>
          <w:rFonts w:ascii="Arial" w:cs="Arial" w:eastAsia="Arial" w:hAnsi="Arial"/>
          <w:sz w:val="20"/>
          <w:szCs w:val="20"/>
        </w:rPr>
        <w:t xml:space="preserve">The business will screen all customers against PEP lists at onboarding and on an ongoing basis. If a customer is identified as a PEP or close associate:</w:t>
      </w:r>
    </w:p>
    <w:p>
      <w:pPr>
        <w:pStyle w:val="ListParagraph"/>
        <w:numPr>
          <w:ilvl w:val="0"/>
          <w:numId w:val="2"/>
        </w:numPr>
        <w:spacing w:after="40" w:before="40"/>
      </w:pPr>
      <w:r>
        <w:rPr>
          <w:rFonts w:ascii="Arial" w:cs="Arial" w:eastAsia="Arial" w:hAnsi="Arial"/>
          <w:b w:val="false"/>
          <w:bCs w:val="false"/>
          <w:sz w:val="20"/>
          <w:szCs w:val="20"/>
        </w:rPr>
        <w:t xml:space="preserve">The Compliance Officer must be notified immediately</w:t>
      </w:r>
    </w:p>
    <w:p>
      <w:pPr>
        <w:pStyle w:val="ListParagraph"/>
        <w:numPr>
          <w:ilvl w:val="0"/>
          <w:numId w:val="2"/>
        </w:numPr>
        <w:spacing w:after="40" w:before="40"/>
      </w:pPr>
      <w:r>
        <w:rPr>
          <w:rFonts w:ascii="Arial" w:cs="Arial" w:eastAsia="Arial" w:hAnsi="Arial"/>
          <w:b w:val="false"/>
          <w:bCs w:val="false"/>
          <w:sz w:val="20"/>
          <w:szCs w:val="20"/>
        </w:rPr>
        <w:t xml:space="preserve">ECDD procedures must be applied</w:t>
      </w:r>
    </w:p>
    <w:p>
      <w:pPr>
        <w:pStyle w:val="ListParagraph"/>
        <w:numPr>
          <w:ilvl w:val="0"/>
          <w:numId w:val="2"/>
        </w:numPr>
        <w:spacing w:after="40" w:before="40"/>
      </w:pPr>
      <w:r>
        <w:rPr>
          <w:rFonts w:ascii="Arial" w:cs="Arial" w:eastAsia="Arial" w:hAnsi="Arial"/>
          <w:b w:val="false"/>
          <w:bCs w:val="false"/>
          <w:sz w:val="20"/>
          <w:szCs w:val="20"/>
        </w:rPr>
        <w:t xml:space="preserve">Senior management approval is required before providing services</w:t>
      </w:r>
    </w:p>
    <w:p>
      <w:pPr>
        <w:pStyle w:val="ListParagraph"/>
        <w:numPr>
          <w:ilvl w:val="0"/>
          <w:numId w:val="2"/>
        </w:numPr>
        <w:spacing w:after="40" w:before="40"/>
      </w:pPr>
      <w:r>
        <w:rPr>
          <w:rFonts w:ascii="Arial" w:cs="Arial" w:eastAsia="Arial" w:hAnsi="Arial"/>
          <w:b w:val="false"/>
          <w:bCs w:val="false"/>
          <w:sz w:val="20"/>
          <w:szCs w:val="20"/>
        </w:rPr>
        <w:t xml:space="preserve">The business relationship is subject to enhanced ongoing monitoring</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19.  Sanctions Screening</w:t>
      </w:r>
    </w:p>
    <w:p>
      <w:pPr>
        <w:spacing w:after="80" w:before="60"/>
      </w:pPr>
      <w:r>
        <w:rPr>
          <w:rFonts w:ascii="Arial" w:cs="Arial" w:eastAsia="Arial" w:hAnsi="Arial"/>
          <w:sz w:val="20"/>
          <w:szCs w:val="20"/>
        </w:rPr>
        <w:t xml:space="preserve">The business will screen all customers and beneficial owners against the following lists at onboarding and on an ongoing basis:</w:t>
      </w:r>
    </w:p>
    <w:p>
      <w:pPr>
        <w:pStyle w:val="ListParagraph"/>
        <w:numPr>
          <w:ilvl w:val="0"/>
          <w:numId w:val="2"/>
        </w:numPr>
        <w:spacing w:after="40" w:before="40"/>
      </w:pPr>
      <w:r>
        <w:rPr>
          <w:rFonts w:ascii="Arial" w:cs="Arial" w:eastAsia="Arial" w:hAnsi="Arial"/>
          <w:b w:val="false"/>
          <w:bCs w:val="false"/>
          <w:sz w:val="20"/>
          <w:szCs w:val="20"/>
        </w:rPr>
        <w:t xml:space="preserve">Australian sanctions lists maintained by the Department of Foreign Affairs and Trade (DFAT)</w:t>
      </w:r>
    </w:p>
    <w:p>
      <w:pPr>
        <w:pStyle w:val="ListParagraph"/>
        <w:numPr>
          <w:ilvl w:val="0"/>
          <w:numId w:val="2"/>
        </w:numPr>
        <w:spacing w:after="40" w:before="40"/>
      </w:pPr>
      <w:r>
        <w:rPr>
          <w:rFonts w:ascii="Arial" w:cs="Arial" w:eastAsia="Arial" w:hAnsi="Arial"/>
          <w:b w:val="false"/>
          <w:bCs w:val="false"/>
          <w:sz w:val="20"/>
          <w:szCs w:val="20"/>
        </w:rPr>
        <w:t xml:space="preserve">United Nations Security Council consolidated sanctions list</w:t>
      </w:r>
    </w:p>
    <w:p>
      <w:pPr>
        <w:pStyle w:val="ListParagraph"/>
        <w:numPr>
          <w:ilvl w:val="0"/>
          <w:numId w:val="2"/>
        </w:numPr>
        <w:spacing w:after="40" w:before="40"/>
      </w:pPr>
      <w:r>
        <w:rPr>
          <w:rFonts w:ascii="Arial" w:cs="Arial" w:eastAsia="Arial" w:hAnsi="Arial"/>
          <w:b w:val="false"/>
          <w:bCs w:val="false"/>
          <w:sz w:val="20"/>
          <w:szCs w:val="20"/>
        </w:rPr>
        <w:t xml:space="preserve">OFAC SDN list (where applicable to international transfers)</w:t>
      </w:r>
    </w:p>
    <w:p>
      <w:pPr>
        <w:spacing w:after="80" w:before="60"/>
      </w:pPr>
      <w:r>
        <w:rPr>
          <w:rFonts w:ascii="Arial" w:cs="Arial" w:eastAsia="Arial" w:hAnsi="Arial"/>
          <w:sz w:val="20"/>
          <w:szCs w:val="20"/>
        </w:rPr>
        <w:t xml:space="preserve">No services will be provided to sanctioned persons or entities. Screening will occur upon sanctions list updates and triggering events such as unusual transaction patterns or changes in customer risk profile.</w:t>
      </w:r>
    </w:p>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20.  Ongoing Customer Due Diligence</w:t>
      </w:r>
    </w:p>
    <w:p>
      <w:pPr>
        <w:pStyle w:val="ListParagraph"/>
        <w:numPr>
          <w:ilvl w:val="0"/>
          <w:numId w:val="2"/>
        </w:numPr>
        <w:spacing w:after="40" w:before="40"/>
      </w:pPr>
      <w:r>
        <w:rPr>
          <w:rFonts w:ascii="Arial" w:cs="Arial" w:eastAsia="Arial" w:hAnsi="Arial"/>
          <w:b w:val="false"/>
          <w:bCs w:val="false"/>
          <w:sz w:val="20"/>
          <w:szCs w:val="20"/>
        </w:rPr>
        <w:t xml:space="preserve">Regular review of customer information to ensure it remains current and accurate</w:t>
      </w:r>
    </w:p>
    <w:p>
      <w:pPr>
        <w:pStyle w:val="ListParagraph"/>
        <w:numPr>
          <w:ilvl w:val="0"/>
          <w:numId w:val="2"/>
        </w:numPr>
        <w:spacing w:after="40" w:before="40"/>
      </w:pPr>
      <w:r>
        <w:rPr>
          <w:rFonts w:ascii="Arial" w:cs="Arial" w:eastAsia="Arial" w:hAnsi="Arial"/>
          <w:b w:val="false"/>
          <w:bCs w:val="false"/>
          <w:sz w:val="20"/>
          <w:szCs w:val="20"/>
        </w:rPr>
        <w:t xml:space="preserve">Re-verification of customer identity when information becomes stale or a risk trigger occurs</w:t>
      </w:r>
    </w:p>
    <w:p>
      <w:pPr>
        <w:pStyle w:val="ListParagraph"/>
        <w:numPr>
          <w:ilvl w:val="0"/>
          <w:numId w:val="2"/>
        </w:numPr>
        <w:spacing w:after="40" w:before="40"/>
      </w:pPr>
      <w:r>
        <w:rPr>
          <w:rFonts w:ascii="Arial" w:cs="Arial" w:eastAsia="Arial" w:hAnsi="Arial"/>
          <w:b w:val="false"/>
          <w:bCs w:val="false"/>
          <w:sz w:val="20"/>
          <w:szCs w:val="20"/>
        </w:rPr>
        <w:t xml:space="preserve">Transaction monitoring to identify unusual or suspicious patterns</w:t>
      </w:r>
    </w:p>
    <w:p>
      <w:pPr>
        <w:pStyle w:val="ListParagraph"/>
        <w:numPr>
          <w:ilvl w:val="0"/>
          <w:numId w:val="2"/>
        </w:numPr>
        <w:spacing w:after="40" w:before="40"/>
      </w:pPr>
      <w:r>
        <w:rPr>
          <w:rFonts w:ascii="Arial" w:cs="Arial" w:eastAsia="Arial" w:hAnsi="Arial"/>
          <w:b w:val="false"/>
          <w:bCs w:val="false"/>
          <w:sz w:val="20"/>
          <w:szCs w:val="20"/>
        </w:rPr>
        <w:t xml:space="preserve">Annual review of higher-risk customers</w:t>
      </w:r>
    </w:p>
    <w:p>
      <w:pPr>
        <w:spacing w:after="80" w:before="80"/>
      </w:pPr>
      <w:r>
        <w:t xml:space="preserve"/>
      </w:r>
    </w:p>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21.  Program Review and Version History</w:t>
      </w:r>
    </w:p>
    <w:p>
      <w:pPr>
        <w:pStyle w:val="Heading2"/>
        <w:pBdr>
          <w:bottom w:val="single" w:color="2E75B6" w:sz="3" w:space="1"/>
        </w:pBdr>
        <w:spacing w:after="80" w:before="240"/>
      </w:pPr>
      <w:r>
        <w:rPr>
          <w:rFonts w:ascii="Arial" w:cs="Arial" w:eastAsia="Arial" w:hAnsi="Arial"/>
          <w:b/>
          <w:bCs/>
          <w:color w:val="1F4E79"/>
          <w:sz w:val="24"/>
          <w:szCs w:val="24"/>
        </w:rPr>
        <w:t xml:space="preserve">21.1  Review Schedule</w:t>
      </w:r>
    </w:p>
    <w:p>
      <w:pPr>
        <w:spacing w:after="80" w:before="60"/>
      </w:pPr>
      <w:r>
        <w:rPr>
          <w:rFonts w:ascii="Arial" w:cs="Arial" w:eastAsia="Arial" w:hAnsi="Arial"/>
          <w:sz w:val="20"/>
          <w:szCs w:val="20"/>
        </w:rPr>
        <w:t xml:space="preserve">The AML/CTF Compliance Officer is responsible for initiating and overseeing the annual review of this Program. The Program will be reviewed at least annually and updated when:</w:t>
      </w:r>
    </w:p>
    <w:p>
      <w:pPr>
        <w:pStyle w:val="ListParagraph"/>
        <w:numPr>
          <w:ilvl w:val="0"/>
          <w:numId w:val="2"/>
        </w:numPr>
        <w:spacing w:after="40" w:before="40"/>
      </w:pPr>
      <w:r>
        <w:rPr>
          <w:rFonts w:ascii="Arial" w:cs="Arial" w:eastAsia="Arial" w:hAnsi="Arial"/>
          <w:b w:val="false"/>
          <w:bCs w:val="false"/>
          <w:sz w:val="20"/>
          <w:szCs w:val="20"/>
        </w:rPr>
        <w:t xml:space="preserve">There is a change in the nature, size, or complexity of the business</w:t>
      </w:r>
    </w:p>
    <w:p>
      <w:pPr>
        <w:pStyle w:val="ListParagraph"/>
        <w:numPr>
          <w:ilvl w:val="0"/>
          <w:numId w:val="2"/>
        </w:numPr>
        <w:spacing w:after="40" w:before="40"/>
      </w:pPr>
      <w:r>
        <w:rPr>
          <w:rFonts w:ascii="Arial" w:cs="Arial" w:eastAsia="Arial" w:hAnsi="Arial"/>
          <w:b w:val="false"/>
          <w:bCs w:val="false"/>
          <w:sz w:val="20"/>
          <w:szCs w:val="20"/>
        </w:rPr>
        <w:t xml:space="preserve">New designated services are offered or existing services are modified</w:t>
      </w:r>
    </w:p>
    <w:p>
      <w:pPr>
        <w:pStyle w:val="ListParagraph"/>
        <w:numPr>
          <w:ilvl w:val="0"/>
          <w:numId w:val="2"/>
        </w:numPr>
        <w:spacing w:after="40" w:before="40"/>
      </w:pPr>
      <w:r>
        <w:rPr>
          <w:rFonts w:ascii="Arial" w:cs="Arial" w:eastAsia="Arial" w:hAnsi="Arial"/>
          <w:b w:val="false"/>
          <w:bCs w:val="false"/>
          <w:sz w:val="20"/>
          <w:szCs w:val="20"/>
        </w:rPr>
        <w:t xml:space="preserve">The customer base or geographic reach changes materially</w:t>
      </w:r>
    </w:p>
    <w:p>
      <w:pPr>
        <w:pStyle w:val="ListParagraph"/>
        <w:numPr>
          <w:ilvl w:val="0"/>
          <w:numId w:val="2"/>
        </w:numPr>
        <w:spacing w:after="40" w:before="40"/>
      </w:pPr>
      <w:r>
        <w:rPr>
          <w:rFonts w:ascii="Arial" w:cs="Arial" w:eastAsia="Arial" w:hAnsi="Arial"/>
          <w:b w:val="false"/>
          <w:bCs w:val="false"/>
          <w:sz w:val="20"/>
          <w:szCs w:val="20"/>
        </w:rPr>
        <w:t xml:space="preserve">AUSTRAC issues new guidance, rules, or regulations that affect obligations</w:t>
      </w:r>
    </w:p>
    <w:p>
      <w:pPr>
        <w:pStyle w:val="ListParagraph"/>
        <w:numPr>
          <w:ilvl w:val="0"/>
          <w:numId w:val="2"/>
        </w:numPr>
        <w:spacing w:after="40" w:before="40"/>
      </w:pPr>
      <w:r>
        <w:rPr>
          <w:rFonts w:ascii="Arial" w:cs="Arial" w:eastAsia="Arial" w:hAnsi="Arial"/>
          <w:b w:val="false"/>
          <w:bCs w:val="false"/>
          <w:sz w:val="20"/>
          <w:szCs w:val="20"/>
        </w:rPr>
        <w:t xml:space="preserve">An independent review, internal audit, or regulatory examination identifies deficiencies</w:t>
      </w:r>
    </w:p>
    <w:p>
      <w:pPr>
        <w:spacing w:after="80" w:before="80"/>
      </w:pPr>
      <w:r>
        <w:t xml:space="preserve"/>
      </w:r>
    </w:p>
    <w:p>
      <w:pPr>
        <w:pStyle w:val="Heading2"/>
        <w:pBdr>
          <w:bottom w:val="single" w:color="2E75B6" w:sz="3" w:space="1"/>
        </w:pBdr>
        <w:spacing w:after="80" w:before="240"/>
      </w:pPr>
      <w:r>
        <w:rPr>
          <w:rFonts w:ascii="Arial" w:cs="Arial" w:eastAsia="Arial" w:hAnsi="Arial"/>
          <w:b/>
          <w:bCs/>
          <w:color w:val="1F4E79"/>
          <w:sz w:val="24"/>
          <w:szCs w:val="24"/>
        </w:rPr>
        <w:t xml:space="preserve">21.2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Version</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W w:type="dxa" w:w="6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Details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5 April 2026</w:t>
            </w:r>
          </w:p>
        </w:tc>
        <w:tc>
          <w:tcPr>
            <w:tcW w:type="dxa" w:w="6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sz w:val="18"/>
                <w:szCs w:val="18"/>
              </w:rPr>
              <w:t xml:space="preserve">Initial Program — prepared 23 March 2026 — approved by Qin Xiong</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2.0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9 April 2026</w:t>
            </w:r>
          </w:p>
        </w:tc>
        <w:tc>
          <w:tcPr>
            <w:tcW w:type="dxa" w:w="6160"/>
            <w:tcBorders>
              <w:top w:val="single" w:color="BBBBBB" w:sz="1"/>
              <w:left w:val="single" w:color="BBBBBB" w:sz="1"/>
              <w:bottom w:val="single" w:color="BBBBBB" w:sz="1"/>
              <w:right w:val="single" w:color="BBBBBB" w:sz="1"/>
            </w:tcBorders>
            <w:shd w:fill="F2F2F2" w:val="clear"/>
            <w:tcMar>
              <w:top w:type="dxa" w:w="80"/>
              <w:left w:type="dxa" w:w="100"/>
              <w:bottom w:type="dxa" w:w="80"/>
              <w:right w:type="dxa" w:w="100"/>
            </w:tcMar>
          </w:tcPr>
          <w:p>
            <w:r>
              <w:rPr>
                <w:rFonts w:ascii="Arial" w:cs="Arial" w:eastAsia="Arial" w:hAnsi="Arial"/>
                <w:sz w:val="18"/>
                <w:szCs w:val="18"/>
              </w:rPr>
              <w:t xml:space="preserve">Updated — added Part A/B structure, third-party risk framework, SMR decision framework, Travel Rule decision logic, risk scoring methodology, professional contact details</w:t>
            </w:r>
          </w:p>
        </w:tc>
      </w:tr>
    </w:tbl>
    <w:p>
      <w:pPr>
        <w:spacing w:after="80" w:before="80"/>
      </w:pPr>
      <w:r>
        <w:t xml:space="preserve"/>
      </w:r>
    </w:p>
    <w:p>
      <w:pPr>
        <w:pStyle w:val="Heading1"/>
        <w:pBdr>
          <w:bottom w:val="single" w:color="2E75B6" w:sz="6" w:space="1"/>
        </w:pBdr>
        <w:shd w:fill="1F4E79" w:val="clear"/>
        <w:spacing w:after="120" w:before="360"/>
        <w:ind w:left="200" w:right="200"/>
      </w:pPr>
      <w:r>
        <w:rPr>
          <w:rFonts w:ascii="Arial" w:cs="Arial" w:eastAsia="Arial" w:hAnsi="Arial"/>
          <w:b/>
          <w:bCs/>
          <w:color w:val="FFFFFF"/>
          <w:sz w:val="28"/>
          <w:szCs w:val="28"/>
        </w:rPr>
        <w:t xml:space="preserve">22.  Approval and Declaration</w:t>
      </w:r>
    </w:p>
    <w:p>
      <w:pPr>
        <w:spacing w:after="80" w:before="60"/>
      </w:pPr>
      <w:r>
        <w:rPr>
          <w:rFonts w:ascii="Arial" w:cs="Arial" w:eastAsia="Arial" w:hAnsi="Arial"/>
          <w:sz w:val="20"/>
          <w:szCs w:val="20"/>
        </w:rPr>
        <w:t xml:space="preserve">I, the undersigned, being the Director and AML/CTF Compliance Officer of AMAX GLOBAL PTY LTD, hereby approve this Anti-Money Laundering and Counter-Terrorism Financing Program and confirm that:</w:t>
      </w:r>
    </w:p>
    <w:p>
      <w:pPr>
        <w:pStyle w:val="ListParagraph"/>
        <w:numPr>
          <w:ilvl w:val="0"/>
          <w:numId w:val="2"/>
        </w:numPr>
        <w:spacing w:after="40" w:before="40"/>
      </w:pPr>
      <w:r>
        <w:rPr>
          <w:rFonts w:ascii="Arial" w:cs="Arial" w:eastAsia="Arial" w:hAnsi="Arial"/>
          <w:b w:val="false"/>
          <w:bCs w:val="false"/>
          <w:sz w:val="20"/>
          <w:szCs w:val="20"/>
        </w:rPr>
        <w:t xml:space="preserve">This Program has been prepared in accordance with the requirements of the Anti-Money Laundering and Counter-Terrorism Financing Act 2006 (Cth) and the Anti-Money Laundering and Counter-Terrorism Financing Rules 2025.</w:t>
      </w:r>
    </w:p>
    <w:p>
      <w:pPr>
        <w:pStyle w:val="ListParagraph"/>
        <w:numPr>
          <w:ilvl w:val="0"/>
          <w:numId w:val="2"/>
        </w:numPr>
        <w:spacing w:after="40" w:before="40"/>
      </w:pPr>
      <w:r>
        <w:rPr>
          <w:rFonts w:ascii="Arial" w:cs="Arial" w:eastAsia="Arial" w:hAnsi="Arial"/>
          <w:b w:val="false"/>
          <w:bCs w:val="false"/>
          <w:sz w:val="20"/>
          <w:szCs w:val="20"/>
        </w:rPr>
        <w:t xml:space="preserve">This Program will be implemented in full prior to the commencement of designated services.</w:t>
      </w:r>
    </w:p>
    <w:p>
      <w:pPr>
        <w:pStyle w:val="ListParagraph"/>
        <w:numPr>
          <w:ilvl w:val="0"/>
          <w:numId w:val="2"/>
        </w:numPr>
        <w:spacing w:after="40" w:before="40"/>
      </w:pPr>
      <w:r>
        <w:rPr>
          <w:rFonts w:ascii="Arial" w:cs="Arial" w:eastAsia="Arial" w:hAnsi="Arial"/>
          <w:b w:val="false"/>
          <w:bCs w:val="false"/>
          <w:sz w:val="20"/>
          <w:szCs w:val="20"/>
        </w:rPr>
        <w:t xml:space="preserve">This Program will be reviewed and updated as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r>
              <w:rPr>
                <w:rFonts w:ascii="Arial" w:cs="Arial" w:eastAsia="Arial" w:hAnsi="Arial"/>
                <w:b/>
                <w:bCs/>
                <w:sz w:val="20"/>
                <w:szCs w:val="20"/>
              </w:rPr>
              <w:t xml:space="preserve">Full Name</w:t>
            </w:r>
          </w:p>
        </w:tc>
        <w:tc>
          <w:tcPr>
            <w:tcW w:type="dxa" w:w="63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sz w:val="20"/>
                <w:szCs w:val="20"/>
              </w:rPr>
              <w:t xml:space="preserve">Qin Xiong</w:t>
            </w:r>
          </w:p>
        </w:tc>
      </w:tr>
      <w:tr>
        <w:tc>
          <w:tcPr>
            <w:tcW w:type="dxa" w:w="300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r>
              <w:rPr>
                <w:rFonts w:ascii="Arial" w:cs="Arial" w:eastAsia="Arial" w:hAnsi="Arial"/>
                <w:b/>
                <w:bCs/>
                <w:sz w:val="20"/>
                <w:szCs w:val="20"/>
              </w:rPr>
              <w:t xml:space="preserve">Position</w:t>
            </w:r>
          </w:p>
        </w:tc>
        <w:tc>
          <w:tcPr>
            <w:tcW w:type="dxa" w:w="63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sz w:val="20"/>
                <w:szCs w:val="20"/>
              </w:rPr>
              <w:t xml:space="preserve">Director &amp; AML/CTF Compliance Officer</w:t>
            </w:r>
          </w:p>
        </w:tc>
      </w:tr>
      <w:tr>
        <w:tc>
          <w:tcPr>
            <w:tcW w:type="dxa" w:w="300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r>
              <w:rPr>
                <w:rFonts w:ascii="Arial" w:cs="Arial" w:eastAsia="Arial" w:hAnsi="Arial"/>
                <w:b/>
                <w:bCs/>
                <w:sz w:val="20"/>
                <w:szCs w:val="20"/>
              </w:rPr>
              <w:t xml:space="preserve">Signature</w:t>
            </w:r>
          </w:p>
        </w:tc>
        <w:tc>
          <w:tcPr>
            <w:tcW w:type="dxa" w:w="63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sz w:val="20"/>
                <w:szCs w:val="20"/>
              </w:rPr>
              <w:t xml:space="preserve">_________________________________</w:t>
            </w:r>
          </w:p>
        </w:tc>
      </w:tr>
      <w:tr>
        <w:tc>
          <w:tcPr>
            <w:tcW w:type="dxa" w:w="300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tcPr>
          <w:p>
            <w:r>
              <w:rPr>
                <w:rFonts w:ascii="Arial" w:cs="Arial" w:eastAsia="Arial" w:hAnsi="Arial"/>
                <w:b/>
                <w:bCs/>
                <w:sz w:val="20"/>
                <w:szCs w:val="20"/>
              </w:rPr>
              <w:t xml:space="preserve">Date</w:t>
            </w:r>
          </w:p>
        </w:tc>
        <w:tc>
          <w:tcPr>
            <w:tcW w:type="dxa" w:w="6360"/>
            <w:tcBorders>
              <w:top w:val="single" w:color="BBBBBB" w:sz="1"/>
              <w:left w:val="single" w:color="BBBBBB" w:sz="1"/>
              <w:bottom w:val="single" w:color="BBBBBB" w:sz="1"/>
              <w:right w:val="single" w:color="BBBBBB" w:sz="1"/>
            </w:tcBorders>
            <w:tcMar>
              <w:top w:type="dxa" w:w="100"/>
              <w:left w:type="dxa" w:w="120"/>
              <w:bottom w:type="dxa" w:w="100"/>
              <w:right w:type="dxa" w:w="120"/>
            </w:tcMar>
          </w:tcPr>
          <w:p>
            <w:r>
              <w:rPr>
                <w:rFonts w:ascii="Arial" w:cs="Arial" w:eastAsia="Arial" w:hAnsi="Arial"/>
                <w:sz w:val="20"/>
                <w:szCs w:val="20"/>
              </w:rPr>
              <w:t xml:space="preserve">_____ / _____ / __________</w:t>
            </w:r>
          </w:p>
        </w:tc>
      </w:tr>
    </w:tbl>
    <w:p>
      <w:pPr>
        <w:spacing w:after="80" w:before="80"/>
      </w:pPr>
      <w:r>
        <w:t xml:space="preserve"/>
      </w:r>
    </w:p>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tabs>
        <w:tab w:val="right" w:pos="9026"/>
      </w:tabs>
    </w:pPr>
    <w:r>
      <w:rPr>
        <w:rFonts w:ascii="Arial" w:cs="Arial" w:eastAsia="Arial" w:hAnsi="Arial"/>
        <w:color w:val="888888"/>
        <w:sz w:val="16"/>
        <w:szCs w:val="16"/>
      </w:rPr>
      <w:t xml:space="preserve">ABN: 54 690 827 608   |   info@amaxglobal.com.au   |   Rockdale NSW 2216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pPr>
    <w:r>
      <w:rPr>
        <w:rFonts w:ascii="Arial" w:cs="Arial" w:eastAsia="Arial" w:hAnsi="Arial"/>
        <w:color w:val="888888"/>
        <w:sz w:val="16"/>
        <w:szCs w:val="16"/>
      </w:rPr>
      <w:t xml:space="preserve">AMAX GLOBAL PTY LTD   |   AML/CTF Program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2026-04-08T20:48:31.375Z</dcterms:created>
  <dcterms:modified xsi:type="dcterms:W3CDTF">2026-04-08T20:48:31.376Z</dcterms:modified>
</cp:coreProperties>
</file>

<file path=docProps/custom.xml><?xml version="1.0" encoding="utf-8"?>
<Properties xmlns="http://schemas.openxmlformats.org/officeDocument/2006/custom-properties" xmlns:vt="http://schemas.openxmlformats.org/officeDocument/2006/docPropsVTypes"/>
</file>