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52"/>
          <w:szCs w:val="52"/>
        </w:rPr>
        <w:t xml:space="preserve">AMAX GLOBAL</w:t>
      </w:r>
    </w:p>
    <w:p>
      <w:pPr>
        <w:spacing w:after="80" w:before="0"/>
        <w:jc w:val="center"/>
      </w:pPr>
      <w:r>
        <w:rPr>
          <w:rFonts w:ascii="Arial" w:cs="Arial" w:eastAsia="Arial" w:hAnsi="Arial"/>
          <w:b/>
          <w:bCs/>
          <w:color w:val="2E75B6"/>
          <w:sz w:val="36"/>
          <w:szCs w:val="36"/>
        </w:rPr>
        <w:t xml:space="preserve">Customer Agreement</w:t>
      </w:r>
    </w:p>
    <w:p>
      <w:pPr>
        <w:spacing w:after="80" w:before="0"/>
        <w:jc w:val="center"/>
      </w:pPr>
      <w:r>
        <w:rPr>
          <w:rFonts w:ascii="Arial" w:cs="Arial" w:eastAsia="Arial" w:hAnsi="Arial"/>
          <w:color w:val="595959"/>
          <w:sz w:val="20"/>
          <w:szCs w:val="20"/>
        </w:rPr>
        <w:t xml:space="preserve">Version 2.0  |  Effective Date: April 2026</w:t>
      </w:r>
    </w:p>
    <w:p>
      <w:pPr>
        <w:spacing w:after="500" w:before="0"/>
        <w:jc w:val="center"/>
      </w:pPr>
      <w:r>
        <w:rPr>
          <w:rFonts w:ascii="Arial" w:cs="Arial" w:eastAsia="Arial" w:hAnsi="Arial"/>
          <w:i/>
          <w:iCs/>
          <w:color w:val="595959"/>
          <w:sz w:val="20"/>
          <w:szCs w:val="20"/>
        </w:rPr>
        <w:t xml:space="preserve">Governed by the laws of New South Wales and the Commonwealth of Australia</w:t>
      </w:r>
    </w:p>
    <w:p>
      <w:pPr>
        <w:pStyle w:val="Heading1"/>
        <w:pBdr>
          <w:bottom w:val="single" w:color="2E75B6" w:sz="6" w:space="4"/>
        </w:pBdr>
        <w:spacing w:after="120" w:before="400"/>
      </w:pPr>
      <w:r>
        <w:rPr>
          <w:rFonts w:ascii="Arial" w:cs="Arial" w:eastAsia="Arial" w:hAnsi="Arial"/>
          <w:b/>
          <w:bCs/>
          <w:color w:val="1F4E79"/>
          <w:sz w:val="28"/>
          <w:szCs w:val="28"/>
        </w:rPr>
        <w:t xml:space="preserve">1. Overview</w:t>
      </w:r>
    </w:p>
    <w:p>
      <w:pPr>
        <w:spacing w:after="80" w:before="80"/>
      </w:pPr>
      <w:r>
        <w:rPr>
          <w:rFonts w:ascii="Arial" w:cs="Arial" w:eastAsia="Arial" w:hAnsi="Arial"/>
          <w:color w:val="1A1A1A"/>
          <w:sz w:val="22"/>
          <w:szCs w:val="22"/>
        </w:rPr>
        <w:t xml:space="preserve">This Customer Agreement ("Agreement") governs your use of AMAX Global's services, including eWallet, foreign exchange, remittance, and digital currency exchange ("Services"). AMAX Global Pty Ltd ("AMAX", "we", "us", or "our") is a registered remittance dealer and digital currency exchange provider regulated under the Anti-Money Laundering and Counter-Terrorism Financing Act 2006 (Cth) and enrolled with AUSTRAC.</w:t>
      </w:r>
    </w:p>
    <w:p>
      <w:pPr>
        <w:spacing w:after="60" w:before="60"/>
      </w:pPr>
      <w:r>
        <w:t xml:space="preserve"/>
      </w:r>
    </w:p>
    <w:p>
      <w:pPr>
        <w:spacing w:after="80" w:before="80"/>
      </w:pPr>
      <w:r>
        <w:rPr>
          <w:rFonts w:ascii="Arial" w:cs="Arial" w:eastAsia="Arial" w:hAnsi="Arial"/>
          <w:color w:val="1A1A1A"/>
          <w:sz w:val="22"/>
          <w:szCs w:val="22"/>
        </w:rPr>
        <w:t xml:space="preserve">By creating an account, you agree to this Agreement and any related policies. You must be at least 18 years old and legally capable of entering into binding contracts under Australian law. If you do not agree to this Agreement, you must not use our Services.</w:t>
      </w:r>
    </w:p>
    <w:p>
      <w:pPr>
        <w:spacing w:after="60" w:before="60"/>
      </w:pPr>
      <w:r>
        <w:t xml:space="preserve"/>
      </w:r>
    </w:p>
    <w:p>
      <w:pPr>
        <w:spacing w:after="80" w:before="80"/>
      </w:pPr>
      <w:r>
        <w:rPr>
          <w:rFonts w:ascii="Arial" w:cs="Arial" w:eastAsia="Arial" w:hAnsi="Arial"/>
          <w:color w:val="1A1A1A"/>
          <w:sz w:val="22"/>
          <w:szCs w:val="22"/>
        </w:rPr>
        <w:t xml:space="preserve">This Agreement sets out your rights and responsibilities, as well as AMAX Global's obligations under Australian law and international financial standards.</w:t>
      </w:r>
    </w:p>
    <w:p>
      <w:pPr>
        <w:pStyle w:val="Heading1"/>
        <w:pBdr>
          <w:bottom w:val="single" w:color="2E75B6" w:sz="6" w:space="4"/>
        </w:pBdr>
        <w:spacing w:after="120" w:before="400"/>
      </w:pPr>
      <w:r>
        <w:rPr>
          <w:rFonts w:ascii="Arial" w:cs="Arial" w:eastAsia="Arial" w:hAnsi="Arial"/>
          <w:b/>
          <w:bCs/>
          <w:color w:val="1F4E79"/>
          <w:sz w:val="28"/>
          <w:szCs w:val="28"/>
        </w:rPr>
        <w:t xml:space="preserve">2. Use of Services</w:t>
      </w:r>
    </w:p>
    <w:p>
      <w:pPr>
        <w:spacing w:after="80" w:before="80"/>
      </w:pPr>
      <w:r>
        <w:rPr>
          <w:rFonts w:ascii="Arial" w:cs="Arial" w:eastAsia="Arial" w:hAnsi="Arial"/>
          <w:color w:val="1A1A1A"/>
          <w:sz w:val="22"/>
          <w:szCs w:val="22"/>
        </w:rPr>
        <w:t xml:space="preserve">You agree to:</w:t>
      </w:r>
    </w:p>
    <w:p>
      <w:pPr>
        <w:pStyle w:val="ListParagraph"/>
        <w:numPr>
          <w:ilvl w:val="0"/>
          <w:numId w:val="2"/>
        </w:numPr>
        <w:spacing w:after="60" w:before="60"/>
      </w:pPr>
      <w:r>
        <w:rPr>
          <w:rFonts w:ascii="Arial" w:cs="Arial" w:eastAsia="Arial" w:hAnsi="Arial"/>
          <w:color w:val="1A1A1A"/>
          <w:sz w:val="22"/>
          <w:szCs w:val="22"/>
        </w:rPr>
        <w:t xml:space="preserve">Use the Services only for lawful purposes</w:t>
      </w:r>
    </w:p>
    <w:p>
      <w:pPr>
        <w:pStyle w:val="ListParagraph"/>
        <w:numPr>
          <w:ilvl w:val="0"/>
          <w:numId w:val="2"/>
        </w:numPr>
        <w:spacing w:after="60" w:before="60"/>
      </w:pPr>
      <w:r>
        <w:rPr>
          <w:rFonts w:ascii="Arial" w:cs="Arial" w:eastAsia="Arial" w:hAnsi="Arial"/>
          <w:color w:val="1A1A1A"/>
          <w:sz w:val="22"/>
          <w:szCs w:val="22"/>
        </w:rPr>
        <w:t xml:space="preserve">Comply with all applicable Australian laws and regulations</w:t>
      </w:r>
    </w:p>
    <w:p>
      <w:pPr>
        <w:pStyle w:val="ListParagraph"/>
        <w:numPr>
          <w:ilvl w:val="0"/>
          <w:numId w:val="2"/>
        </w:numPr>
        <w:spacing w:after="60" w:before="60"/>
      </w:pPr>
      <w:r>
        <w:rPr>
          <w:rFonts w:ascii="Arial" w:cs="Arial" w:eastAsia="Arial" w:hAnsi="Arial"/>
          <w:color w:val="1A1A1A"/>
          <w:sz w:val="22"/>
          <w:szCs w:val="22"/>
        </w:rPr>
        <w:t xml:space="preserve">Provide accurate, current, and complete information at all times</w:t>
      </w:r>
    </w:p>
    <w:p>
      <w:pPr>
        <w:pStyle w:val="ListParagraph"/>
        <w:numPr>
          <w:ilvl w:val="0"/>
          <w:numId w:val="2"/>
        </w:numPr>
        <w:spacing w:after="60" w:before="60"/>
      </w:pPr>
      <w:r>
        <w:rPr>
          <w:rFonts w:ascii="Arial" w:cs="Arial" w:eastAsia="Arial" w:hAnsi="Arial"/>
          <w:color w:val="1A1A1A"/>
          <w:sz w:val="22"/>
          <w:szCs w:val="22"/>
        </w:rPr>
        <w:t xml:space="preserve">Use the Services solely on your own behalf unless you have disclosed in writing to AMAX that you are acting on behalf of another person or entity</w:t>
      </w:r>
    </w:p>
    <w:p>
      <w:pPr>
        <w:spacing w:after="60" w:before="60"/>
      </w:pPr>
      <w:r>
        <w:t xml:space="preserve"/>
      </w:r>
    </w:p>
    <w:p>
      <w:pPr>
        <w:spacing w:after="80" w:before="80"/>
      </w:pPr>
      <w:r>
        <w:rPr>
          <w:rFonts w:ascii="Arial" w:cs="Arial" w:eastAsia="Arial" w:hAnsi="Arial"/>
          <w:color w:val="1A1A1A"/>
          <w:sz w:val="22"/>
          <w:szCs w:val="22"/>
        </w:rPr>
        <w:t xml:space="preserve">AMAX may suspend, restrict, or terminate your account where required for fraud prevention, legal compliance, or risk management.</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Prohibited Uses</w:t>
      </w:r>
    </w:p>
    <w:p>
      <w:pPr>
        <w:spacing w:after="80" w:before="80"/>
      </w:pPr>
      <w:r>
        <w:rPr>
          <w:rFonts w:ascii="Arial" w:cs="Arial" w:eastAsia="Arial" w:hAnsi="Arial"/>
          <w:color w:val="1A1A1A"/>
          <w:sz w:val="22"/>
          <w:szCs w:val="22"/>
        </w:rPr>
        <w:t xml:space="preserve">You must not use the Services for any of the following:</w:t>
      </w:r>
    </w:p>
    <w:p>
      <w:pPr>
        <w:pStyle w:val="ListParagraph"/>
        <w:numPr>
          <w:ilvl w:val="0"/>
          <w:numId w:val="2"/>
        </w:numPr>
        <w:spacing w:after="60" w:before="60"/>
      </w:pPr>
      <w:r>
        <w:rPr>
          <w:rFonts w:ascii="Arial" w:cs="Arial" w:eastAsia="Arial" w:hAnsi="Arial"/>
          <w:color w:val="1A1A1A"/>
          <w:sz w:val="22"/>
          <w:szCs w:val="22"/>
        </w:rPr>
        <w:t xml:space="preserve">Money laundering, terrorism financing, or any activity in breach of Australian or international sanctions laws</w:t>
      </w:r>
    </w:p>
    <w:p>
      <w:pPr>
        <w:pStyle w:val="ListParagraph"/>
        <w:numPr>
          <w:ilvl w:val="0"/>
          <w:numId w:val="2"/>
        </w:numPr>
        <w:spacing w:after="60" w:before="60"/>
      </w:pPr>
      <w:r>
        <w:rPr>
          <w:rFonts w:ascii="Arial" w:cs="Arial" w:eastAsia="Arial" w:hAnsi="Arial"/>
          <w:color w:val="1A1A1A"/>
          <w:sz w:val="22"/>
          <w:szCs w:val="22"/>
        </w:rPr>
        <w:t xml:space="preserve">Transactions involving proceeds of crime or funds from illegitimate sources</w:t>
      </w:r>
    </w:p>
    <w:p>
      <w:pPr>
        <w:pStyle w:val="ListParagraph"/>
        <w:numPr>
          <w:ilvl w:val="0"/>
          <w:numId w:val="2"/>
        </w:numPr>
        <w:spacing w:after="60" w:before="60"/>
      </w:pPr>
      <w:r>
        <w:rPr>
          <w:rFonts w:ascii="Arial" w:cs="Arial" w:eastAsia="Arial" w:hAnsi="Arial"/>
          <w:color w:val="1A1A1A"/>
          <w:sz w:val="22"/>
          <w:szCs w:val="22"/>
        </w:rPr>
        <w:t xml:space="preserve">Structuring transactions to avoid AUSTRAC reporting thresholds</w:t>
      </w:r>
    </w:p>
    <w:p>
      <w:pPr>
        <w:pStyle w:val="ListParagraph"/>
        <w:numPr>
          <w:ilvl w:val="0"/>
          <w:numId w:val="2"/>
        </w:numPr>
        <w:spacing w:after="60" w:before="60"/>
      </w:pPr>
      <w:r>
        <w:rPr>
          <w:rFonts w:ascii="Arial" w:cs="Arial" w:eastAsia="Arial" w:hAnsi="Arial"/>
          <w:color w:val="1A1A1A"/>
          <w:sz w:val="22"/>
          <w:szCs w:val="22"/>
        </w:rPr>
        <w:t xml:space="preserve">Payments to or from sanctioned persons, entities, or jurisdictions</w:t>
      </w:r>
    </w:p>
    <w:p>
      <w:pPr>
        <w:pStyle w:val="ListParagraph"/>
        <w:numPr>
          <w:ilvl w:val="0"/>
          <w:numId w:val="2"/>
        </w:numPr>
        <w:spacing w:after="60" w:before="60"/>
      </w:pPr>
      <w:r>
        <w:rPr>
          <w:rFonts w:ascii="Arial" w:cs="Arial" w:eastAsia="Arial" w:hAnsi="Arial"/>
          <w:color w:val="1A1A1A"/>
          <w:sz w:val="22"/>
          <w:szCs w:val="22"/>
        </w:rPr>
        <w:t xml:space="preserve">Illegal gambling, fraud, or deceptive conduct</w:t>
      </w:r>
    </w:p>
    <w:p>
      <w:pPr>
        <w:pStyle w:val="ListParagraph"/>
        <w:numPr>
          <w:ilvl w:val="0"/>
          <w:numId w:val="2"/>
        </w:numPr>
        <w:spacing w:after="60" w:before="60"/>
      </w:pPr>
      <w:r>
        <w:rPr>
          <w:rFonts w:ascii="Arial" w:cs="Arial" w:eastAsia="Arial" w:hAnsi="Arial"/>
          <w:color w:val="1A1A1A"/>
          <w:sz w:val="22"/>
          <w:szCs w:val="22"/>
        </w:rPr>
        <w:t xml:space="preserve">The purchase or sale of illegal goods or services</w:t>
      </w:r>
    </w:p>
    <w:p>
      <w:pPr>
        <w:pStyle w:val="ListParagraph"/>
        <w:numPr>
          <w:ilvl w:val="0"/>
          <w:numId w:val="2"/>
        </w:numPr>
        <w:spacing w:after="60" w:before="60"/>
      </w:pPr>
      <w:r>
        <w:rPr>
          <w:rFonts w:ascii="Arial" w:cs="Arial" w:eastAsia="Arial" w:hAnsi="Arial"/>
          <w:color w:val="1A1A1A"/>
          <w:sz w:val="22"/>
          <w:szCs w:val="22"/>
        </w:rPr>
        <w:t xml:space="preserve">Any use that would cause AMAX to violate applicable law or regulation</w:t>
      </w:r>
    </w:p>
    <w:p>
      <w:pPr>
        <w:spacing w:after="60" w:before="60"/>
      </w:pPr>
      <w:r>
        <w:t xml:space="preserve"/>
      </w:r>
    </w:p>
    <w:p>
      <w:pPr>
        <w:spacing w:after="80" w:before="80"/>
      </w:pPr>
      <w:r>
        <w:rPr>
          <w:rFonts w:ascii="Arial" w:cs="Arial" w:eastAsia="Arial" w:hAnsi="Arial"/>
          <w:color w:val="1A1A1A"/>
          <w:sz w:val="22"/>
          <w:szCs w:val="22"/>
        </w:rPr>
        <w:t xml:space="preserve">AMAX reserves the right to decline any transaction at its sole discretion where it reasonably believes the transaction may breach this Agreement or applicable law.</w:t>
      </w:r>
    </w:p>
    <w:p>
      <w:pPr>
        <w:spacing w:after="60" w:before="60"/>
      </w:pPr>
      <w:r>
        <w:t xml:space="preserve"/>
      </w:r>
    </w:p>
    <w:p>
      <w:pPr>
        <w:spacing w:after="80" w:before="80"/>
      </w:pPr>
      <w:r>
        <w:rPr>
          <w:rFonts w:ascii="Arial" w:cs="Arial" w:eastAsia="Arial" w:hAnsi="Arial"/>
          <w:color w:val="1A1A1A"/>
          <w:sz w:val="22"/>
          <w:szCs w:val="22"/>
        </w:rPr>
        <w:t xml:space="preserve">This Agreement is governed by the laws of New South Wales and the Commonwealth of Australia.</w:t>
      </w:r>
    </w:p>
    <w:p>
      <w:pPr>
        <w:pStyle w:val="Heading1"/>
        <w:pBdr>
          <w:bottom w:val="single" w:color="2E75B6" w:sz="6" w:space="4"/>
        </w:pBdr>
        <w:spacing w:after="120" w:before="400"/>
      </w:pPr>
      <w:r>
        <w:rPr>
          <w:rFonts w:ascii="Arial" w:cs="Arial" w:eastAsia="Arial" w:hAnsi="Arial"/>
          <w:b/>
          <w:bCs/>
          <w:color w:val="1F4E79"/>
          <w:sz w:val="28"/>
          <w:szCs w:val="28"/>
        </w:rPr>
        <w:t xml:space="preserve">3. Privacy</w:t>
      </w:r>
    </w:p>
    <w:p>
      <w:pPr>
        <w:spacing w:after="80" w:before="80"/>
      </w:pPr>
      <w:r>
        <w:rPr>
          <w:rFonts w:ascii="Arial" w:cs="Arial" w:eastAsia="Arial" w:hAnsi="Arial"/>
          <w:color w:val="1A1A1A"/>
          <w:sz w:val="22"/>
          <w:szCs w:val="22"/>
        </w:rPr>
        <w:t xml:space="preserve">AMAX Global collects and uses personal information in accordance with the Privacy Act 1988 (Cth) and the Australian Privacy Principles (APPs).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Purpose of Collection</w:t>
      </w:r>
    </w:p>
    <w:p>
      <w:pPr>
        <w:pStyle w:val="ListParagraph"/>
        <w:numPr>
          <w:ilvl w:val="0"/>
          <w:numId w:val="2"/>
        </w:numPr>
        <w:spacing w:after="60" w:before="60"/>
      </w:pPr>
      <w:r>
        <w:rPr>
          <w:rFonts w:ascii="Arial" w:cs="Arial" w:eastAsia="Arial" w:hAnsi="Arial"/>
          <w:color w:val="1A1A1A"/>
          <w:sz w:val="22"/>
          <w:szCs w:val="22"/>
        </w:rPr>
        <w:t xml:space="preserve">Identity verification and KYC/AML compliance</w:t>
      </w:r>
    </w:p>
    <w:p>
      <w:pPr>
        <w:pStyle w:val="ListParagraph"/>
        <w:numPr>
          <w:ilvl w:val="0"/>
          <w:numId w:val="2"/>
        </w:numPr>
        <w:spacing w:after="60" w:before="60"/>
      </w:pPr>
      <w:r>
        <w:rPr>
          <w:rFonts w:ascii="Arial" w:cs="Arial" w:eastAsia="Arial" w:hAnsi="Arial"/>
          <w:color w:val="1A1A1A"/>
          <w:sz w:val="22"/>
          <w:szCs w:val="22"/>
        </w:rPr>
        <w:t xml:space="preserve">Risk management and fraud prevention</w:t>
      </w:r>
    </w:p>
    <w:p>
      <w:pPr>
        <w:pStyle w:val="ListParagraph"/>
        <w:numPr>
          <w:ilvl w:val="0"/>
          <w:numId w:val="2"/>
        </w:numPr>
        <w:spacing w:after="60" w:before="60"/>
      </w:pPr>
      <w:r>
        <w:rPr>
          <w:rFonts w:ascii="Arial" w:cs="Arial" w:eastAsia="Arial" w:hAnsi="Arial"/>
          <w:color w:val="1A1A1A"/>
          <w:sz w:val="22"/>
          <w:szCs w:val="22"/>
        </w:rPr>
        <w:t xml:space="preserve">Service delivery and improvement</w:t>
      </w:r>
    </w:p>
    <w:p>
      <w:pPr>
        <w:pStyle w:val="ListParagraph"/>
        <w:numPr>
          <w:ilvl w:val="0"/>
          <w:numId w:val="2"/>
        </w:numPr>
        <w:spacing w:after="60" w:before="60"/>
      </w:pPr>
      <w:r>
        <w:rPr>
          <w:rFonts w:ascii="Arial" w:cs="Arial" w:eastAsia="Arial" w:hAnsi="Arial"/>
          <w:color w:val="1A1A1A"/>
          <w:sz w:val="22"/>
          <w:szCs w:val="22"/>
        </w:rPr>
        <w:t xml:space="preserve">Regulatory reporting obligations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Information Sharing</w:t>
      </w:r>
    </w:p>
    <w:p>
      <w:pPr>
        <w:spacing w:after="80" w:before="80"/>
      </w:pPr>
      <w:r>
        <w:rPr>
          <w:rFonts w:ascii="Arial" w:cs="Arial" w:eastAsia="Arial" w:hAnsi="Arial"/>
          <w:color w:val="1A1A1A"/>
          <w:sz w:val="22"/>
          <w:szCs w:val="22"/>
        </w:rPr>
        <w:t xml:space="preserve">We may share your personal information with:</w:t>
      </w:r>
    </w:p>
    <w:p>
      <w:pPr>
        <w:pStyle w:val="ListParagraph"/>
        <w:numPr>
          <w:ilvl w:val="0"/>
          <w:numId w:val="2"/>
        </w:numPr>
        <w:spacing w:after="60" w:before="60"/>
      </w:pPr>
      <w:r>
        <w:rPr>
          <w:rFonts w:ascii="Arial" w:cs="Arial" w:eastAsia="Arial" w:hAnsi="Arial"/>
          <w:color w:val="1A1A1A"/>
          <w:sz w:val="22"/>
          <w:szCs w:val="22"/>
        </w:rPr>
        <w:t xml:space="preserve">AUSTRAC, regulators, and law enforcement as required by law</w:t>
      </w:r>
    </w:p>
    <w:p>
      <w:pPr>
        <w:pStyle w:val="ListParagraph"/>
        <w:numPr>
          <w:ilvl w:val="0"/>
          <w:numId w:val="2"/>
        </w:numPr>
        <w:spacing w:after="60" w:before="60"/>
      </w:pPr>
      <w:r>
        <w:rPr>
          <w:rFonts w:ascii="Arial" w:cs="Arial" w:eastAsia="Arial" w:hAnsi="Arial"/>
          <w:color w:val="1A1A1A"/>
          <w:sz w:val="22"/>
          <w:szCs w:val="22"/>
        </w:rPr>
        <w:t xml:space="preserve">Third-party identity verification providers (e.g. Veriff, Green ID)</w:t>
      </w:r>
    </w:p>
    <w:p>
      <w:pPr>
        <w:pStyle w:val="ListParagraph"/>
        <w:numPr>
          <w:ilvl w:val="0"/>
          <w:numId w:val="2"/>
        </w:numPr>
        <w:spacing w:after="60" w:before="60"/>
      </w:pPr>
      <w:r>
        <w:rPr>
          <w:rFonts w:ascii="Arial" w:cs="Arial" w:eastAsia="Arial" w:hAnsi="Arial"/>
          <w:color w:val="1A1A1A"/>
          <w:sz w:val="22"/>
          <w:szCs w:val="22"/>
        </w:rPr>
        <w:t xml:space="preserve">Financial institutions and service providers necessary to deliver our Services</w:t>
      </w:r>
    </w:p>
    <w:p>
      <w:pPr>
        <w:pStyle w:val="ListParagraph"/>
        <w:numPr>
          <w:ilvl w:val="0"/>
          <w:numId w:val="2"/>
        </w:numPr>
        <w:spacing w:after="60" w:before="60"/>
      </w:pPr>
      <w:r>
        <w:rPr>
          <w:rFonts w:ascii="Arial" w:cs="Arial" w:eastAsia="Arial" w:hAnsi="Arial"/>
          <w:color w:val="1A1A1A"/>
          <w:sz w:val="22"/>
          <w:szCs w:val="22"/>
        </w:rPr>
        <w:t xml:space="preserve">Professional advisors for compliance and legal purposes</w:t>
      </w:r>
    </w:p>
    <w:p>
      <w:pPr>
        <w:spacing w:after="60" w:before="60"/>
      </w:pPr>
      <w:r>
        <w:t xml:space="preserve"/>
      </w:r>
    </w:p>
    <w:p>
      <w:pPr>
        <w:spacing w:after="80" w:before="80"/>
      </w:pPr>
      <w:r>
        <w:rPr>
          <w:rFonts w:ascii="Arial" w:cs="Arial" w:eastAsia="Arial" w:hAnsi="Arial"/>
          <w:color w:val="1A1A1A"/>
          <w:sz w:val="22"/>
          <w:szCs w:val="22"/>
        </w:rPr>
        <w:t xml:space="preserve">We do not sell your personal information. You have the right to access and correct your personal information by contacting us at privacy@amaxglobal.com.au.</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International Data Transfers</w:t>
      </w:r>
    </w:p>
    <w:p>
      <w:pPr>
        <w:spacing w:after="80" w:before="80"/>
      </w:pPr>
      <w:r>
        <w:rPr>
          <w:rFonts w:ascii="Arial" w:cs="Arial" w:eastAsia="Arial" w:hAnsi="Arial"/>
          <w:color w:val="1A1A1A"/>
          <w:sz w:val="22"/>
          <w:szCs w:val="22"/>
        </w:rPr>
        <w:t xml:space="preserve">AMAX may transfer your personal data to service providers located outside Australia. Where we do so, we take reasonable steps to ensure the overseas recipient handles your data in a manner consistent with the Australian Privacy Principles, including through contractual data protection arrangements. By using our Services, you consent to such transfers on this basis.</w:t>
      </w:r>
    </w:p>
    <w:p>
      <w:pPr>
        <w:pStyle w:val="Heading1"/>
        <w:pBdr>
          <w:bottom w:val="single" w:color="2E75B6" w:sz="6" w:space="4"/>
        </w:pBdr>
        <w:spacing w:after="120" w:before="400"/>
      </w:pPr>
      <w:r>
        <w:rPr>
          <w:rFonts w:ascii="Arial" w:cs="Arial" w:eastAsia="Arial" w:hAnsi="Arial"/>
          <w:b/>
          <w:bCs/>
          <w:color w:val="1F4E79"/>
          <w:sz w:val="28"/>
          <w:szCs w:val="28"/>
        </w:rPr>
        <w:t xml:space="preserve">4. Compliance and AML/CTF</w:t>
      </w:r>
    </w:p>
    <w:p>
      <w:pPr>
        <w:spacing w:after="80" w:before="80"/>
      </w:pPr>
      <w:r>
        <w:rPr>
          <w:rFonts w:ascii="Arial" w:cs="Arial" w:eastAsia="Arial" w:hAnsi="Arial"/>
          <w:color w:val="1A1A1A"/>
          <w:sz w:val="22"/>
          <w:szCs w:val="22"/>
        </w:rPr>
        <w:t xml:space="preserve">AMAX Global is a reporting entity under the Anti-Money Laundering and Counter-Terrorism Financing Act 2006 (Cth) ("AML/CTF Act") enrolled with AUSTRAC. We provide designated services including remittance and digital currency exchange and are required to comply with the full suite of AML/CTF obligations applicable to those service types.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AMAX Obligations</w:t>
      </w:r>
    </w:p>
    <w:p>
      <w:pPr>
        <w:pStyle w:val="ListParagraph"/>
        <w:numPr>
          <w:ilvl w:val="0"/>
          <w:numId w:val="2"/>
        </w:numPr>
        <w:spacing w:after="60" w:before="60"/>
      </w:pPr>
      <w:r>
        <w:rPr>
          <w:rFonts w:ascii="Arial" w:cs="Arial" w:eastAsia="Arial" w:hAnsi="Arial"/>
          <w:color w:val="1A1A1A"/>
          <w:sz w:val="22"/>
          <w:szCs w:val="22"/>
        </w:rPr>
        <w:t xml:space="preserve">Maintain an AML/CTF Program covering both Part A (risk-based systems and controls) and Part B (customer due diligence procedures)</w:t>
      </w:r>
    </w:p>
    <w:p>
      <w:pPr>
        <w:pStyle w:val="ListParagraph"/>
        <w:numPr>
          <w:ilvl w:val="0"/>
          <w:numId w:val="2"/>
        </w:numPr>
        <w:spacing w:after="60" w:before="60"/>
      </w:pPr>
      <w:r>
        <w:rPr>
          <w:rFonts w:ascii="Arial" w:cs="Arial" w:eastAsia="Arial" w:hAnsi="Arial"/>
          <w:color w:val="1A1A1A"/>
          <w:sz w:val="22"/>
          <w:szCs w:val="22"/>
        </w:rPr>
        <w:t xml:space="preserve">Conduct risk-based customer identification and verification (KYC/CDD) prior to or as soon as practicable after commencing a business relationship</w:t>
      </w:r>
    </w:p>
    <w:p>
      <w:pPr>
        <w:pStyle w:val="ListParagraph"/>
        <w:numPr>
          <w:ilvl w:val="0"/>
          <w:numId w:val="2"/>
        </w:numPr>
        <w:spacing w:after="60" w:before="60"/>
      </w:pPr>
      <w:r>
        <w:rPr>
          <w:rFonts w:ascii="Arial" w:cs="Arial" w:eastAsia="Arial" w:hAnsi="Arial"/>
          <w:color w:val="1A1A1A"/>
          <w:sz w:val="22"/>
          <w:szCs w:val="22"/>
        </w:rPr>
        <w:t xml:space="preserve">Perform ongoing customer due diligence (OCDD) and enhanced customer due diligence (ECDD) where applicable</w:t>
      </w:r>
    </w:p>
    <w:p>
      <w:pPr>
        <w:pStyle w:val="ListParagraph"/>
        <w:numPr>
          <w:ilvl w:val="0"/>
          <w:numId w:val="2"/>
        </w:numPr>
        <w:spacing w:after="60" w:before="60"/>
      </w:pPr>
      <w:r>
        <w:rPr>
          <w:rFonts w:ascii="Arial" w:cs="Arial" w:eastAsia="Arial" w:hAnsi="Arial"/>
          <w:color w:val="1A1A1A"/>
          <w:sz w:val="22"/>
          <w:szCs w:val="22"/>
        </w:rPr>
        <w:t xml:space="preserve">Monitor transactions for suspicious activity using an automated transaction monitoring program</w:t>
      </w:r>
    </w:p>
    <w:p>
      <w:pPr>
        <w:pStyle w:val="ListParagraph"/>
        <w:numPr>
          <w:ilvl w:val="0"/>
          <w:numId w:val="2"/>
        </w:numPr>
        <w:spacing w:after="60" w:before="60"/>
      </w:pPr>
      <w:r>
        <w:rPr>
          <w:rFonts w:ascii="Arial" w:cs="Arial" w:eastAsia="Arial" w:hAnsi="Arial"/>
          <w:color w:val="1A1A1A"/>
          <w:sz w:val="22"/>
          <w:szCs w:val="22"/>
        </w:rPr>
        <w:t xml:space="preserve">Submit Suspicious Matter Reports (SMRs) to AUSTRAC where required</w:t>
      </w:r>
    </w:p>
    <w:p>
      <w:pPr>
        <w:pStyle w:val="ListParagraph"/>
        <w:numPr>
          <w:ilvl w:val="0"/>
          <w:numId w:val="2"/>
        </w:numPr>
        <w:spacing w:after="60" w:before="60"/>
      </w:pPr>
      <w:r>
        <w:rPr>
          <w:rFonts w:ascii="Arial" w:cs="Arial" w:eastAsia="Arial" w:hAnsi="Arial"/>
          <w:color w:val="1A1A1A"/>
          <w:sz w:val="22"/>
          <w:szCs w:val="22"/>
        </w:rPr>
        <w:t xml:space="preserve">Submit Threshold Transaction Reports (TTRs) to AUSTRAC for physical currency transactions of AUD 10,000 or more</w:t>
      </w:r>
    </w:p>
    <w:p>
      <w:pPr>
        <w:pStyle w:val="ListParagraph"/>
        <w:numPr>
          <w:ilvl w:val="0"/>
          <w:numId w:val="2"/>
        </w:numPr>
        <w:spacing w:after="60" w:before="60"/>
      </w:pPr>
      <w:r>
        <w:rPr>
          <w:rFonts w:ascii="Arial" w:cs="Arial" w:eastAsia="Arial" w:hAnsi="Arial"/>
          <w:color w:val="1A1A1A"/>
          <w:sz w:val="22"/>
          <w:szCs w:val="22"/>
        </w:rPr>
        <w:t xml:space="preserve">Submit International Funds Transfer Instructions (IFTIs) to AUSTRAC for qualifying cross-border transfers</w:t>
      </w:r>
    </w:p>
    <w:p>
      <w:pPr>
        <w:pStyle w:val="ListParagraph"/>
        <w:numPr>
          <w:ilvl w:val="0"/>
          <w:numId w:val="2"/>
        </w:numPr>
        <w:spacing w:after="60" w:before="60"/>
      </w:pPr>
      <w:r>
        <w:rPr>
          <w:rFonts w:ascii="Arial" w:cs="Arial" w:eastAsia="Arial" w:hAnsi="Arial"/>
          <w:color w:val="1A1A1A"/>
          <w:sz w:val="22"/>
          <w:szCs w:val="22"/>
        </w:rPr>
        <w:t xml:space="preserve">Maintain records for a minimum of 7 years as required under the AML/CTF Act</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Customer Obligations</w:t>
      </w:r>
    </w:p>
    <w:p>
      <w:pPr>
        <w:pStyle w:val="ListParagraph"/>
        <w:numPr>
          <w:ilvl w:val="0"/>
          <w:numId w:val="2"/>
        </w:numPr>
        <w:spacing w:after="60" w:before="60"/>
      </w:pPr>
      <w:r>
        <w:rPr>
          <w:rFonts w:ascii="Arial" w:cs="Arial" w:eastAsia="Arial" w:hAnsi="Arial"/>
          <w:color w:val="1A1A1A"/>
          <w:sz w:val="22"/>
          <w:szCs w:val="22"/>
        </w:rPr>
        <w:t xml:space="preserve">Provide all requested identification documents and information accurately and promptly</w:t>
      </w:r>
    </w:p>
    <w:p>
      <w:pPr>
        <w:pStyle w:val="ListParagraph"/>
        <w:numPr>
          <w:ilvl w:val="0"/>
          <w:numId w:val="2"/>
        </w:numPr>
        <w:spacing w:after="60" w:before="60"/>
      </w:pPr>
      <w:r>
        <w:rPr>
          <w:rFonts w:ascii="Arial" w:cs="Arial" w:eastAsia="Arial" w:hAnsi="Arial"/>
          <w:color w:val="1A1A1A"/>
          <w:sz w:val="22"/>
          <w:szCs w:val="22"/>
        </w:rPr>
        <w:t xml:space="preserve">Respond to requests for enhanced due diligence within the timeframe specified by AMAX</w:t>
      </w:r>
    </w:p>
    <w:p>
      <w:pPr>
        <w:pStyle w:val="ListParagraph"/>
        <w:numPr>
          <w:ilvl w:val="0"/>
          <w:numId w:val="2"/>
        </w:numPr>
        <w:spacing w:after="60" w:before="60"/>
      </w:pPr>
      <w:r>
        <w:rPr>
          <w:rFonts w:ascii="Arial" w:cs="Arial" w:eastAsia="Arial" w:hAnsi="Arial"/>
          <w:color w:val="1A1A1A"/>
          <w:sz w:val="22"/>
          <w:szCs w:val="22"/>
        </w:rPr>
        <w:t xml:space="preserve">Update AMAX promptly on any changes to personal details, source of funds, beneficial ownership, PEP status, or sanctions status</w:t>
      </w:r>
    </w:p>
    <w:p>
      <w:pPr>
        <w:pStyle w:val="ListParagraph"/>
        <w:numPr>
          <w:ilvl w:val="0"/>
          <w:numId w:val="2"/>
        </w:numPr>
        <w:spacing w:after="60" w:before="60"/>
      </w:pPr>
      <w:r>
        <w:rPr>
          <w:rFonts w:ascii="Arial" w:cs="Arial" w:eastAsia="Arial" w:hAnsi="Arial"/>
          <w:color w:val="1A1A1A"/>
          <w:sz w:val="22"/>
          <w:szCs w:val="22"/>
        </w:rPr>
        <w:t xml:space="preserve">Not structure transactions or take other action designed to obstruct or circumvent AMAX's AML/CTF obligations</w:t>
      </w:r>
    </w:p>
    <w:p>
      <w:pPr>
        <w:pStyle w:val="Heading1"/>
        <w:pBdr>
          <w:bottom w:val="single" w:color="2E75B6" w:sz="6" w:space="4"/>
        </w:pBdr>
        <w:spacing w:after="120" w:before="400"/>
      </w:pPr>
      <w:r>
        <w:rPr>
          <w:rFonts w:ascii="Arial" w:cs="Arial" w:eastAsia="Arial" w:hAnsi="Arial"/>
          <w:b/>
          <w:bCs/>
          <w:color w:val="1F4E79"/>
          <w:sz w:val="28"/>
          <w:szCs w:val="28"/>
        </w:rPr>
        <w:t xml:space="preserve">5. Sanctions Compliance</w:t>
      </w:r>
    </w:p>
    <w:p>
      <w:pPr>
        <w:spacing w:after="80" w:before="80"/>
      </w:pPr>
      <w:r>
        <w:rPr>
          <w:rFonts w:ascii="Arial" w:cs="Arial" w:eastAsia="Arial" w:hAnsi="Arial"/>
          <w:color w:val="1A1A1A"/>
          <w:sz w:val="22"/>
          <w:szCs w:val="22"/>
        </w:rPr>
        <w:t xml:space="preserve">AMAX Global complies with Australian sanctions laws administered by the Department of Foreign Affairs and Trade (DFAT), UN Security Council sanctions as implemented in Australia, and other applicable international sanctions regimes.</w:t>
      </w:r>
    </w:p>
    <w:p>
      <w:pPr>
        <w:spacing w:after="60" w:before="60"/>
      </w:pPr>
      <w:r>
        <w:t xml:space="preserve"/>
      </w:r>
    </w:p>
    <w:p>
      <w:pPr>
        <w:spacing w:after="80" w:before="80"/>
      </w:pPr>
      <w:r>
        <w:rPr>
          <w:rFonts w:ascii="Arial" w:cs="Arial" w:eastAsia="Arial" w:hAnsi="Arial"/>
          <w:color w:val="1A1A1A"/>
          <w:sz w:val="22"/>
          <w:szCs w:val="22"/>
        </w:rPr>
        <w:t xml:space="preserve">You declare that:</w:t>
      </w:r>
    </w:p>
    <w:p>
      <w:pPr>
        <w:pStyle w:val="ListParagraph"/>
        <w:numPr>
          <w:ilvl w:val="0"/>
          <w:numId w:val="2"/>
        </w:numPr>
        <w:spacing w:after="60" w:before="60"/>
      </w:pPr>
      <w:r>
        <w:rPr>
          <w:rFonts w:ascii="Arial" w:cs="Arial" w:eastAsia="Arial" w:hAnsi="Arial"/>
          <w:color w:val="1A1A1A"/>
          <w:sz w:val="22"/>
          <w:szCs w:val="22"/>
        </w:rPr>
        <w:t xml:space="preserve">You are not listed on the DFAT Consolidated List, the UN Security Council Consolidated List, or any other applicable sanctions list</w:t>
      </w:r>
    </w:p>
    <w:p>
      <w:pPr>
        <w:pStyle w:val="ListParagraph"/>
        <w:numPr>
          <w:ilvl w:val="0"/>
          <w:numId w:val="2"/>
        </w:numPr>
        <w:spacing w:after="60" w:before="60"/>
      </w:pPr>
      <w:r>
        <w:rPr>
          <w:rFonts w:ascii="Arial" w:cs="Arial" w:eastAsia="Arial" w:hAnsi="Arial"/>
          <w:color w:val="1A1A1A"/>
          <w:sz w:val="22"/>
          <w:szCs w:val="22"/>
        </w:rPr>
        <w:t xml:space="preserve">You are not acting on behalf of a sanctioned person or entity</w:t>
      </w:r>
    </w:p>
    <w:p>
      <w:pPr>
        <w:pStyle w:val="ListParagraph"/>
        <w:numPr>
          <w:ilvl w:val="0"/>
          <w:numId w:val="2"/>
        </w:numPr>
        <w:spacing w:after="60" w:before="60"/>
      </w:pPr>
      <w:r>
        <w:rPr>
          <w:rFonts w:ascii="Arial" w:cs="Arial" w:eastAsia="Arial" w:hAnsi="Arial"/>
          <w:color w:val="1A1A1A"/>
          <w:sz w:val="22"/>
          <w:szCs w:val="22"/>
        </w:rPr>
        <w:t xml:space="preserve">Funds being transacted do not originate from or relate to sanctioned jurisdictions, persons, or entities</w:t>
      </w:r>
    </w:p>
    <w:p>
      <w:pPr>
        <w:spacing w:after="60" w:before="60"/>
      </w:pPr>
      <w:r>
        <w:t xml:space="preserve"/>
      </w:r>
    </w:p>
    <w:p>
      <w:pPr>
        <w:spacing w:after="80" w:before="80"/>
      </w:pPr>
      <w:r>
        <w:rPr>
          <w:rFonts w:ascii="Arial" w:cs="Arial" w:eastAsia="Arial" w:hAnsi="Arial"/>
          <w:color w:val="1A1A1A"/>
          <w:sz w:val="22"/>
          <w:szCs w:val="22"/>
        </w:rPr>
        <w:t xml:space="preserve">AMAX independently screens all accounts and transactions against applicable sanctions lists. We may freeze, block, or restrict accounts and transactions without prior notice where required by law. We will notify you to the extent permitted under applicable law.</w:t>
      </w:r>
    </w:p>
    <w:p>
      <w:pPr>
        <w:pStyle w:val="Heading1"/>
        <w:pBdr>
          <w:bottom w:val="single" w:color="2E75B6" w:sz="6" w:space="4"/>
        </w:pBdr>
        <w:spacing w:after="120" w:before="400"/>
      </w:pPr>
      <w:r>
        <w:rPr>
          <w:rFonts w:ascii="Arial" w:cs="Arial" w:eastAsia="Arial" w:hAnsi="Arial"/>
          <w:b/>
          <w:bCs/>
          <w:color w:val="1F4E79"/>
          <w:sz w:val="28"/>
          <w:szCs w:val="28"/>
        </w:rPr>
        <w:t xml:space="preserve">6. Digital Currency Risk Disclosure</w:t>
      </w:r>
    </w:p>
    <w:p>
      <w:pPr>
        <w:spacing w:after="80" w:before="80"/>
      </w:pPr>
      <w:r>
        <w:rPr>
          <w:rFonts w:ascii="Arial" w:cs="Arial" w:eastAsia="Arial" w:hAnsi="Arial"/>
          <w:color w:val="1A1A1A"/>
          <w:sz w:val="22"/>
          <w:szCs w:val="22"/>
        </w:rPr>
        <w:t xml:space="preserve">Digital currency services involve significant risk. You should carefully consider whether digital currency exchange is appropriate for you in light of your financial circumstances and risk tolerance. AMAX does not provide financial advice in relation to digital currencies.</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Price Volatility — prices can change rapidly and materially. You may lose all or part of the value of your digital currency holdings at any time.</w:t>
      </w:r>
    </w:p>
    <w:p>
      <w:pPr>
        <w:pStyle w:val="ListParagraph"/>
        <w:numPr>
          <w:ilvl w:val="0"/>
          <w:numId w:val="2"/>
        </w:numPr>
        <w:spacing w:after="60" w:before="60"/>
      </w:pPr>
      <w:r>
        <w:rPr>
          <w:rFonts w:ascii="Arial" w:cs="Arial" w:eastAsia="Arial" w:hAnsi="Arial"/>
          <w:color w:val="1A1A1A"/>
          <w:sz w:val="22"/>
          <w:szCs w:val="22"/>
        </w:rPr>
        <w:t xml:space="preserve">Irreversibility — transactions on public blockchains are generally irreversible once confirmed. AMAX cannot reverse a transaction that has been broadcast to a blockchain network.</w:t>
      </w:r>
    </w:p>
    <w:p>
      <w:pPr>
        <w:pStyle w:val="ListParagraph"/>
        <w:numPr>
          <w:ilvl w:val="0"/>
          <w:numId w:val="2"/>
        </w:numPr>
        <w:spacing w:after="60" w:before="60"/>
      </w:pPr>
      <w:r>
        <w:rPr>
          <w:rFonts w:ascii="Arial" w:cs="Arial" w:eastAsia="Arial" w:hAnsi="Arial"/>
          <w:color w:val="1A1A1A"/>
          <w:sz w:val="22"/>
          <w:szCs w:val="22"/>
        </w:rPr>
        <w:t xml:space="preserve">Technology Risk — blockchain networks may experience congestion, forks, protocol changes, or outages that may affect the availability or value of digital currencies.</w:t>
      </w:r>
    </w:p>
    <w:p>
      <w:pPr>
        <w:pStyle w:val="ListParagraph"/>
        <w:numPr>
          <w:ilvl w:val="0"/>
          <w:numId w:val="2"/>
        </w:numPr>
        <w:spacing w:after="60" w:before="60"/>
      </w:pPr>
      <w:r>
        <w:rPr>
          <w:rFonts w:ascii="Arial" w:cs="Arial" w:eastAsia="Arial" w:hAnsi="Arial"/>
          <w:color w:val="1A1A1A"/>
          <w:sz w:val="22"/>
          <w:szCs w:val="22"/>
        </w:rPr>
        <w:t xml:space="preserve">Liquidity Risk — limited market liquidity may prevent timely execution of transactions or result in prices significantly different from quoted prices.</w:t>
      </w:r>
    </w:p>
    <w:p>
      <w:pPr>
        <w:pStyle w:val="ListParagraph"/>
        <w:numPr>
          <w:ilvl w:val="0"/>
          <w:numId w:val="2"/>
        </w:numPr>
        <w:spacing w:after="60" w:before="60"/>
      </w:pPr>
      <w:r>
        <w:rPr>
          <w:rFonts w:ascii="Arial" w:cs="Arial" w:eastAsia="Arial" w:hAnsi="Arial"/>
          <w:color w:val="1A1A1A"/>
          <w:sz w:val="22"/>
          <w:szCs w:val="22"/>
        </w:rPr>
        <w:t xml:space="preserve">Regulatory Risk — changes in Australian or international laws or regulations may impact the value, legality, or availability of digital currencies or AMAX's ability to continue offering digital currency services.</w:t>
      </w:r>
    </w:p>
    <w:p>
      <w:pPr>
        <w:pStyle w:val="ListParagraph"/>
        <w:numPr>
          <w:ilvl w:val="0"/>
          <w:numId w:val="2"/>
        </w:numPr>
        <w:spacing w:after="60" w:before="60"/>
      </w:pPr>
      <w:r>
        <w:rPr>
          <w:rFonts w:ascii="Arial" w:cs="Arial" w:eastAsia="Arial" w:hAnsi="Arial"/>
          <w:color w:val="1A1A1A"/>
          <w:sz w:val="22"/>
          <w:szCs w:val="22"/>
        </w:rPr>
        <w:t xml:space="preserve">Custody Risk — digital currencies held with AMAX are held as part of AMAX's operational processes and are not held in a segregated custody arrangement.</w:t>
      </w:r>
    </w:p>
    <w:p>
      <w:pPr>
        <w:spacing w:after="60" w:before="60"/>
      </w:pPr>
      <w:r>
        <w:t xml:space="preserve"/>
      </w:r>
    </w:p>
    <w:p>
      <w:pPr>
        <w:spacing w:after="80" w:before="80"/>
      </w:pPr>
      <w:r>
        <w:rPr>
          <w:rFonts w:ascii="Arial" w:cs="Arial" w:eastAsia="Arial" w:hAnsi="Arial"/>
          <w:b/>
          <w:bCs/>
          <w:color w:val="1A1A1A"/>
          <w:sz w:val="22"/>
          <w:szCs w:val="22"/>
        </w:rPr>
        <w:t xml:space="preserve">Important: </w:t>
      </w:r>
      <w:r>
        <w:rPr>
          <w:rFonts w:ascii="Arial" w:cs="Arial" w:eastAsia="Arial" w:hAnsi="Arial"/>
          <w:color w:val="1A1A1A"/>
          <w:sz w:val="22"/>
          <w:szCs w:val="22"/>
        </w:rPr>
        <w:t xml:space="preserve">Digital currencies are not legal tender in Australia, are not government-backed, and are not covered by the Financial Claims Scheme. AUD balances held in your AMAX eWallet are also not protected by the Financial Claims Scheme, as AMAX is not an Authorised Deposit-taking Institution (ADI).</w:t>
      </w:r>
    </w:p>
    <w:p>
      <w:pPr>
        <w:pStyle w:val="Heading1"/>
        <w:pBdr>
          <w:bottom w:val="single" w:color="2E75B6" w:sz="6" w:space="4"/>
        </w:pBdr>
        <w:spacing w:after="120" w:before="400"/>
      </w:pPr>
      <w:r>
        <w:rPr>
          <w:rFonts w:ascii="Arial" w:cs="Arial" w:eastAsia="Arial" w:hAnsi="Arial"/>
          <w:b/>
          <w:bCs/>
          <w:color w:val="1F4E79"/>
          <w:sz w:val="28"/>
          <w:szCs w:val="28"/>
        </w:rPr>
        <w:t xml:space="preserve">7. Account Terms</w:t>
      </w:r>
    </w:p>
    <w:p>
      <w:pPr>
        <w:pStyle w:val="Heading2"/>
        <w:spacing w:after="80" w:before="280"/>
      </w:pPr>
      <w:r>
        <w:rPr>
          <w:rFonts w:ascii="Arial" w:cs="Arial" w:eastAsia="Arial" w:hAnsi="Arial"/>
          <w:b/>
          <w:bCs/>
          <w:color w:val="2E75B6"/>
          <w:sz w:val="24"/>
          <w:szCs w:val="24"/>
        </w:rPr>
        <w:t xml:space="preserve">Account Opening</w:t>
      </w:r>
    </w:p>
    <w:p>
      <w:pPr>
        <w:spacing w:after="80" w:before="80"/>
      </w:pPr>
      <w:r>
        <w:rPr>
          <w:rFonts w:ascii="Arial" w:cs="Arial" w:eastAsia="Arial" w:hAnsi="Arial"/>
          <w:color w:val="1A1A1A"/>
          <w:sz w:val="22"/>
          <w:szCs w:val="22"/>
        </w:rPr>
        <w:t xml:space="preserve">Account opening is subject to satisfactory identity verification and risk assessment. AMAX reserves the right to decline any application at its discretion.</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Transaction Limits</w:t>
      </w:r>
    </w:p>
    <w:p>
      <w:pPr>
        <w:spacing w:after="80" w:before="80"/>
      </w:pPr>
      <w:r>
        <w:rPr>
          <w:rFonts w:ascii="Arial" w:cs="Arial" w:eastAsia="Arial" w:hAnsi="Arial"/>
          <w:color w:val="1A1A1A"/>
          <w:sz w:val="22"/>
          <w:szCs w:val="22"/>
        </w:rPr>
        <w:t xml:space="preserve">Default transaction limits apply to all accounts. Enhanced limits may be available upon completion of additional KYC verification. Limits may be adjusted by AMAX at any time in accordance with its risk management policies.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Fees and Charges</w:t>
      </w:r>
    </w:p>
    <w:p>
      <w:pPr>
        <w:spacing w:after="80" w:before="80"/>
      </w:pPr>
      <w:r>
        <w:rPr>
          <w:rFonts w:ascii="Arial" w:cs="Arial" w:eastAsia="Arial" w:hAnsi="Arial"/>
          <w:color w:val="1A1A1A"/>
          <w:sz w:val="22"/>
          <w:szCs w:val="22"/>
        </w:rPr>
        <w:t xml:space="preserve">Fees applicable to our Services are published on our website and within the AMAX platform. We will provide at least 14 days' notice before increasing fees or introducing new fee types, unless a change is required urgently to comply with applicable law. Your continued use of the Services after the notice period constitutes acceptance of the updated fees.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Changes to this Agreement</w:t>
      </w:r>
    </w:p>
    <w:p>
      <w:pPr>
        <w:spacing w:after="80" w:before="80"/>
      </w:pPr>
      <w:r>
        <w:rPr>
          <w:rFonts w:ascii="Arial" w:cs="Arial" w:eastAsia="Arial" w:hAnsi="Arial"/>
          <w:color w:val="1A1A1A"/>
          <w:sz w:val="22"/>
          <w:szCs w:val="22"/>
        </w:rPr>
        <w:t xml:space="preserve">AMAX may update this Agreement at any time. For material changes, we will provide at least 30 days' notice via email or in-app notification. For changes required urgently by law or regulation, we will notify you as soon as practicable. Your continued use of the Services after the notice period constitutes your acceptance of the updated terms. If you do not accept the changes, you may close your account before the changes take effect.</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Account Security</w:t>
      </w:r>
    </w:p>
    <w:p>
      <w:pPr>
        <w:spacing w:after="80" w:before="80"/>
      </w:pPr>
      <w:r>
        <w:rPr>
          <w:rFonts w:ascii="Arial" w:cs="Arial" w:eastAsia="Arial" w:hAnsi="Arial"/>
          <w:color w:val="1A1A1A"/>
          <w:sz w:val="22"/>
          <w:szCs w:val="22"/>
        </w:rPr>
        <w:t xml:space="preserve">You are responsible for safeguarding your login credentials, including your password and any two-factor authentication codes. You must not share your credentials with any third party. If you believe your account has been compromised, notify us immediately at support@amaxglobal.com.au or via in-app support. AMAX is not liable for losses resulting from your failure to maintain the security of your account credentials.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Dormant Accounts</w:t>
      </w:r>
    </w:p>
    <w:p>
      <w:pPr>
        <w:spacing w:after="80" w:before="80"/>
      </w:pPr>
      <w:r>
        <w:rPr>
          <w:rFonts w:ascii="Arial" w:cs="Arial" w:eastAsia="Arial" w:hAnsi="Arial"/>
          <w:color w:val="1A1A1A"/>
          <w:sz w:val="22"/>
          <w:szCs w:val="22"/>
        </w:rPr>
        <w:t xml:space="preserve">An account is considered dormant if there has been no customer-initiated activity for 12 consecutive months. Before treating an account as dormant, AMAX will send written notice to your registered email address. Dormant account balances will be dealt with in accordance with the Unclaimed Money Act 1995 (NSW) and Part 9.8 of the Corporations Act 2001 (Cth), as applicable. You may recover any remitted funds by contacting ASIC or the relevant state revenue authority.</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Account Closure — by AMAX</w:t>
      </w:r>
    </w:p>
    <w:p>
      <w:pPr>
        <w:spacing w:after="80" w:before="80"/>
      </w:pPr>
      <w:r>
        <w:rPr>
          <w:rFonts w:ascii="Arial" w:cs="Arial" w:eastAsia="Arial" w:hAnsi="Arial"/>
          <w:color w:val="1A1A1A"/>
          <w:sz w:val="22"/>
          <w:szCs w:val="22"/>
        </w:rPr>
        <w:t xml:space="preserve">AMAX may close or suspend your account for legal, regulatory, risk, or compliance reasons. Where possible, AMAX will provide 30 days' notice, except where immediate closure is required by law or to prevent financial crime, fraud, or harm. In such cases, we will notify you as soon as legally permitted.</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Account Closure — by You</w:t>
      </w:r>
    </w:p>
    <w:p>
      <w:pPr>
        <w:spacing w:after="80" w:before="80"/>
      </w:pPr>
      <w:r>
        <w:rPr>
          <w:rFonts w:ascii="Arial" w:cs="Arial" w:eastAsia="Arial" w:hAnsi="Arial"/>
          <w:color w:val="1A1A1A"/>
          <w:sz w:val="22"/>
          <w:szCs w:val="22"/>
        </w:rPr>
        <w:t xml:space="preserve">You may close your account at any time by contacting support@amaxglobal.com.au or via in-app support. You must not close your account to evade a compliance investigation, a pending transaction, or an open dispute. Upon closure, any remaining balance will be returned to your nominated bank account following completion of required compliance checks. AMAX will retain your records for the periods required under the AML/CTF Act and other applicable laws.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Currency Conversion</w:t>
      </w:r>
    </w:p>
    <w:p>
      <w:pPr>
        <w:spacing w:after="80" w:before="80"/>
      </w:pPr>
      <w:r>
        <w:rPr>
          <w:rFonts w:ascii="Arial" w:cs="Arial" w:eastAsia="Arial" w:hAnsi="Arial"/>
          <w:color w:val="1A1A1A"/>
          <w:sz w:val="22"/>
          <w:szCs w:val="22"/>
        </w:rPr>
        <w:t xml:space="preserve">Exchange rates are confirmed at the time of transaction. AMAX applies a spread to the mid-market rate, which forms part of our fee for currency conversion. Indicative rates displayed in-platform are subject to change until a transaction is confirmed. AMAX may decline any currency conversion order where required by law or for risk management purposes.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Complaints</w:t>
      </w:r>
    </w:p>
    <w:p>
      <w:pPr>
        <w:spacing w:after="80" w:before="80"/>
      </w:pPr>
      <w:r>
        <w:rPr>
          <w:rFonts w:ascii="Arial" w:cs="Arial" w:eastAsia="Arial" w:hAnsi="Arial"/>
          <w:color w:val="1A1A1A"/>
          <w:sz w:val="22"/>
          <w:szCs w:val="22"/>
        </w:rPr>
        <w:t xml:space="preserve">If you have a complaint, please contact us at complaints@amaxglobal.com.au. We will acknowledge your complaint within 1 business day and aim to resolve it within 30 calendar days. If unresolved, you may escalate to the Australian Financial Complaints Authority (AFCA) at www.afca.org.au or by calling 1800 931 678. AFCA provides free, independent dispute resolution.</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Record Keeping</w:t>
      </w:r>
    </w:p>
    <w:p>
      <w:pPr>
        <w:spacing w:after="80" w:before="80"/>
      </w:pPr>
      <w:r>
        <w:rPr>
          <w:rFonts w:ascii="Arial" w:cs="Arial" w:eastAsia="Arial" w:hAnsi="Arial"/>
          <w:color w:val="1A1A1A"/>
          <w:sz w:val="22"/>
          <w:szCs w:val="22"/>
        </w:rPr>
        <w:t xml:space="preserve">AMAX retains transaction records, identification documents, and related compliance records for a minimum of 7 years from the date of the relevant transaction or the end of the customer relationship, as required under the AML/CTF Act.</w:t>
      </w:r>
    </w:p>
    <w:p>
      <w:pPr>
        <w:pStyle w:val="Heading1"/>
        <w:pBdr>
          <w:bottom w:val="single" w:color="2E75B6" w:sz="6" w:space="4"/>
        </w:pBdr>
        <w:spacing w:after="120" w:before="400"/>
      </w:pPr>
      <w:r>
        <w:rPr>
          <w:rFonts w:ascii="Arial" w:cs="Arial" w:eastAsia="Arial" w:hAnsi="Arial"/>
          <w:b/>
          <w:bCs/>
          <w:color w:val="1F4E79"/>
          <w:sz w:val="28"/>
          <w:szCs w:val="28"/>
        </w:rPr>
        <w:t xml:space="preserve">8. Erroneous and Unauthorised Transactions</w:t>
      </w:r>
    </w:p>
    <w:p>
      <w:pPr>
        <w:pStyle w:val="Heading2"/>
        <w:spacing w:after="80" w:before="280"/>
      </w:pPr>
      <w:r>
        <w:rPr>
          <w:rFonts w:ascii="Arial" w:cs="Arial" w:eastAsia="Arial" w:hAnsi="Arial"/>
          <w:b/>
          <w:bCs/>
          <w:color w:val="2E75B6"/>
          <w:sz w:val="24"/>
          <w:szCs w:val="24"/>
        </w:rPr>
        <w:t xml:space="preserve">Reporting Errors</w:t>
      </w:r>
    </w:p>
    <w:p>
      <w:pPr>
        <w:spacing w:after="80" w:before="80"/>
      </w:pPr>
      <w:r>
        <w:rPr>
          <w:rFonts w:ascii="Arial" w:cs="Arial" w:eastAsia="Arial" w:hAnsi="Arial"/>
          <w:color w:val="1A1A1A"/>
          <w:sz w:val="22"/>
          <w:szCs w:val="22"/>
        </w:rPr>
        <w:t xml:space="preserve">If you believe a transaction is incorrect, duplicated, or was not authorised by you, you must notify AMAX as soon as possible and no later than 13 months from the transaction date, by contacting support@amaxglobal.com.au or via in-app support.</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Investigation</w:t>
      </w:r>
    </w:p>
    <w:p>
      <w:pPr>
        <w:spacing w:after="80" w:before="80"/>
      </w:pPr>
      <w:r>
        <w:rPr>
          <w:rFonts w:ascii="Arial" w:cs="Arial" w:eastAsia="Arial" w:hAnsi="Arial"/>
          <w:color w:val="1A1A1A"/>
          <w:sz w:val="22"/>
          <w:szCs w:val="22"/>
        </w:rPr>
        <w:t xml:space="preserve">Upon receiving your report, AMAX will investigate and aim to provide a written response within 21 calendar days (or 45 days for complex matters). Where an error or unauthorised transaction is confirmed and AMAX is at fault, AMAX will endeavour to correct the error, including by crediting your account or initiating a fund recall where feasible.</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Misdirected Funds</w:t>
      </w:r>
    </w:p>
    <w:p>
      <w:pPr>
        <w:spacing w:after="80" w:before="80"/>
      </w:pPr>
      <w:r>
        <w:rPr>
          <w:rFonts w:ascii="Arial" w:cs="Arial" w:eastAsia="Arial" w:hAnsi="Arial"/>
          <w:color w:val="1A1A1A"/>
          <w:sz w:val="22"/>
          <w:szCs w:val="22"/>
        </w:rPr>
        <w:t xml:space="preserve">If a payment is sent to an incorrect account because you provided incorrect payment details, AMAX will use reasonable efforts to assist recovery by contacting the receiving institution on your behalf. Recovery is not guaranteed and may incur third-party costs. AMAX is not liable for losses arising from incorrect payment details provided by you.</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Limitations</w:t>
      </w:r>
    </w:p>
    <w:p>
      <w:pPr>
        <w:spacing w:after="80" w:before="80"/>
      </w:pPr>
      <w:r>
        <w:rPr>
          <w:rFonts w:ascii="Arial" w:cs="Arial" w:eastAsia="Arial" w:hAnsi="Arial"/>
          <w:color w:val="1A1A1A"/>
          <w:sz w:val="22"/>
          <w:szCs w:val="22"/>
        </w:rPr>
        <w:t xml:space="preserve">For remittance transactions, once funds have been paid out to the beneficiary, reversal may not be possible. For digital currency transactions, confirmed blockchain transactions cannot be reversed by AMAX. Verify all transaction details carefully before confirming any payment.</w:t>
      </w:r>
    </w:p>
    <w:p>
      <w:pPr>
        <w:pStyle w:val="Heading1"/>
        <w:pBdr>
          <w:bottom w:val="single" w:color="2E75B6" w:sz="6" w:space="4"/>
        </w:pBdr>
        <w:spacing w:after="120" w:before="400"/>
      </w:pPr>
      <w:r>
        <w:rPr>
          <w:rFonts w:ascii="Arial" w:cs="Arial" w:eastAsia="Arial" w:hAnsi="Arial"/>
          <w:b/>
          <w:bCs/>
          <w:color w:val="1F4E79"/>
          <w:sz w:val="28"/>
          <w:szCs w:val="28"/>
        </w:rPr>
        <w:t xml:space="preserve">9. Liability</w:t>
      </w:r>
    </w:p>
    <w:p>
      <w:pPr>
        <w:pStyle w:val="Heading2"/>
        <w:spacing w:after="80" w:before="280"/>
      </w:pPr>
      <w:r>
        <w:rPr>
          <w:rFonts w:ascii="Arial" w:cs="Arial" w:eastAsia="Arial" w:hAnsi="Arial"/>
          <w:b/>
          <w:bCs/>
          <w:color w:val="2E75B6"/>
          <w:sz w:val="24"/>
          <w:szCs w:val="24"/>
        </w:rPr>
        <w:t xml:space="preserve">AMAX's Liability</w:t>
      </w:r>
    </w:p>
    <w:p>
      <w:pPr>
        <w:spacing w:after="80" w:before="80"/>
      </w:pPr>
      <w:r>
        <w:rPr>
          <w:rFonts w:ascii="Arial" w:cs="Arial" w:eastAsia="Arial" w:hAnsi="Arial"/>
          <w:color w:val="1A1A1A"/>
          <w:sz w:val="22"/>
          <w:szCs w:val="22"/>
        </w:rPr>
        <w:t xml:space="preserve">To the extent permitted by law, AMAX's liability to you is limited to direct losses that are a reasonably foreseeable consequence of AMAX's breach of this Agreement or negligence. AMAX is not liable for indirect, consequential, special, punitive, or exemplary losses, including loss of profits, loss of opportunity, or loss of data, even if AMAX has been advised of the possibility of such losses.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Exclusions</w:t>
      </w:r>
    </w:p>
    <w:p>
      <w:pPr>
        <w:spacing w:after="80" w:before="80"/>
      </w:pPr>
      <w:r>
        <w:rPr>
          <w:rFonts w:ascii="Arial" w:cs="Arial" w:eastAsia="Arial" w:hAnsi="Arial"/>
          <w:color w:val="1A1A1A"/>
          <w:sz w:val="22"/>
          <w:szCs w:val="22"/>
        </w:rPr>
        <w:t xml:space="preserve">AMAX is not liable for losses arising from:</w:t>
      </w:r>
    </w:p>
    <w:p>
      <w:pPr>
        <w:pStyle w:val="ListParagraph"/>
        <w:numPr>
          <w:ilvl w:val="0"/>
          <w:numId w:val="2"/>
        </w:numPr>
        <w:spacing w:after="60" w:before="60"/>
      </w:pPr>
      <w:r>
        <w:rPr>
          <w:rFonts w:ascii="Arial" w:cs="Arial" w:eastAsia="Arial" w:hAnsi="Arial"/>
          <w:color w:val="1A1A1A"/>
          <w:sz w:val="22"/>
          <w:szCs w:val="22"/>
        </w:rPr>
        <w:t xml:space="preserve">Your failure to maintain the security of your account credentials</w:t>
      </w:r>
    </w:p>
    <w:p>
      <w:pPr>
        <w:pStyle w:val="ListParagraph"/>
        <w:numPr>
          <w:ilvl w:val="0"/>
          <w:numId w:val="2"/>
        </w:numPr>
        <w:spacing w:after="60" w:before="60"/>
      </w:pPr>
      <w:r>
        <w:rPr>
          <w:rFonts w:ascii="Arial" w:cs="Arial" w:eastAsia="Arial" w:hAnsi="Arial"/>
          <w:color w:val="1A1A1A"/>
          <w:sz w:val="22"/>
          <w:szCs w:val="22"/>
        </w:rPr>
        <w:t xml:space="preserve">You providing incorrect payment details or instructions</w:t>
      </w:r>
    </w:p>
    <w:p>
      <w:pPr>
        <w:pStyle w:val="ListParagraph"/>
        <w:numPr>
          <w:ilvl w:val="0"/>
          <w:numId w:val="2"/>
        </w:numPr>
        <w:spacing w:after="60" w:before="60"/>
      </w:pPr>
      <w:r>
        <w:rPr>
          <w:rFonts w:ascii="Arial" w:cs="Arial" w:eastAsia="Arial" w:hAnsi="Arial"/>
          <w:color w:val="1A1A1A"/>
          <w:sz w:val="22"/>
          <w:szCs w:val="22"/>
        </w:rPr>
        <w:t xml:space="preserve">Third-party service failures, including correspondent bank failures or blockchain network outages outside AMAX's control</w:t>
      </w:r>
    </w:p>
    <w:p>
      <w:pPr>
        <w:pStyle w:val="ListParagraph"/>
        <w:numPr>
          <w:ilvl w:val="0"/>
          <w:numId w:val="2"/>
        </w:numPr>
        <w:spacing w:after="60" w:before="60"/>
      </w:pPr>
      <w:r>
        <w:rPr>
          <w:rFonts w:ascii="Arial" w:cs="Arial" w:eastAsia="Arial" w:hAnsi="Arial"/>
          <w:color w:val="1A1A1A"/>
          <w:sz w:val="22"/>
          <w:szCs w:val="22"/>
        </w:rPr>
        <w:t xml:space="preserve">Delays or failures caused by circumstances beyond AMAX's reasonable control (see Force Majeure)</w:t>
      </w:r>
    </w:p>
    <w:p>
      <w:pPr>
        <w:pStyle w:val="ListParagraph"/>
        <w:numPr>
          <w:ilvl w:val="0"/>
          <w:numId w:val="2"/>
        </w:numPr>
        <w:spacing w:after="60" w:before="60"/>
      </w:pPr>
      <w:r>
        <w:rPr>
          <w:rFonts w:ascii="Arial" w:cs="Arial" w:eastAsia="Arial" w:hAnsi="Arial"/>
          <w:color w:val="1A1A1A"/>
          <w:sz w:val="22"/>
          <w:szCs w:val="22"/>
        </w:rPr>
        <w:t xml:space="preserve">Market fluctuations affecting the value of currencies or digital assets</w:t>
      </w:r>
    </w:p>
    <w:p>
      <w:pPr>
        <w:spacing w:after="60" w:before="60"/>
      </w:pPr>
      <w:r>
        <w:t xml:space="preserve"/>
      </w:r>
    </w:p>
    <w:p>
      <w:pPr>
        <w:pStyle w:val="Heading2"/>
        <w:spacing w:after="80" w:before="280"/>
      </w:pPr>
      <w:r>
        <w:rPr>
          <w:rFonts w:ascii="Arial" w:cs="Arial" w:eastAsia="Arial" w:hAnsi="Arial"/>
          <w:b/>
          <w:bCs/>
          <w:color w:val="2E75B6"/>
          <w:sz w:val="24"/>
          <w:szCs w:val="24"/>
        </w:rPr>
        <w:t xml:space="preserve">Non-Excludable Rights</w:t>
      </w:r>
    </w:p>
    <w:p>
      <w:pPr>
        <w:spacing w:after="80" w:before="80"/>
      </w:pPr>
      <w:r>
        <w:rPr>
          <w:rFonts w:ascii="Arial" w:cs="Arial" w:eastAsia="Arial" w:hAnsi="Arial"/>
          <w:color w:val="1A1A1A"/>
          <w:sz w:val="22"/>
          <w:szCs w:val="22"/>
        </w:rPr>
        <w:t xml:space="preserve">Nothing in this Agreement excludes or limits AMAX's liability for death or personal injury caused by its negligence, fraud or fraudulent misrepresentation, or any liability that cannot lawfully be limited or excluded under the Australian Consumer Law (Schedule 2 to the Competition and Consumer Act 2010 (Cth)).</w:t>
      </w:r>
    </w:p>
    <w:p>
      <w:pPr>
        <w:pStyle w:val="Heading1"/>
        <w:pBdr>
          <w:bottom w:val="single" w:color="2E75B6" w:sz="6" w:space="4"/>
        </w:pBdr>
        <w:spacing w:after="120" w:before="400"/>
      </w:pPr>
      <w:r>
        <w:rPr>
          <w:rFonts w:ascii="Arial" w:cs="Arial" w:eastAsia="Arial" w:hAnsi="Arial"/>
          <w:b/>
          <w:bCs/>
          <w:color w:val="1F4E79"/>
          <w:sz w:val="28"/>
          <w:szCs w:val="28"/>
        </w:rPr>
        <w:t xml:space="preserve">10. Force Majeure</w:t>
      </w:r>
    </w:p>
    <w:p>
      <w:pPr>
        <w:spacing w:after="80" w:before="80"/>
      </w:pPr>
      <w:r>
        <w:rPr>
          <w:rFonts w:ascii="Arial" w:cs="Arial" w:eastAsia="Arial" w:hAnsi="Arial"/>
          <w:color w:val="1A1A1A"/>
          <w:sz w:val="22"/>
          <w:szCs w:val="22"/>
        </w:rPr>
        <w:t xml:space="preserve">AMAX will not be liable for any delay or failure to perform its obligations under this Agreement to the extent caused by circumstances beyond its reasonable control, including acts of God, natural disasters, pandemic, war, terrorism, government or regulatory action, power failure, internet or telecommunications outage, cyberattack, or failure of a third-party service provider.</w:t>
      </w:r>
    </w:p>
    <w:p>
      <w:pPr>
        <w:spacing w:after="60" w:before="60"/>
      </w:pPr>
      <w:r>
        <w:t xml:space="preserve"/>
      </w:r>
    </w:p>
    <w:p>
      <w:pPr>
        <w:spacing w:after="80" w:before="80"/>
      </w:pPr>
      <w:r>
        <w:rPr>
          <w:rFonts w:ascii="Arial" w:cs="Arial" w:eastAsia="Arial" w:hAnsi="Arial"/>
          <w:color w:val="1A1A1A"/>
          <w:sz w:val="22"/>
          <w:szCs w:val="22"/>
        </w:rPr>
        <w:t xml:space="preserve">In the event of a force majeure event, AMAX will notify you as soon as reasonably practicable and will use reasonable efforts to resume normal service as soon as possible. If the event continues for more than 30 days, either party may close the account in accordance with the account closure provisions of this Agreement.</w:t>
      </w:r>
    </w:p>
    <w:p>
      <w:pPr>
        <w:pStyle w:val="Heading1"/>
        <w:pBdr>
          <w:bottom w:val="single" w:color="2E75B6" w:sz="6" w:space="4"/>
        </w:pBdr>
        <w:spacing w:after="120" w:before="400"/>
      </w:pPr>
      <w:r>
        <w:rPr>
          <w:rFonts w:ascii="Arial" w:cs="Arial" w:eastAsia="Arial" w:hAnsi="Arial"/>
          <w:b/>
          <w:bCs/>
          <w:color w:val="1F4E79"/>
          <w:sz w:val="28"/>
          <w:szCs w:val="28"/>
        </w:rPr>
        <w:t xml:space="preserve">11. Platform Use and Intellectual Property</w:t>
      </w:r>
    </w:p>
    <w:p>
      <w:pPr>
        <w:spacing w:after="80" w:before="80"/>
      </w:pPr>
      <w:r>
        <w:rPr>
          <w:rFonts w:ascii="Arial" w:cs="Arial" w:eastAsia="Arial" w:hAnsi="Arial"/>
          <w:color w:val="1A1A1A"/>
          <w:sz w:val="22"/>
          <w:szCs w:val="22"/>
        </w:rPr>
        <w:t xml:space="preserve">AMAX grants you a limited, non-exclusive, non-transferable, revocable licence to access and use the AMAX platform (website and mobile application) solely for the purpose of accessing the Services in accordance with this Agreement.</w:t>
      </w:r>
    </w:p>
    <w:p>
      <w:pPr>
        <w:spacing w:after="60" w:before="60"/>
      </w:pPr>
      <w:r>
        <w:t xml:space="preserve"/>
      </w:r>
    </w:p>
    <w:p>
      <w:pPr>
        <w:spacing w:after="80" w:before="80"/>
      </w:pPr>
      <w:r>
        <w:rPr>
          <w:rFonts w:ascii="Arial" w:cs="Arial" w:eastAsia="Arial" w:hAnsi="Arial"/>
          <w:color w:val="1A1A1A"/>
          <w:sz w:val="22"/>
          <w:szCs w:val="22"/>
        </w:rPr>
        <w:t xml:space="preserve">You must not:</w:t>
      </w:r>
    </w:p>
    <w:p>
      <w:pPr>
        <w:pStyle w:val="ListParagraph"/>
        <w:numPr>
          <w:ilvl w:val="0"/>
          <w:numId w:val="2"/>
        </w:numPr>
        <w:spacing w:after="60" w:before="60"/>
      </w:pPr>
      <w:r>
        <w:rPr>
          <w:rFonts w:ascii="Arial" w:cs="Arial" w:eastAsia="Arial" w:hAnsi="Arial"/>
          <w:color w:val="1A1A1A"/>
          <w:sz w:val="22"/>
          <w:szCs w:val="22"/>
        </w:rPr>
        <w:t xml:space="preserve">Copy, modify, reverse engineer, decompile, or create derivative works of the AMAX platform</w:t>
      </w:r>
    </w:p>
    <w:p>
      <w:pPr>
        <w:pStyle w:val="ListParagraph"/>
        <w:numPr>
          <w:ilvl w:val="0"/>
          <w:numId w:val="2"/>
        </w:numPr>
        <w:spacing w:after="60" w:before="60"/>
      </w:pPr>
      <w:r>
        <w:rPr>
          <w:rFonts w:ascii="Arial" w:cs="Arial" w:eastAsia="Arial" w:hAnsi="Arial"/>
          <w:color w:val="1A1A1A"/>
          <w:sz w:val="22"/>
          <w:szCs w:val="22"/>
        </w:rPr>
        <w:t xml:space="preserve">Use the platform for any unlawful purpose or in a manner that infringes the intellectual property rights of AMAX or any third party</w:t>
      </w:r>
    </w:p>
    <w:p>
      <w:pPr>
        <w:pStyle w:val="ListParagraph"/>
        <w:numPr>
          <w:ilvl w:val="0"/>
          <w:numId w:val="2"/>
        </w:numPr>
        <w:spacing w:after="60" w:before="60"/>
      </w:pPr>
      <w:r>
        <w:rPr>
          <w:rFonts w:ascii="Arial" w:cs="Arial" w:eastAsia="Arial" w:hAnsi="Arial"/>
          <w:color w:val="1A1A1A"/>
          <w:sz w:val="22"/>
          <w:szCs w:val="22"/>
        </w:rPr>
        <w:t xml:space="preserve">Use automated tools, bots, or scripts to access or interact with the platform without AMAX's prior written consent</w:t>
      </w:r>
    </w:p>
    <w:p>
      <w:pPr>
        <w:spacing w:after="60" w:before="60"/>
      </w:pPr>
      <w:r>
        <w:t xml:space="preserve"/>
      </w:r>
    </w:p>
    <w:p>
      <w:pPr>
        <w:spacing w:after="80" w:before="80"/>
      </w:pPr>
      <w:r>
        <w:rPr>
          <w:rFonts w:ascii="Arial" w:cs="Arial" w:eastAsia="Arial" w:hAnsi="Arial"/>
          <w:color w:val="1A1A1A"/>
          <w:sz w:val="22"/>
          <w:szCs w:val="22"/>
        </w:rPr>
        <w:t xml:space="preserve">All intellectual property rights in the AMAX platform, including software, trademarks, and content, remain the property of AMAX Global Pty Ltd or its licensors. This licence terminates automatically upon closure of your account.</w:t>
      </w:r>
    </w:p>
    <w:p>
      <w:pPr>
        <w:pStyle w:val="Heading1"/>
        <w:pBdr>
          <w:bottom w:val="single" w:color="2E75B6" w:sz="6" w:space="4"/>
        </w:pBdr>
        <w:spacing w:after="120" w:before="400"/>
      </w:pPr>
      <w:r>
        <w:rPr>
          <w:rFonts w:ascii="Arial" w:cs="Arial" w:eastAsia="Arial" w:hAnsi="Arial"/>
          <w:b/>
          <w:bCs/>
          <w:color w:val="1F4E79"/>
          <w:sz w:val="28"/>
          <w:szCs w:val="28"/>
        </w:rPr>
        <w:t xml:space="preserve">12. Identity and Use Declaration</w:t>
      </w:r>
    </w:p>
    <w:p>
      <w:pPr>
        <w:pStyle w:val="ListParagraph"/>
        <w:numPr>
          <w:ilvl w:val="0"/>
          <w:numId w:val="2"/>
        </w:numPr>
        <w:spacing w:after="60" w:before="60"/>
      </w:pPr>
      <w:r>
        <w:rPr>
          <w:rFonts w:ascii="Arial" w:cs="Arial" w:eastAsia="Arial" w:hAnsi="Arial"/>
          <w:color w:val="1A1A1A"/>
          <w:sz w:val="22"/>
          <w:szCs w:val="22"/>
        </w:rPr>
        <w:t xml:space="preserve">I am acting on my own behalf unless otherwise disclosed in writing to AMAX</w:t>
      </w:r>
    </w:p>
    <w:p>
      <w:pPr>
        <w:pStyle w:val="ListParagraph"/>
        <w:numPr>
          <w:ilvl w:val="0"/>
          <w:numId w:val="2"/>
        </w:numPr>
        <w:spacing w:after="60" w:before="60"/>
      </w:pPr>
      <w:r>
        <w:rPr>
          <w:rFonts w:ascii="Arial" w:cs="Arial" w:eastAsia="Arial" w:hAnsi="Arial"/>
          <w:color w:val="1A1A1A"/>
          <w:sz w:val="22"/>
          <w:szCs w:val="22"/>
        </w:rPr>
        <w:t xml:space="preserve">All information I provide is true, accurate, and complete</w:t>
      </w:r>
    </w:p>
    <w:p>
      <w:pPr>
        <w:pStyle w:val="ListParagraph"/>
        <w:numPr>
          <w:ilvl w:val="0"/>
          <w:numId w:val="2"/>
        </w:numPr>
        <w:spacing w:after="60" w:before="60"/>
      </w:pPr>
      <w:r>
        <w:rPr>
          <w:rFonts w:ascii="Arial" w:cs="Arial" w:eastAsia="Arial" w:hAnsi="Arial"/>
          <w:color w:val="1A1A1A"/>
          <w:sz w:val="22"/>
          <w:szCs w:val="22"/>
        </w:rPr>
        <w:t xml:space="preserve">I understand that AMAX will verify my identity and that my account activity may be monitored</w:t>
      </w:r>
    </w:p>
    <w:p>
      <w:pPr>
        <w:pStyle w:val="ListParagraph"/>
        <w:numPr>
          <w:ilvl w:val="0"/>
          <w:numId w:val="2"/>
        </w:numPr>
        <w:spacing w:after="60" w:before="60"/>
      </w:pPr>
      <w:r>
        <w:rPr>
          <w:rFonts w:ascii="Arial" w:cs="Arial" w:eastAsia="Arial" w:hAnsi="Arial"/>
          <w:color w:val="1A1A1A"/>
          <w:sz w:val="22"/>
          <w:szCs w:val="22"/>
        </w:rPr>
        <w:t xml:space="preserve">I will notify AMAX immediately of any change to the information I have provided</w:t>
      </w:r>
    </w:p>
    <w:p>
      <w:pPr>
        <w:pStyle w:val="Heading1"/>
        <w:pBdr>
          <w:bottom w:val="single" w:color="2E75B6" w:sz="6" w:space="4"/>
        </w:pBdr>
        <w:spacing w:after="120" w:before="400"/>
      </w:pPr>
      <w:r>
        <w:rPr>
          <w:rFonts w:ascii="Arial" w:cs="Arial" w:eastAsia="Arial" w:hAnsi="Arial"/>
          <w:b/>
          <w:bCs/>
          <w:color w:val="1F4E79"/>
          <w:sz w:val="28"/>
          <w:szCs w:val="28"/>
        </w:rPr>
        <w:t xml:space="preserve">13. Source of Funds Declaration</w:t>
      </w:r>
    </w:p>
    <w:p>
      <w:pPr>
        <w:pStyle w:val="ListParagraph"/>
        <w:numPr>
          <w:ilvl w:val="0"/>
          <w:numId w:val="2"/>
        </w:numPr>
        <w:spacing w:after="60" w:before="60"/>
      </w:pPr>
      <w:r>
        <w:rPr>
          <w:rFonts w:ascii="Arial" w:cs="Arial" w:eastAsia="Arial" w:hAnsi="Arial"/>
          <w:color w:val="1A1A1A"/>
          <w:sz w:val="22"/>
          <w:szCs w:val="22"/>
        </w:rPr>
        <w:t xml:space="preserve">All funds deposited, exchanged, or remitted through AMAX are derived from legitimate sources</w:t>
      </w:r>
    </w:p>
    <w:p>
      <w:pPr>
        <w:pStyle w:val="ListParagraph"/>
        <w:numPr>
          <w:ilvl w:val="0"/>
          <w:numId w:val="2"/>
        </w:numPr>
        <w:spacing w:after="60" w:before="60"/>
      </w:pPr>
      <w:r>
        <w:rPr>
          <w:rFonts w:ascii="Arial" w:cs="Arial" w:eastAsia="Arial" w:hAnsi="Arial"/>
          <w:color w:val="1A1A1A"/>
          <w:sz w:val="22"/>
          <w:szCs w:val="22"/>
        </w:rPr>
        <w:t xml:space="preserve">I will provide documentation to support the source of my funds if requested by AMAX</w:t>
      </w:r>
    </w:p>
    <w:p>
      <w:pPr>
        <w:pStyle w:val="ListParagraph"/>
        <w:numPr>
          <w:ilvl w:val="0"/>
          <w:numId w:val="2"/>
        </w:numPr>
        <w:spacing w:after="60" w:before="60"/>
      </w:pPr>
      <w:r>
        <w:rPr>
          <w:rFonts w:ascii="Arial" w:cs="Arial" w:eastAsia="Arial" w:hAnsi="Arial"/>
          <w:color w:val="1A1A1A"/>
          <w:sz w:val="22"/>
          <w:szCs w:val="22"/>
        </w:rPr>
        <w:t xml:space="preserve">I understand that failure to provide satisfactory source of funds documentation may result in AMAX declining or delaying a transaction or restricting my account</w:t>
      </w:r>
    </w:p>
    <w:p>
      <w:pPr>
        <w:pStyle w:val="Heading1"/>
        <w:pBdr>
          <w:bottom w:val="single" w:color="2E75B6" w:sz="6" w:space="4"/>
        </w:pBdr>
        <w:spacing w:after="120" w:before="400"/>
      </w:pPr>
      <w:r>
        <w:rPr>
          <w:rFonts w:ascii="Arial" w:cs="Arial" w:eastAsia="Arial" w:hAnsi="Arial"/>
          <w:b/>
          <w:bCs/>
          <w:color w:val="1F4E79"/>
          <w:sz w:val="28"/>
          <w:szCs w:val="28"/>
        </w:rPr>
        <w:t xml:space="preserve">14. Compliance Awareness Declaration</w:t>
      </w:r>
    </w:p>
    <w:p>
      <w:pPr>
        <w:spacing w:after="80" w:before="80"/>
      </w:pPr>
      <w:r>
        <w:rPr>
          <w:rFonts w:ascii="Arial" w:cs="Arial" w:eastAsia="Arial" w:hAnsi="Arial"/>
          <w:color w:val="1A1A1A"/>
          <w:sz w:val="22"/>
          <w:szCs w:val="22"/>
        </w:rPr>
        <w:t xml:space="preserve">I understand that AMAX is required to:</w:t>
      </w:r>
    </w:p>
    <w:p>
      <w:pPr>
        <w:pStyle w:val="ListParagraph"/>
        <w:numPr>
          <w:ilvl w:val="0"/>
          <w:numId w:val="2"/>
        </w:numPr>
        <w:spacing w:after="60" w:before="60"/>
      </w:pPr>
      <w:r>
        <w:rPr>
          <w:rFonts w:ascii="Arial" w:cs="Arial" w:eastAsia="Arial" w:hAnsi="Arial"/>
          <w:color w:val="1A1A1A"/>
          <w:sz w:val="22"/>
          <w:szCs w:val="22"/>
        </w:rPr>
        <w:t xml:space="preserve">Verify my identity prior to or as soon as practicable after providing Services</w:t>
      </w:r>
    </w:p>
    <w:p>
      <w:pPr>
        <w:pStyle w:val="ListParagraph"/>
        <w:numPr>
          <w:ilvl w:val="0"/>
          <w:numId w:val="2"/>
        </w:numPr>
        <w:spacing w:after="60" w:before="60"/>
      </w:pPr>
      <w:r>
        <w:rPr>
          <w:rFonts w:ascii="Arial" w:cs="Arial" w:eastAsia="Arial" w:hAnsi="Arial"/>
          <w:color w:val="1A1A1A"/>
          <w:sz w:val="22"/>
          <w:szCs w:val="22"/>
        </w:rPr>
        <w:t xml:space="preserve">Monitor my transactions on an ongoing basis</w:t>
      </w:r>
    </w:p>
    <w:p>
      <w:pPr>
        <w:pStyle w:val="ListParagraph"/>
        <w:numPr>
          <w:ilvl w:val="0"/>
          <w:numId w:val="2"/>
        </w:numPr>
        <w:spacing w:after="60" w:before="60"/>
      </w:pPr>
      <w:r>
        <w:rPr>
          <w:rFonts w:ascii="Arial" w:cs="Arial" w:eastAsia="Arial" w:hAnsi="Arial"/>
          <w:color w:val="1A1A1A"/>
          <w:sz w:val="22"/>
          <w:szCs w:val="22"/>
        </w:rPr>
        <w:t xml:space="preserve">Conduct ongoing and enhanced customer due diligence (OCDD/ECDD)</w:t>
      </w:r>
    </w:p>
    <w:p>
      <w:pPr>
        <w:pStyle w:val="ListParagraph"/>
        <w:numPr>
          <w:ilvl w:val="0"/>
          <w:numId w:val="2"/>
        </w:numPr>
        <w:spacing w:after="60" w:before="60"/>
      </w:pPr>
      <w:r>
        <w:rPr>
          <w:rFonts w:ascii="Arial" w:cs="Arial" w:eastAsia="Arial" w:hAnsi="Arial"/>
          <w:color w:val="1A1A1A"/>
          <w:sz w:val="22"/>
          <w:szCs w:val="22"/>
        </w:rPr>
        <w:t xml:space="preserve">Submit SMRs, TTRs, and IFTIs to AUSTRAC when required</w:t>
      </w:r>
    </w:p>
    <w:p>
      <w:pPr>
        <w:spacing w:after="60" w:before="60"/>
      </w:pPr>
      <w:r>
        <w:t xml:space="preserve"/>
      </w:r>
    </w:p>
    <w:p>
      <w:pPr>
        <w:spacing w:after="80" w:before="80"/>
      </w:pPr>
      <w:r>
        <w:rPr>
          <w:rFonts w:ascii="Arial" w:cs="Arial" w:eastAsia="Arial" w:hAnsi="Arial"/>
          <w:color w:val="1A1A1A"/>
          <w:sz w:val="22"/>
          <w:szCs w:val="22"/>
        </w:rPr>
        <w:t xml:space="preserve">I will cooperate fully with AMAX's compliance requirements and will not take any action designed to obstruct or circumvent AMAX's AML/CTF obligations.</w:t>
      </w:r>
    </w:p>
    <w:p>
      <w:pPr>
        <w:pStyle w:val="Heading1"/>
        <w:pBdr>
          <w:bottom w:val="single" w:color="2E75B6" w:sz="6" w:space="4"/>
        </w:pBdr>
        <w:spacing w:after="120" w:before="400"/>
      </w:pPr>
      <w:r>
        <w:rPr>
          <w:rFonts w:ascii="Arial" w:cs="Arial" w:eastAsia="Arial" w:hAnsi="Arial"/>
          <w:b/>
          <w:bCs/>
          <w:color w:val="1F4E79"/>
          <w:sz w:val="28"/>
          <w:szCs w:val="28"/>
        </w:rPr>
        <w:t xml:space="preserve">15. Sanctions Declaration</w:t>
      </w:r>
    </w:p>
    <w:p>
      <w:pPr>
        <w:pStyle w:val="ListParagraph"/>
        <w:numPr>
          <w:ilvl w:val="0"/>
          <w:numId w:val="2"/>
        </w:numPr>
        <w:spacing w:after="60" w:before="60"/>
      </w:pPr>
      <w:r>
        <w:rPr>
          <w:rFonts w:ascii="Arial" w:cs="Arial" w:eastAsia="Arial" w:hAnsi="Arial"/>
          <w:color w:val="1A1A1A"/>
          <w:sz w:val="22"/>
          <w:szCs w:val="22"/>
        </w:rPr>
        <w:t xml:space="preserve">I am not subject to any applicable sanctions and am not acting on behalf of any sanctioned person or entity</w:t>
      </w:r>
    </w:p>
    <w:p>
      <w:pPr>
        <w:pStyle w:val="ListParagraph"/>
        <w:numPr>
          <w:ilvl w:val="0"/>
          <w:numId w:val="2"/>
        </w:numPr>
        <w:spacing w:after="60" w:before="60"/>
      </w:pPr>
      <w:r>
        <w:rPr>
          <w:rFonts w:ascii="Arial" w:cs="Arial" w:eastAsia="Arial" w:hAnsi="Arial"/>
          <w:color w:val="1A1A1A"/>
          <w:sz w:val="22"/>
          <w:szCs w:val="22"/>
        </w:rPr>
        <w:t xml:space="preserve">I will notify AMAX immediately if my sanctions status changes</w:t>
      </w:r>
    </w:p>
    <w:p>
      <w:pPr>
        <w:pStyle w:val="ListParagraph"/>
        <w:numPr>
          <w:ilvl w:val="0"/>
          <w:numId w:val="2"/>
        </w:numPr>
        <w:spacing w:after="60" w:before="60"/>
      </w:pPr>
      <w:r>
        <w:rPr>
          <w:rFonts w:ascii="Arial" w:cs="Arial" w:eastAsia="Arial" w:hAnsi="Arial"/>
          <w:color w:val="1A1A1A"/>
          <w:sz w:val="22"/>
          <w:szCs w:val="22"/>
        </w:rPr>
        <w:t xml:space="preserve">I understand that AMAX may freeze or restrict my account if I become subject to sanctions, without prior notice, as required by law</w:t>
      </w:r>
    </w:p>
    <w:p>
      <w:pPr>
        <w:pStyle w:val="Heading1"/>
        <w:pBdr>
          <w:bottom w:val="single" w:color="2E75B6" w:sz="6" w:space="4"/>
        </w:pBdr>
        <w:spacing w:after="120" w:before="400"/>
      </w:pPr>
      <w:r>
        <w:rPr>
          <w:rFonts w:ascii="Arial" w:cs="Arial" w:eastAsia="Arial" w:hAnsi="Arial"/>
          <w:b/>
          <w:bCs/>
          <w:color w:val="1F4E79"/>
          <w:sz w:val="28"/>
          <w:szCs w:val="28"/>
        </w:rPr>
        <w:t xml:space="preserve">16. Politically Exposed Person (PEP) Declaration</w:t>
      </w:r>
    </w:p>
    <w:p>
      <w:pPr>
        <w:spacing w:after="80" w:before="80"/>
      </w:pPr>
      <w:r>
        <w:rPr>
          <w:rFonts w:ascii="Arial" w:cs="Arial" w:eastAsia="Arial" w:hAnsi="Arial"/>
          <w:color w:val="1A1A1A"/>
          <w:sz w:val="22"/>
          <w:szCs w:val="22"/>
        </w:rPr>
        <w:t xml:space="preserve">A Politically Exposed Person (PEP) is an individual who holds or has held a prominent public function, domestically or internationally, or who is an immediate family member or close associate of such a person.</w:t>
      </w:r>
    </w:p>
    <w:p>
      <w:pPr>
        <w:spacing w:after="6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I am not a Politically Exposed Person (PEP), nor an immediate family member or close associate of a PEP</w:t>
      </w:r>
    </w:p>
    <w:p>
      <w:pPr>
        <w:pStyle w:val="ListParagraph"/>
        <w:numPr>
          <w:ilvl w:val="0"/>
          <w:numId w:val="2"/>
        </w:numPr>
        <w:spacing w:after="60" w:before="60"/>
      </w:pPr>
      <w:r>
        <w:rPr>
          <w:rFonts w:ascii="Arial" w:cs="Arial" w:eastAsia="Arial" w:hAnsi="Arial"/>
          <w:color w:val="1A1A1A"/>
          <w:sz w:val="22"/>
          <w:szCs w:val="22"/>
        </w:rPr>
        <w:t xml:space="preserve">If my PEP status changes, I will notify AMAX immediately</w:t>
      </w:r>
    </w:p>
    <w:p>
      <w:pPr>
        <w:pStyle w:val="ListParagraph"/>
        <w:numPr>
          <w:ilvl w:val="0"/>
          <w:numId w:val="2"/>
        </w:numPr>
        <w:spacing w:after="60" w:before="60"/>
      </w:pPr>
      <w:r>
        <w:rPr>
          <w:rFonts w:ascii="Arial" w:cs="Arial" w:eastAsia="Arial" w:hAnsi="Arial"/>
          <w:color w:val="1A1A1A"/>
          <w:sz w:val="22"/>
          <w:szCs w:val="22"/>
        </w:rPr>
        <w:t xml:space="preserve">I understand that PEP status may result in AMAX applying enhanced due diligence procedures to my account</w:t>
      </w:r>
    </w:p>
    <w:p>
      <w:pPr>
        <w:pStyle w:val="Heading1"/>
        <w:pBdr>
          <w:bottom w:val="single" w:color="2E75B6" w:sz="6" w:space="4"/>
        </w:pBdr>
        <w:spacing w:after="120" w:before="400"/>
      </w:pPr>
      <w:r>
        <w:rPr>
          <w:rFonts w:ascii="Arial" w:cs="Arial" w:eastAsia="Arial" w:hAnsi="Arial"/>
          <w:b/>
          <w:bCs/>
          <w:color w:val="1F4E79"/>
          <w:sz w:val="28"/>
          <w:szCs w:val="28"/>
        </w:rPr>
        <w:t xml:space="preserve">17. Ongoing Obligations Declaration</w:t>
      </w:r>
    </w:p>
    <w:p>
      <w:pPr>
        <w:spacing w:after="80" w:before="80"/>
      </w:pPr>
      <w:r>
        <w:rPr>
          <w:rFonts w:ascii="Arial" w:cs="Arial" w:eastAsia="Arial" w:hAnsi="Arial"/>
          <w:color w:val="1A1A1A"/>
          <w:sz w:val="22"/>
          <w:szCs w:val="22"/>
        </w:rPr>
        <w:t xml:space="preserve">I will notify AMAX promptly of any material changes to my information, including:</w:t>
      </w:r>
    </w:p>
    <w:p>
      <w:pPr>
        <w:pStyle w:val="ListParagraph"/>
        <w:numPr>
          <w:ilvl w:val="0"/>
          <w:numId w:val="2"/>
        </w:numPr>
        <w:spacing w:after="60" w:before="60"/>
      </w:pPr>
      <w:r>
        <w:rPr>
          <w:rFonts w:ascii="Arial" w:cs="Arial" w:eastAsia="Arial" w:hAnsi="Arial"/>
          <w:color w:val="1A1A1A"/>
          <w:sz w:val="22"/>
          <w:szCs w:val="22"/>
        </w:rPr>
        <w:t xml:space="preserve">Residential address or contact details</w:t>
      </w:r>
    </w:p>
    <w:p>
      <w:pPr>
        <w:pStyle w:val="ListParagraph"/>
        <w:numPr>
          <w:ilvl w:val="0"/>
          <w:numId w:val="2"/>
        </w:numPr>
        <w:spacing w:after="60" w:before="60"/>
      </w:pPr>
      <w:r>
        <w:rPr>
          <w:rFonts w:ascii="Arial" w:cs="Arial" w:eastAsia="Arial" w:hAnsi="Arial"/>
          <w:color w:val="1A1A1A"/>
          <w:sz w:val="22"/>
          <w:szCs w:val="22"/>
        </w:rPr>
        <w:t xml:space="preserve">Source of funds or source of wealth</w:t>
      </w:r>
    </w:p>
    <w:p>
      <w:pPr>
        <w:pStyle w:val="ListParagraph"/>
        <w:numPr>
          <w:ilvl w:val="0"/>
          <w:numId w:val="2"/>
        </w:numPr>
        <w:spacing w:after="60" w:before="60"/>
      </w:pPr>
      <w:r>
        <w:rPr>
          <w:rFonts w:ascii="Arial" w:cs="Arial" w:eastAsia="Arial" w:hAnsi="Arial"/>
          <w:color w:val="1A1A1A"/>
          <w:sz w:val="22"/>
          <w:szCs w:val="22"/>
        </w:rPr>
        <w:t xml:space="preserve">Beneficial ownership of entities I operate through or on behalf of</w:t>
      </w:r>
    </w:p>
    <w:p>
      <w:pPr>
        <w:pStyle w:val="ListParagraph"/>
        <w:numPr>
          <w:ilvl w:val="0"/>
          <w:numId w:val="2"/>
        </w:numPr>
        <w:spacing w:after="60" w:before="60"/>
      </w:pPr>
      <w:r>
        <w:rPr>
          <w:rFonts w:ascii="Arial" w:cs="Arial" w:eastAsia="Arial" w:hAnsi="Arial"/>
          <w:color w:val="1A1A1A"/>
          <w:sz w:val="22"/>
          <w:szCs w:val="22"/>
        </w:rPr>
        <w:t xml:space="preserve">PEP or sanctions status</w:t>
      </w:r>
    </w:p>
    <w:p>
      <w:pPr>
        <w:pStyle w:val="ListParagraph"/>
        <w:numPr>
          <w:ilvl w:val="0"/>
          <w:numId w:val="2"/>
        </w:numPr>
        <w:spacing w:after="60" w:before="60"/>
      </w:pPr>
      <w:r>
        <w:rPr>
          <w:rFonts w:ascii="Arial" w:cs="Arial" w:eastAsia="Arial" w:hAnsi="Arial"/>
          <w:color w:val="1A1A1A"/>
          <w:sz w:val="22"/>
          <w:szCs w:val="22"/>
        </w:rPr>
        <w:t xml:space="preserve">Business activities, where I have provided business information in connection with this account</w:t>
      </w:r>
    </w:p>
    <w:p>
      <w:pPr>
        <w:pStyle w:val="Heading1"/>
        <w:pBdr>
          <w:bottom w:val="single" w:color="2E75B6" w:sz="6" w:space="4"/>
        </w:pBdr>
        <w:spacing w:after="120" w:before="400"/>
      </w:pPr>
      <w:r>
        <w:rPr>
          <w:rFonts w:ascii="Arial" w:cs="Arial" w:eastAsia="Arial" w:hAnsi="Arial"/>
          <w:b/>
          <w:bCs/>
          <w:color w:val="1F4E79"/>
          <w:sz w:val="28"/>
          <w:szCs w:val="28"/>
        </w:rPr>
        <w:t xml:space="preserve">18. Accuracy and Legal Compliance</w:t>
      </w:r>
    </w:p>
    <w:p>
      <w:pPr>
        <w:pStyle w:val="ListParagraph"/>
        <w:numPr>
          <w:ilvl w:val="0"/>
          <w:numId w:val="2"/>
        </w:numPr>
        <w:spacing w:after="60" w:before="60"/>
      </w:pPr>
      <w:r>
        <w:rPr>
          <w:rFonts w:ascii="Arial" w:cs="Arial" w:eastAsia="Arial" w:hAnsi="Arial"/>
          <w:color w:val="1A1A1A"/>
          <w:sz w:val="22"/>
          <w:szCs w:val="22"/>
        </w:rPr>
        <w:t xml:space="preserve">I confirm that all information provided in connection with this Agreement is accurate and complete</w:t>
      </w:r>
    </w:p>
    <w:p>
      <w:pPr>
        <w:pStyle w:val="ListParagraph"/>
        <w:numPr>
          <w:ilvl w:val="0"/>
          <w:numId w:val="2"/>
        </w:numPr>
        <w:spacing w:after="60" w:before="60"/>
      </w:pPr>
      <w:r>
        <w:rPr>
          <w:rFonts w:ascii="Arial" w:cs="Arial" w:eastAsia="Arial" w:hAnsi="Arial"/>
          <w:color w:val="1A1A1A"/>
          <w:sz w:val="22"/>
          <w:szCs w:val="22"/>
        </w:rPr>
        <w:t xml:space="preserve">I understand that providing false or misleading information is a criminal offence under Australian law, including the Criminal Code Act 1995 (Cth) and the AML/CTF Act</w:t>
      </w:r>
    </w:p>
    <w:p>
      <w:pPr>
        <w:pStyle w:val="ListParagraph"/>
        <w:numPr>
          <w:ilvl w:val="0"/>
          <w:numId w:val="2"/>
        </w:numPr>
        <w:spacing w:after="60" w:before="60"/>
      </w:pPr>
      <w:r>
        <w:rPr>
          <w:rFonts w:ascii="Arial" w:cs="Arial" w:eastAsia="Arial" w:hAnsi="Arial"/>
          <w:color w:val="1A1A1A"/>
          <w:sz w:val="22"/>
          <w:szCs w:val="22"/>
        </w:rPr>
        <w:t xml:space="preserve">I consent to AMAX maintaining records of my information and account activity, conducting ongoing verification checks, and monitoring my account for legal compliance purposes</w:t>
      </w:r>
    </w:p>
    <w:p>
      <w:pPr>
        <w:pStyle w:val="ListParagraph"/>
        <w:numPr>
          <w:ilvl w:val="0"/>
          <w:numId w:val="2"/>
        </w:numPr>
        <w:spacing w:after="60" w:before="60"/>
      </w:pPr>
      <w:r>
        <w:rPr>
          <w:rFonts w:ascii="Arial" w:cs="Arial" w:eastAsia="Arial" w:hAnsi="Arial"/>
          <w:color w:val="1A1A1A"/>
          <w:sz w:val="22"/>
          <w:szCs w:val="22"/>
        </w:rPr>
        <w:t xml:space="preserve">I consent to AMAX sharing my information with AUSTRAC and other regulatory or law enforcement authorities as required by law</w:t>
      </w:r>
    </w:p>
    <w:p>
      <w:pPr>
        <w:spacing w:after="60" w:before="60"/>
      </w:pPr>
      <w:r>
        <w:t xml:space="preserve"/>
      </w:r>
    </w:p>
    <w:p>
      <w:pPr>
        <w:spacing w:after="60" w:before="60"/>
      </w:pPr>
      <w:r>
        <w:t xml:space="preserve"/>
      </w:r>
    </w:p>
    <w:p>
      <w:pPr>
        <w:pBdr>
          <w:top w:val="single" w:color="2E75B6" w:sz="4" w:space="4"/>
        </w:pBdr>
        <w:spacing w:after="80" w:before="400"/>
      </w:pPr>
      <w:r>
        <w:rPr>
          <w:rFonts w:ascii="Arial" w:cs="Arial" w:eastAsia="Arial" w:hAnsi="Arial"/>
          <w:b/>
          <w:bCs/>
          <w:color w:val="1F4E79"/>
          <w:sz w:val="24"/>
          <w:szCs w:val="24"/>
        </w:rPr>
        <w:t xml:space="preserve">Customer Acknowledgement</w:t>
      </w:r>
    </w:p>
    <w:p>
      <w:pPr>
        <w:spacing w:after="80" w:before="80"/>
      </w:pPr>
      <w:r>
        <w:rPr>
          <w:rFonts w:ascii="Arial" w:cs="Arial" w:eastAsia="Arial" w:hAnsi="Arial"/>
          <w:color w:val="1A1A1A"/>
          <w:sz w:val="22"/>
          <w:szCs w:val="22"/>
        </w:rPr>
        <w:t xml:space="preserve">By creating an account or using AMAX Global's Services, you confirm that you have read, understood, and agree to be bound by this Customer Agreement.</w:t>
      </w:r>
    </w:p>
    <w:p>
      <w:pPr>
        <w:spacing w:after="60" w:before="60"/>
      </w:pPr>
      <w:r>
        <w:t xml:space="preserve"/>
      </w:r>
    </w:p>
    <w:p>
      <w:pPr>
        <w:spacing w:after="80" w:before="200"/>
      </w:pPr>
      <w:r>
        <w:rPr>
          <w:rFonts w:ascii="Arial" w:cs="Arial" w:eastAsia="Arial" w:hAnsi="Arial"/>
          <w:b/>
          <w:bCs/>
          <w:color w:val="1A1A1A"/>
          <w:sz w:val="22"/>
          <w:szCs w:val="22"/>
        </w:rPr>
        <w:t xml:space="preserve">Full Name:  </w:t>
      </w:r>
      <w:r>
        <w:rPr>
          <w:rFonts w:ascii="Arial" w:cs="Arial" w:eastAsia="Arial" w:hAnsi="Arial"/>
          <w:color w:val="595959"/>
          <w:sz w:val="22"/>
          <w:szCs w:val="22"/>
        </w:rPr>
        <w:t xml:space="preserve">___________________________________________</w:t>
      </w:r>
    </w:p>
    <w:p>
      <w:pPr>
        <w:spacing w:after="80" w:before="120"/>
      </w:pPr>
      <w:r>
        <w:rPr>
          <w:rFonts w:ascii="Arial" w:cs="Arial" w:eastAsia="Arial" w:hAnsi="Arial"/>
          <w:b/>
          <w:bCs/>
          <w:color w:val="1A1A1A"/>
          <w:sz w:val="22"/>
          <w:szCs w:val="22"/>
        </w:rPr>
        <w:t xml:space="preserve">Signature:  </w:t>
      </w:r>
      <w:r>
        <w:rPr>
          <w:rFonts w:ascii="Arial" w:cs="Arial" w:eastAsia="Arial" w:hAnsi="Arial"/>
          <w:color w:val="595959"/>
          <w:sz w:val="22"/>
          <w:szCs w:val="22"/>
        </w:rPr>
        <w:t xml:space="preserve">___________________________________________</w:t>
      </w:r>
    </w:p>
    <w:p>
      <w:pPr>
        <w:spacing w:after="80" w:before="120"/>
      </w:pPr>
      <w:r>
        <w:rPr>
          <w:rFonts w:ascii="Arial" w:cs="Arial" w:eastAsia="Arial" w:hAnsi="Arial"/>
          <w:b/>
          <w:bCs/>
          <w:color w:val="1A1A1A"/>
          <w:sz w:val="22"/>
          <w:szCs w:val="22"/>
        </w:rPr>
        <w:t xml:space="preserve">Date:  </w:t>
      </w:r>
      <w:r>
        <w:rPr>
          <w:rFonts w:ascii="Arial" w:cs="Arial" w:eastAsia="Arial" w:hAnsi="Arial"/>
          <w:color w:val="595959"/>
          <w:sz w:val="22"/>
          <w:szCs w:val="22"/>
        </w:rPr>
        <w:t xml:space="preserve">___________________________________________</w:t>
      </w:r>
    </w:p>
    <w:p>
      <w:pPr>
        <w:spacing w:after="60" w:before="60"/>
      </w:pPr>
      <w:r>
        <w:t xml:space="preserve"/>
      </w:r>
    </w:p>
    <w:p>
      <w:pPr>
        <w:spacing w:after="60" w:before="400"/>
        <w:jc w:val="center"/>
      </w:pPr>
      <w:r>
        <w:rPr>
          <w:rFonts w:ascii="Arial" w:cs="Arial" w:eastAsia="Arial" w:hAnsi="Arial"/>
          <w:b/>
          <w:bCs/>
          <w:color w:val="1F4E79"/>
          <w:sz w:val="20"/>
          <w:szCs w:val="20"/>
        </w:rPr>
        <w:t xml:space="preserve">AMAX Global Pty Ltd</w:t>
      </w:r>
    </w:p>
    <w:p>
      <w:pPr>
        <w:spacing w:after="60" w:before="0"/>
        <w:jc w:val="center"/>
      </w:pPr>
      <w:r>
        <w:rPr>
          <w:rFonts w:ascii="Arial" w:cs="Arial" w:eastAsia="Arial" w:hAnsi="Arial"/>
          <w:color w:val="595959"/>
          <w:sz w:val="18"/>
          <w:szCs w:val="18"/>
        </w:rPr>
        <w:t xml:space="preserve">support@amaxglobal.com.au  |  complaints@amaxglobal.com.au</w:t>
      </w:r>
    </w:p>
    <w:p>
      <w:pPr>
        <w:spacing w:after="0" w:before="0"/>
        <w:jc w:val="center"/>
      </w:pPr>
      <w:r>
        <w:rPr>
          <w:rFonts w:ascii="Arial" w:cs="Arial" w:eastAsia="Arial" w:hAnsi="Arial"/>
          <w:i/>
          <w:iCs/>
          <w:color w:val="595959"/>
          <w:sz w:val="18"/>
          <w:szCs w:val="18"/>
        </w:rPr>
        <w:t xml:space="preserve">AFCA Member  |  AUSTRAC Enrolled Reporting Entity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2026-04-09T04:41:43.154Z</dcterms:created>
  <dcterms:modified xsi:type="dcterms:W3CDTF">2026-04-09T04:41:43.155Z</dcterms:modified>
</cp:coreProperties>
</file>

<file path=docProps/custom.xml><?xml version="1.0" encoding="utf-8"?>
<Properties xmlns="http://schemas.openxmlformats.org/officeDocument/2006/custom-properties" xmlns:vt="http://schemas.openxmlformats.org/officeDocument/2006/docPropsVTypes"/>
</file>