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9B11E6" w14:textId="77777777" w:rsidR="00695587" w:rsidRPr="00695587" w:rsidRDefault="00695587" w:rsidP="00695587">
      <w:pPr>
        <w:rPr>
          <w:b/>
          <w:bCs/>
        </w:rPr>
      </w:pPr>
      <w:r w:rsidRPr="00695587">
        <w:rPr>
          <w:b/>
          <w:bCs/>
        </w:rPr>
        <w:t xml:space="preserve">Odpověď </w:t>
      </w:r>
      <w:proofErr w:type="spellStart"/>
      <w:r w:rsidRPr="00695587">
        <w:rPr>
          <w:b/>
          <w:bCs/>
        </w:rPr>
        <w:t>Gemini</w:t>
      </w:r>
      <w:proofErr w:type="spellEnd"/>
    </w:p>
    <w:p w14:paraId="100A666B" w14:textId="77777777" w:rsidR="00695587" w:rsidRPr="00695587" w:rsidRDefault="00695587" w:rsidP="00695587">
      <w:r w:rsidRPr="00695587">
        <w:t xml:space="preserve">To je skvělý postřeh. Balónky a moderní „toasty“ (vyskakovací oznámení) by skutečně mohly rozbít tu pracně budovanou atmosféru středověké estetiky. Gotika je o světle, </w:t>
      </w:r>
      <w:proofErr w:type="spellStart"/>
      <w:r w:rsidRPr="00695587">
        <w:t>vertikalitě</w:t>
      </w:r>
      <w:proofErr w:type="spellEnd"/>
      <w:r w:rsidRPr="00695587">
        <w:t>, detailech a symbolice, ne o plastových dekoracích.</w:t>
      </w:r>
    </w:p>
    <w:p w14:paraId="7A07E3BF" w14:textId="77777777" w:rsidR="00695587" w:rsidRPr="00695587" w:rsidRDefault="00695587" w:rsidP="00695587">
      <w:r w:rsidRPr="00695587">
        <w:t xml:space="preserve">Pokud chcete zůstat věrní </w:t>
      </w:r>
      <w:r w:rsidRPr="00695587">
        <w:rPr>
          <w:b/>
          <w:bCs/>
        </w:rPr>
        <w:t>gotickému umění a iluminovaným rukopisům</w:t>
      </w:r>
      <w:r w:rsidRPr="00695587">
        <w:t>, zde jsou návrhy na vizuální odměny, které organicky zapadnou do vašeho „pergamenového“ stylu:</w:t>
      </w:r>
    </w:p>
    <w:p w14:paraId="1BB8FE2A" w14:textId="77777777" w:rsidR="00695587" w:rsidRPr="00695587" w:rsidRDefault="00000000" w:rsidP="00695587">
      <w:r>
        <w:pict w14:anchorId="161E0463">
          <v:rect id="_x0000_i1025" style="width:0;height:1.5pt" o:hralign="center" o:hrstd="t" o:hr="t" fillcolor="#a0a0a0" stroked="f"/>
        </w:pict>
      </w:r>
    </w:p>
    <w:p w14:paraId="22FB5AC4" w14:textId="77777777" w:rsidR="00695587" w:rsidRPr="00695587" w:rsidRDefault="00695587" w:rsidP="00695587">
      <w:pPr>
        <w:rPr>
          <w:b/>
          <w:bCs/>
        </w:rPr>
      </w:pPr>
      <w:r w:rsidRPr="00695587">
        <w:rPr>
          <w:b/>
          <w:bCs/>
        </w:rPr>
        <w:t>1. Iluminace a knižní malba</w:t>
      </w:r>
    </w:p>
    <w:p w14:paraId="1FD5CBF3" w14:textId="77777777" w:rsidR="00695587" w:rsidRPr="00695587" w:rsidRDefault="00695587" w:rsidP="00695587">
      <w:r w:rsidRPr="00695587">
        <w:t>Místo vyskakovacího okna nechte vizuálně „dokreslit“ stránku.</w:t>
      </w:r>
    </w:p>
    <w:p w14:paraId="67FDEC56" w14:textId="77777777" w:rsidR="00695587" w:rsidRPr="00695587" w:rsidRDefault="00695587" w:rsidP="00695587">
      <w:pPr>
        <w:numPr>
          <w:ilvl w:val="0"/>
          <w:numId w:val="1"/>
        </w:numPr>
      </w:pPr>
      <w:r w:rsidRPr="00695587">
        <w:rPr>
          <w:b/>
          <w:bCs/>
        </w:rPr>
        <w:t>Zlacené iniciály:</w:t>
      </w:r>
      <w:r w:rsidRPr="00695587">
        <w:t xml:space="preserve"> Při splnění úkolu se první písmeno textu změní v ozdobnou, ručně malovanou iniciálu se zlatými odlesky (tzv. kypění zlata).</w:t>
      </w:r>
    </w:p>
    <w:p w14:paraId="13608EE3" w14:textId="77777777" w:rsidR="00695587" w:rsidRPr="00695587" w:rsidRDefault="00695587" w:rsidP="00695587">
      <w:pPr>
        <w:numPr>
          <w:ilvl w:val="0"/>
          <w:numId w:val="1"/>
        </w:numPr>
      </w:pPr>
      <w:r w:rsidRPr="00695587">
        <w:rPr>
          <w:b/>
          <w:bCs/>
        </w:rPr>
        <w:t>Rozpuk marginálií:</w:t>
      </w:r>
      <w:r w:rsidRPr="00695587">
        <w:t xml:space="preserve"> Okraje (marže) aplikace mohou při postupu na novou úroveň „zarůst“ gotickým akantem, vinnou révou nebo drobnými figurkami (droleriemi).</w:t>
      </w:r>
    </w:p>
    <w:p w14:paraId="7A5666AA" w14:textId="77777777" w:rsidR="00695587" w:rsidRPr="00695587" w:rsidRDefault="00695587" w:rsidP="00695587">
      <w:pPr>
        <w:numPr>
          <w:ilvl w:val="0"/>
          <w:numId w:val="1"/>
        </w:numPr>
      </w:pPr>
      <w:r w:rsidRPr="00695587">
        <w:rPr>
          <w:b/>
          <w:bCs/>
        </w:rPr>
        <w:t>Pečeť úspěchu:</w:t>
      </w:r>
      <w:r w:rsidRPr="00695587">
        <w:t xml:space="preserve"> Místo tlačítka „Hotovo“ se po dokončení milníku na obrazovce objeví animace vtlačení </w:t>
      </w:r>
      <w:r w:rsidRPr="00695587">
        <w:rPr>
          <w:b/>
          <w:bCs/>
        </w:rPr>
        <w:t>vysoké voskové pečeti</w:t>
      </w:r>
      <w:r w:rsidRPr="00695587">
        <w:t xml:space="preserve"> přímo do pergamenu.</w:t>
      </w:r>
    </w:p>
    <w:p w14:paraId="5FAD7D8B" w14:textId="77777777" w:rsidR="00695587" w:rsidRPr="00695587" w:rsidRDefault="00695587" w:rsidP="00695587">
      <w:pPr>
        <w:rPr>
          <w:b/>
          <w:bCs/>
        </w:rPr>
      </w:pPr>
      <w:r w:rsidRPr="00695587">
        <w:rPr>
          <w:b/>
          <w:bCs/>
        </w:rPr>
        <w:t>2. Architektonické prvky (Katedrální styl)</w:t>
      </w:r>
    </w:p>
    <w:p w14:paraId="1DB62C05" w14:textId="77777777" w:rsidR="00695587" w:rsidRPr="00695587" w:rsidRDefault="00695587" w:rsidP="00695587">
      <w:r w:rsidRPr="00695587">
        <w:t>Gotika je definována prací se světlem. Využijte to jako herní mechaniku.</w:t>
      </w:r>
    </w:p>
    <w:p w14:paraId="70C36C38" w14:textId="77777777" w:rsidR="00695587" w:rsidRPr="00695587" w:rsidRDefault="00695587" w:rsidP="00695587">
      <w:pPr>
        <w:numPr>
          <w:ilvl w:val="0"/>
          <w:numId w:val="2"/>
        </w:numPr>
      </w:pPr>
      <w:r w:rsidRPr="00695587">
        <w:rPr>
          <w:b/>
          <w:bCs/>
        </w:rPr>
        <w:t>Rozsvěcení vitráží:</w:t>
      </w:r>
      <w:r w:rsidRPr="00695587">
        <w:t xml:space="preserve"> Představte si šedé, prázdné okno (rozetu), které se s každým získaným XP zaplní barevným sklem. Dokončení úrovně = kompletně prozářené okno, kterým „prochází světlo“.</w:t>
      </w:r>
    </w:p>
    <w:p w14:paraId="141B8739" w14:textId="77777777" w:rsidR="00695587" w:rsidRPr="00695587" w:rsidRDefault="00695587" w:rsidP="00695587">
      <w:pPr>
        <w:numPr>
          <w:ilvl w:val="0"/>
          <w:numId w:val="2"/>
        </w:numPr>
      </w:pPr>
      <w:r w:rsidRPr="00695587">
        <w:rPr>
          <w:b/>
          <w:bCs/>
        </w:rPr>
        <w:t>Vzestup k nebesům:</w:t>
      </w:r>
      <w:r w:rsidRPr="00695587">
        <w:t xml:space="preserve"> Místo prostého ukazatele XP může uživatel „stoupat“ po virtuálním pilíři nebo lomeném oblouku směrem k vrcholu katedrály.</w:t>
      </w:r>
    </w:p>
    <w:p w14:paraId="7F1F5851" w14:textId="77777777" w:rsidR="00695587" w:rsidRPr="00695587" w:rsidRDefault="00695587" w:rsidP="00695587">
      <w:pPr>
        <w:numPr>
          <w:ilvl w:val="0"/>
          <w:numId w:val="2"/>
        </w:numPr>
      </w:pPr>
      <w:r w:rsidRPr="00695587">
        <w:rPr>
          <w:b/>
          <w:bCs/>
        </w:rPr>
        <w:t>Chrliče jako strážci:</w:t>
      </w:r>
      <w:r w:rsidRPr="00695587">
        <w:t xml:space="preserve"> Za dosažení milníku může uživatel „probudit“ nebo získat vizuální ikonu chrliče, který se usadí v rohu jeho rozhraní.</w:t>
      </w:r>
    </w:p>
    <w:p w14:paraId="708C079F" w14:textId="77777777" w:rsidR="00695587" w:rsidRPr="00695587" w:rsidRDefault="00695587" w:rsidP="00695587">
      <w:pPr>
        <w:rPr>
          <w:b/>
          <w:bCs/>
        </w:rPr>
      </w:pPr>
      <w:r w:rsidRPr="00695587">
        <w:rPr>
          <w:b/>
          <w:bCs/>
        </w:rPr>
        <w:t>3. Alchymie a malířské řemeslo</w:t>
      </w:r>
    </w:p>
    <w:p w14:paraId="470D43B1" w14:textId="77777777" w:rsidR="00695587" w:rsidRPr="00695587" w:rsidRDefault="00695587" w:rsidP="00695587">
      <w:r w:rsidRPr="00695587">
        <w:t>Vzhledem k tomu, že zmiňujete malbu, zaměřte se na proces tvorby díla té doby.</w:t>
      </w:r>
    </w:p>
    <w:p w14:paraId="62EAAA8D" w14:textId="77777777" w:rsidR="00695587" w:rsidRPr="00695587" w:rsidRDefault="00695587" w:rsidP="00695587">
      <w:pPr>
        <w:numPr>
          <w:ilvl w:val="0"/>
          <w:numId w:val="3"/>
        </w:numPr>
      </w:pPr>
      <w:r w:rsidRPr="00695587">
        <w:rPr>
          <w:b/>
          <w:bCs/>
        </w:rPr>
        <w:t>Zlacení plátkovým zlatem:</w:t>
      </w:r>
      <w:r w:rsidRPr="00695587">
        <w:t xml:space="preserve"> UI prvky (tlačítka, rámečky) mohou být původně dřevěné nebo kamenné. S rostoucím XP se na nich začnou objevovat „odlupky“ zlata, až se při milníku celý prvek promění v zářící artefakt.</w:t>
      </w:r>
    </w:p>
    <w:p w14:paraId="5F9DC77A" w14:textId="77777777" w:rsidR="00695587" w:rsidRPr="00695587" w:rsidRDefault="00695587" w:rsidP="00695587">
      <w:pPr>
        <w:numPr>
          <w:ilvl w:val="0"/>
          <w:numId w:val="3"/>
        </w:numPr>
      </w:pPr>
      <w:r w:rsidRPr="00695587">
        <w:rPr>
          <w:b/>
          <w:bCs/>
        </w:rPr>
        <w:t>Okrývání triptychu:</w:t>
      </w:r>
      <w:r w:rsidRPr="00695587">
        <w:t xml:space="preserve"> Hlavní odměna za úroveň může být skryta za křídly oltáře. Po splnění úkolů se křídla triptychu animovaně otevřou a odhalí „mistrovské dílo“ (vaši vizuální odměnu).</w:t>
      </w:r>
    </w:p>
    <w:p w14:paraId="42FA6E82" w14:textId="77777777" w:rsidR="00695587" w:rsidRPr="00695587" w:rsidRDefault="00695587" w:rsidP="00695587">
      <w:pPr>
        <w:numPr>
          <w:ilvl w:val="0"/>
          <w:numId w:val="3"/>
        </w:numPr>
      </w:pPr>
      <w:r w:rsidRPr="00695587">
        <w:rPr>
          <w:b/>
          <w:bCs/>
        </w:rPr>
        <w:lastRenderedPageBreak/>
        <w:t>Vzácné pigmenty:</w:t>
      </w:r>
      <w:r w:rsidRPr="00695587">
        <w:t xml:space="preserve"> Postup hrou může uživateli odemykat nové barvy rozhraní (např. od zemitých tónů po drahocenný </w:t>
      </w:r>
      <w:r w:rsidRPr="00695587">
        <w:rPr>
          <w:i/>
          <w:iCs/>
        </w:rPr>
        <w:t>ultramarín</w:t>
      </w:r>
      <w:r w:rsidRPr="00695587">
        <w:t xml:space="preserve"> nebo </w:t>
      </w:r>
      <w:r w:rsidRPr="00695587">
        <w:rPr>
          <w:i/>
          <w:iCs/>
        </w:rPr>
        <w:t>purpur</w:t>
      </w:r>
      <w:r w:rsidRPr="00695587">
        <w:t>).</w:t>
      </w:r>
    </w:p>
    <w:p w14:paraId="1C6E4D3E" w14:textId="77777777" w:rsidR="00695587" w:rsidRPr="00695587" w:rsidRDefault="00695587" w:rsidP="00695587">
      <w:pPr>
        <w:rPr>
          <w:b/>
          <w:bCs/>
        </w:rPr>
      </w:pPr>
      <w:r w:rsidRPr="00695587">
        <w:rPr>
          <w:b/>
          <w:bCs/>
        </w:rPr>
        <w:t>4. Heraldika a symbolika</w:t>
      </w:r>
    </w:p>
    <w:p w14:paraId="4E95F919" w14:textId="77777777" w:rsidR="00695587" w:rsidRPr="00695587" w:rsidRDefault="00695587" w:rsidP="00695587">
      <w:pPr>
        <w:numPr>
          <w:ilvl w:val="0"/>
          <w:numId w:val="4"/>
        </w:numPr>
      </w:pPr>
      <w:r w:rsidRPr="00695587">
        <w:rPr>
          <w:b/>
          <w:bCs/>
        </w:rPr>
        <w:t>Evoluce erbu:</w:t>
      </w:r>
      <w:r w:rsidRPr="00695587">
        <w:t xml:space="preserve"> Uživatel začíná s prázdným štítem. Za každý milník získá novou heroldskou figuru (lva, orlici, lilii) nebo tinkturu, až si sestaví vlastní unikátní erb.</w:t>
      </w:r>
    </w:p>
    <w:p w14:paraId="6A82090C" w14:textId="77777777" w:rsidR="00695587" w:rsidRPr="00695587" w:rsidRDefault="00695587" w:rsidP="00695587">
      <w:pPr>
        <w:numPr>
          <w:ilvl w:val="0"/>
          <w:numId w:val="4"/>
        </w:numPr>
      </w:pPr>
      <w:r w:rsidRPr="00695587">
        <w:rPr>
          <w:b/>
          <w:bCs/>
        </w:rPr>
        <w:t>Votivní svíce:</w:t>
      </w:r>
      <w:r w:rsidRPr="00695587">
        <w:t xml:space="preserve"> Za menší úspěchy se v UI rozhoří tenká gotická svíce. Čím více svící svítí, tím „světlejší“ a prestižnější aplikace vypadá.</w:t>
      </w:r>
    </w:p>
    <w:p w14:paraId="30778788" w14:textId="77777777" w:rsidR="00CF1A61" w:rsidRDefault="00CF1A61"/>
    <w:p w14:paraId="7018921C" w14:textId="77777777" w:rsidR="00462160" w:rsidRDefault="00462160" w:rsidP="00462160">
      <w:r>
        <w:t>Můj plán:</w:t>
      </w:r>
    </w:p>
    <w:p w14:paraId="79AA2A9D" w14:textId="77777777" w:rsidR="00462160" w:rsidRDefault="00462160" w:rsidP="00462160">
      <w:r>
        <w:t xml:space="preserve">   1. XP Systém: Do app.py přidám logiku pro odečítání XP při chybných odpovědích (např. v kvízu o architektuře a při určování světových stran).</w:t>
      </w:r>
    </w:p>
    <w:p w14:paraId="5F868BFA" w14:textId="3DE98B14" w:rsidR="00462160" w:rsidRDefault="00462160" w:rsidP="00462160">
      <w:r>
        <w:t xml:space="preserve">   2. Vizuální odměna (Rozeta): Vytvoř funkci pro generování dynamického SVG okna</w:t>
      </w:r>
      <w:r w:rsidR="001A1B53">
        <w:t xml:space="preserve"> (vizuální odměny)</w:t>
      </w:r>
      <w:r>
        <w:t>. Šedé segmenty se budou měnit na barevné vitráže s rostoucím XP</w:t>
      </w:r>
      <w:r w:rsidR="001A1B53">
        <w:t xml:space="preserve"> v průběhu celé aplikace.</w:t>
      </w:r>
      <w:r>
        <w:t xml:space="preserve"> Při dosažení maxima při</w:t>
      </w:r>
      <w:r w:rsidR="001A1B53">
        <w:t>dej</w:t>
      </w:r>
      <w:r>
        <w:t xml:space="preserve"> efekt "zářícího </w:t>
      </w:r>
      <w:proofErr w:type="spellStart"/>
      <w:r>
        <w:t>světla</w:t>
      </w:r>
      <w:proofErr w:type="gramStart"/>
      <w:r>
        <w:t>".</w:t>
      </w:r>
      <w:r w:rsidR="001A1B53">
        <w:t>Ať</w:t>
      </w:r>
      <w:proofErr w:type="spellEnd"/>
      <w:proofErr w:type="gramEnd"/>
      <w:r w:rsidR="001A1B53">
        <w:t xml:space="preserve"> se rozeta objevuje na vlastní obrazovce ne v </w:t>
      </w:r>
      <w:proofErr w:type="spellStart"/>
      <w:r w:rsidR="001A1B53">
        <w:t>sidebaru</w:t>
      </w:r>
      <w:proofErr w:type="spellEnd"/>
      <w:r w:rsidR="001A1B53">
        <w:t>.</w:t>
      </w:r>
    </w:p>
    <w:p w14:paraId="47B4DD12" w14:textId="77777777" w:rsidR="00462160" w:rsidRDefault="00462160" w:rsidP="00462160">
      <w:r>
        <w:t xml:space="preserve">   3. </w:t>
      </w:r>
      <w:proofErr w:type="spellStart"/>
      <w:r>
        <w:t>Parchment</w:t>
      </w:r>
      <w:proofErr w:type="spellEnd"/>
      <w:r>
        <w:t xml:space="preserve"> CSS: Aktualizuji styl aplikace na "pergamenový" vzhled (texturované pozadí, stylové okraje, inkoustové barvy), přičemž zachovám funkčnost všech   </w:t>
      </w:r>
    </w:p>
    <w:p w14:paraId="74D976AC" w14:textId="0091E0EC" w:rsidR="00462160" w:rsidRDefault="00462160" w:rsidP="00462160">
      <w:r>
        <w:t xml:space="preserve">      prvků v úrovni 5</w:t>
      </w:r>
    </w:p>
    <w:p w14:paraId="58D6A8CA" w14:textId="77777777" w:rsidR="00DA6D2F" w:rsidRDefault="00DA6D2F" w:rsidP="00462160"/>
    <w:p w14:paraId="76134309" w14:textId="77777777" w:rsidR="00DA6D2F" w:rsidRDefault="00DA6D2F" w:rsidP="00462160"/>
    <w:p w14:paraId="1E5A957F" w14:textId="77777777" w:rsidR="00DA6D2F" w:rsidRDefault="00DA6D2F" w:rsidP="00DA6D2F">
      <w:r>
        <w:t xml:space="preserve">I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Reward</w:t>
      </w:r>
      <w:proofErr w:type="spellEnd"/>
      <w:r>
        <w:t xml:space="preserve"> (</w:t>
      </w:r>
      <w:proofErr w:type="spellStart"/>
      <w:r>
        <w:t>Rosette</w:t>
      </w:r>
      <w:proofErr w:type="spellEnd"/>
      <w:r>
        <w:t xml:space="preserve">) as </w:t>
      </w:r>
      <w:proofErr w:type="spellStart"/>
      <w:r>
        <w:t>requested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 </w:t>
      </w:r>
      <w:proofErr w:type="spellStart"/>
      <w:r>
        <w:t>dynamic</w:t>
      </w:r>
      <w:proofErr w:type="spellEnd"/>
      <w:r>
        <w:t xml:space="preserve"> SVG </w:t>
      </w:r>
      <w:proofErr w:type="spellStart"/>
      <w:r>
        <w:t>Gothic</w:t>
      </w:r>
      <w:proofErr w:type="spellEnd"/>
      <w:r>
        <w:t xml:space="preserve"> </w:t>
      </w:r>
      <w:proofErr w:type="spellStart"/>
      <w:r>
        <w:t>rosette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sidebar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serves</w:t>
      </w:r>
      <w:proofErr w:type="spellEnd"/>
      <w:r>
        <w:t xml:space="preserve"> as a </w:t>
      </w:r>
      <w:proofErr w:type="spellStart"/>
      <w:r>
        <w:t>spiritual</w:t>
      </w:r>
      <w:proofErr w:type="spellEnd"/>
    </w:p>
    <w:p w14:paraId="1425E0F6" w14:textId="77777777" w:rsidR="00DA6D2F" w:rsidRDefault="00DA6D2F" w:rsidP="00DA6D2F">
      <w:r>
        <w:t xml:space="preserve">  </w:t>
      </w:r>
      <w:proofErr w:type="spellStart"/>
      <w:r>
        <w:t>progress</w:t>
      </w:r>
      <w:proofErr w:type="spellEnd"/>
      <w:r>
        <w:t xml:space="preserve"> </w:t>
      </w:r>
      <w:proofErr w:type="spellStart"/>
      <w:r>
        <w:t>indicator</w:t>
      </w:r>
      <w:proofErr w:type="spellEnd"/>
      <w:r>
        <w:t>.</w:t>
      </w:r>
    </w:p>
    <w:p w14:paraId="0C33FD36" w14:textId="77777777" w:rsidR="00DA6D2F" w:rsidRDefault="00DA6D2F" w:rsidP="00DA6D2F"/>
    <w:p w14:paraId="4185AACD" w14:textId="77777777" w:rsidR="00DA6D2F" w:rsidRDefault="00DA6D2F" w:rsidP="00DA6D2F"/>
    <w:p w14:paraId="3FF65E6D" w14:textId="77777777" w:rsidR="00DA6D2F" w:rsidRDefault="00DA6D2F" w:rsidP="00DA6D2F">
      <w:r>
        <w:t xml:space="preserve">  </w:t>
      </w:r>
      <w:proofErr w:type="spellStart"/>
      <w:r>
        <w:t>Key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>:</w:t>
      </w:r>
    </w:p>
    <w:p w14:paraId="69916146" w14:textId="77777777" w:rsidR="00DA6D2F" w:rsidRDefault="00DA6D2F" w:rsidP="00DA6D2F">
      <w:r>
        <w:t xml:space="preserve">   -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Vitrage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rosette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divided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12 </w:t>
      </w:r>
      <w:proofErr w:type="spellStart"/>
      <w:r>
        <w:t>segments</w:t>
      </w:r>
      <w:proofErr w:type="spellEnd"/>
      <w:r>
        <w:t xml:space="preserve">. As </w:t>
      </w:r>
      <w:proofErr w:type="spellStart"/>
      <w:r>
        <w:t>your</w:t>
      </w:r>
      <w:proofErr w:type="spellEnd"/>
      <w:r>
        <w:t xml:space="preserve"> XP </w:t>
      </w:r>
      <w:proofErr w:type="spellStart"/>
      <w:r>
        <w:t>increases</w:t>
      </w:r>
      <w:proofErr w:type="spellEnd"/>
      <w:r>
        <w:t xml:space="preserve">, these </w:t>
      </w:r>
      <w:proofErr w:type="spellStart"/>
      <w:r>
        <w:t>segments</w:t>
      </w:r>
      <w:proofErr w:type="spellEnd"/>
      <w:r>
        <w:t xml:space="preserve">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"</w:t>
      </w:r>
      <w:proofErr w:type="spellStart"/>
      <w:r>
        <w:t>cold</w:t>
      </w:r>
      <w:proofErr w:type="spellEnd"/>
      <w:r>
        <w:t xml:space="preserve">" </w:t>
      </w:r>
      <w:proofErr w:type="spellStart"/>
      <w:r>
        <w:t>gray</w:t>
      </w:r>
      <w:proofErr w:type="spellEnd"/>
      <w:r>
        <w:t xml:space="preserve"> stone </w:t>
      </w:r>
      <w:proofErr w:type="spellStart"/>
      <w:r>
        <w:t>into</w:t>
      </w:r>
      <w:proofErr w:type="spellEnd"/>
      <w:r>
        <w:t xml:space="preserve"> "</w:t>
      </w:r>
      <w:proofErr w:type="spellStart"/>
      <w:r>
        <w:t>warm</w:t>
      </w:r>
      <w:proofErr w:type="spellEnd"/>
      <w:r>
        <w:t xml:space="preserve">" </w:t>
      </w:r>
      <w:proofErr w:type="spellStart"/>
      <w:r>
        <w:t>colored</w:t>
      </w:r>
      <w:proofErr w:type="spellEnd"/>
      <w:r>
        <w:t xml:space="preserve"> </w:t>
      </w:r>
      <w:proofErr w:type="spellStart"/>
      <w:r>
        <w:t>stained</w:t>
      </w:r>
      <w:proofErr w:type="spellEnd"/>
    </w:p>
    <w:p w14:paraId="094DA6EE" w14:textId="77777777" w:rsidR="00DA6D2F" w:rsidRDefault="00DA6D2F" w:rsidP="00DA6D2F">
      <w:r>
        <w:t xml:space="preserve">     </w:t>
      </w:r>
      <w:proofErr w:type="spellStart"/>
      <w:r>
        <w:t>glass</w:t>
      </w:r>
      <w:proofErr w:type="spellEnd"/>
      <w:r>
        <w:t>.</w:t>
      </w:r>
    </w:p>
    <w:p w14:paraId="0309AC8A" w14:textId="77777777" w:rsidR="00DA6D2F" w:rsidRDefault="00DA6D2F" w:rsidP="00DA6D2F">
      <w:r>
        <w:t xml:space="preserve">   - Medieval </w:t>
      </w:r>
      <w:proofErr w:type="spellStart"/>
      <w:r>
        <w:t>Palette</w:t>
      </w:r>
      <w:proofErr w:type="spellEnd"/>
      <w:r>
        <w:t xml:space="preserve">: I </w:t>
      </w:r>
      <w:proofErr w:type="spellStart"/>
      <w:r>
        <w:t>used</w:t>
      </w:r>
      <w:proofErr w:type="spellEnd"/>
      <w:r>
        <w:t xml:space="preserve"> a </w:t>
      </w:r>
      <w:proofErr w:type="spellStart"/>
      <w:r>
        <w:t>historically-inspired</w:t>
      </w:r>
      <w:proofErr w:type="spellEnd"/>
      <w:r>
        <w:t xml:space="preserve">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palette</w:t>
      </w:r>
      <w:proofErr w:type="spellEnd"/>
      <w:r>
        <w:t xml:space="preserve"> (Ruby </w:t>
      </w:r>
      <w:proofErr w:type="spellStart"/>
      <w:r>
        <w:t>Red</w:t>
      </w:r>
      <w:proofErr w:type="spellEnd"/>
      <w:r>
        <w:t xml:space="preserve">, </w:t>
      </w:r>
      <w:proofErr w:type="spellStart"/>
      <w:r>
        <w:t>Deep</w:t>
      </w:r>
      <w:proofErr w:type="spellEnd"/>
      <w:r>
        <w:t xml:space="preserve"> Blue, Amber </w:t>
      </w:r>
      <w:proofErr w:type="gramStart"/>
      <w:r>
        <w:t>Gold,</w:t>
      </w:r>
      <w:proofErr w:type="gramEnd"/>
      <w:r>
        <w:t xml:space="preserve"> </w:t>
      </w:r>
      <w:proofErr w:type="spellStart"/>
      <w:r>
        <w:t>etc</w:t>
      </w:r>
      <w:proofErr w:type="spellEnd"/>
      <w:r>
        <w:t xml:space="preserve">.)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glass</w:t>
      </w:r>
      <w:proofErr w:type="spellEnd"/>
      <w:r>
        <w:t xml:space="preserve"> </w:t>
      </w:r>
      <w:proofErr w:type="spellStart"/>
      <w:r>
        <w:t>segments</w:t>
      </w:r>
      <w:proofErr w:type="spellEnd"/>
      <w:r>
        <w:t>.</w:t>
      </w:r>
    </w:p>
    <w:p w14:paraId="252CE6D4" w14:textId="77777777" w:rsidR="00DA6D2F" w:rsidRDefault="00DA6D2F" w:rsidP="00DA6D2F">
      <w:r>
        <w:lastRenderedPageBreak/>
        <w:t xml:space="preserve">   - Maximum </w:t>
      </w:r>
      <w:proofErr w:type="spellStart"/>
      <w:r>
        <w:t>Reward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: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maximum XP (450),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rosette</w:t>
      </w:r>
      <w:proofErr w:type="spellEnd"/>
      <w:r>
        <w:t xml:space="preserve"> </w:t>
      </w:r>
      <w:proofErr w:type="spellStart"/>
      <w:r>
        <w:t>triggers</w:t>
      </w:r>
      <w:proofErr w:type="spellEnd"/>
      <w:r>
        <w:t xml:space="preserve"> a "</w:t>
      </w:r>
      <w:proofErr w:type="spellStart"/>
      <w:r>
        <w:t>glowing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"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SVG </w:t>
      </w:r>
      <w:proofErr w:type="spellStart"/>
      <w:r>
        <w:t>filters</w:t>
      </w:r>
      <w:proofErr w:type="spellEnd"/>
      <w:r>
        <w:t xml:space="preserve"> and CSS </w:t>
      </w:r>
      <w:proofErr w:type="spellStart"/>
      <w:r>
        <w:t>dropshadows</w:t>
      </w:r>
      <w:proofErr w:type="spellEnd"/>
      <w:r>
        <w:t xml:space="preserve">, </w:t>
      </w:r>
      <w:proofErr w:type="spellStart"/>
      <w:r>
        <w:t>symbolizing</w:t>
      </w:r>
      <w:proofErr w:type="spellEnd"/>
    </w:p>
    <w:p w14:paraId="46A00B70" w14:textId="77777777" w:rsidR="00DA6D2F" w:rsidRDefault="00DA6D2F" w:rsidP="00DA6D2F">
      <w:r>
        <w:t xml:space="preserve">    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completion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spiritual</w:t>
      </w:r>
      <w:proofErr w:type="spellEnd"/>
      <w:r>
        <w:t xml:space="preserve"> and </w:t>
      </w:r>
      <w:proofErr w:type="spellStart"/>
      <w:r>
        <w:t>artistic</w:t>
      </w:r>
      <w:proofErr w:type="spellEnd"/>
      <w:r>
        <w:t xml:space="preserve"> </w:t>
      </w:r>
      <w:proofErr w:type="spellStart"/>
      <w:r>
        <w:t>journey</w:t>
      </w:r>
      <w:proofErr w:type="spellEnd"/>
      <w:r>
        <w:t>.</w:t>
      </w:r>
    </w:p>
    <w:p w14:paraId="04E3AFEB" w14:textId="77777777" w:rsidR="00DA6D2F" w:rsidRDefault="00DA6D2F" w:rsidP="00DA6D2F">
      <w:r>
        <w:t xml:space="preserve">   - </w:t>
      </w:r>
      <w:proofErr w:type="spellStart"/>
      <w:r>
        <w:t>Surgical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rosette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placed</w:t>
      </w:r>
      <w:proofErr w:type="spellEnd"/>
      <w:r>
        <w:t xml:space="preserve"> </w:t>
      </w:r>
      <w:proofErr w:type="spellStart"/>
      <w:r>
        <w:t>prominently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sidebar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heading</w:t>
      </w:r>
      <w:proofErr w:type="spellEnd"/>
      <w:r>
        <w:t xml:space="preserve"> "Duchovní světlo" (</w:t>
      </w:r>
      <w:proofErr w:type="spellStart"/>
      <w:r>
        <w:t>Spiritual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), </w:t>
      </w:r>
      <w:proofErr w:type="spellStart"/>
      <w:r>
        <w:t>appearing</w:t>
      </w:r>
      <w:proofErr w:type="spellEnd"/>
      <w:r>
        <w:t xml:space="preserve"> as </w:t>
      </w:r>
      <w:proofErr w:type="spellStart"/>
      <w:r>
        <w:t>soon</w:t>
      </w:r>
      <w:proofErr w:type="spellEnd"/>
      <w:r>
        <w:t xml:space="preserve"> as </w:t>
      </w:r>
      <w:proofErr w:type="spellStart"/>
      <w:r>
        <w:t>the</w:t>
      </w:r>
      <w:proofErr w:type="spellEnd"/>
    </w:p>
    <w:p w14:paraId="2DE070E3" w14:textId="77777777" w:rsidR="00DA6D2F" w:rsidRDefault="00DA6D2F" w:rsidP="00DA6D2F">
      <w:r>
        <w:t xml:space="preserve">     </w:t>
      </w:r>
      <w:proofErr w:type="spellStart"/>
      <w:r>
        <w:t>pilgrimage</w:t>
      </w:r>
      <w:proofErr w:type="spellEnd"/>
      <w:r>
        <w:t xml:space="preserve"> </w:t>
      </w:r>
      <w:proofErr w:type="spellStart"/>
      <w:r>
        <w:t>begins</w:t>
      </w:r>
      <w:proofErr w:type="spellEnd"/>
      <w:r>
        <w:t>.</w:t>
      </w:r>
    </w:p>
    <w:p w14:paraId="165775E1" w14:textId="77777777" w:rsidR="00DA6D2F" w:rsidRDefault="00DA6D2F" w:rsidP="00DA6D2F"/>
    <w:p w14:paraId="3452022B" w14:textId="77777777" w:rsidR="00DA6D2F" w:rsidRDefault="00DA6D2F" w:rsidP="00DA6D2F"/>
    <w:p w14:paraId="79FF90D6" w14:textId="492A05C2" w:rsidR="00DA6D2F" w:rsidRDefault="00DA6D2F" w:rsidP="00DA6D2F">
      <w:r>
        <w:t xml:space="preserve"> 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track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 xml:space="preserve"> </w:t>
      </w:r>
      <w:proofErr w:type="spellStart"/>
      <w:r>
        <w:t>visually</w:t>
      </w:r>
      <w:proofErr w:type="spellEnd"/>
      <w:r>
        <w:t xml:space="preserve"> as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cathedral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workshops</w:t>
      </w:r>
      <w:proofErr w:type="spellEnd"/>
      <w:r>
        <w:t>!</w:t>
      </w:r>
    </w:p>
    <w:p w14:paraId="67FE9C15" w14:textId="77777777" w:rsidR="00DA6D2F" w:rsidRDefault="00DA6D2F" w:rsidP="00DA6D2F"/>
    <w:sectPr w:rsidR="00DA6D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8777E"/>
    <w:multiLevelType w:val="multilevel"/>
    <w:tmpl w:val="DE284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B4124D"/>
    <w:multiLevelType w:val="multilevel"/>
    <w:tmpl w:val="742C3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148209E"/>
    <w:multiLevelType w:val="multilevel"/>
    <w:tmpl w:val="0036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9876199"/>
    <w:multiLevelType w:val="multilevel"/>
    <w:tmpl w:val="F8F47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7233831">
    <w:abstractNumId w:val="0"/>
  </w:num>
  <w:num w:numId="2" w16cid:durableId="44762602">
    <w:abstractNumId w:val="3"/>
  </w:num>
  <w:num w:numId="3" w16cid:durableId="1335374068">
    <w:abstractNumId w:val="1"/>
  </w:num>
  <w:num w:numId="4" w16cid:durableId="13922714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948"/>
    <w:rsid w:val="0014202A"/>
    <w:rsid w:val="001A1B53"/>
    <w:rsid w:val="00432ACB"/>
    <w:rsid w:val="00462160"/>
    <w:rsid w:val="00695587"/>
    <w:rsid w:val="00966948"/>
    <w:rsid w:val="00B231F6"/>
    <w:rsid w:val="00CF1A61"/>
    <w:rsid w:val="00D44EA3"/>
    <w:rsid w:val="00DA6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25F56"/>
  <w15:chartTrackingRefBased/>
  <w15:docId w15:val="{CB2FB7CE-CCBD-4ED3-A338-6C0A9BE66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9669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9669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9669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9669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9669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9669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9669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9669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9669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669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9669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9669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96694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96694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96694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96694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96694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96694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9669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9669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9669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9669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9669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96694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96694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96694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9669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96694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9669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09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7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34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603</Words>
  <Characters>3564</Characters>
  <Application>Microsoft Office Word</Application>
  <DocSecurity>0</DocSecurity>
  <Lines>29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Johana Šebková</dc:creator>
  <cp:keywords/>
  <dc:description/>
  <cp:lastModifiedBy>Johana Šebková</cp:lastModifiedBy>
  <cp:revision>6</cp:revision>
  <dcterms:created xsi:type="dcterms:W3CDTF">2026-03-05T19:39:00Z</dcterms:created>
  <dcterms:modified xsi:type="dcterms:W3CDTF">2026-03-05T21:02:00Z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5ccb1574-3504-4acf-83f9-6b93bacfdb21</vt:lpwstr>
  </property>
</Properties>
</file>