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6CA1" w14:textId="77777777" w:rsidR="00E82A19" w:rsidRPr="00FB47D8" w:rsidRDefault="00E82A19" w:rsidP="00E82A19">
      <w:pPr>
        <w:spacing w:line="360" w:lineRule="auto"/>
        <w:rPr>
          <w:rFonts w:ascii="Calibri" w:hAnsi="Calibri" w:cs="Calibri"/>
          <w:b/>
          <w:bCs/>
          <w:sz w:val="24"/>
          <w:szCs w:val="24"/>
          <w:u w:val="single"/>
        </w:rPr>
      </w:pPr>
      <w:r w:rsidRPr="00FB47D8">
        <w:rPr>
          <w:rFonts w:ascii="Calibri" w:hAnsi="Calibri" w:cs="Calibri"/>
          <w:b/>
          <w:bCs/>
          <w:sz w:val="24"/>
          <w:szCs w:val="24"/>
          <w:u w:val="single"/>
        </w:rPr>
        <w:t>Methods</w:t>
      </w:r>
    </w:p>
    <w:p w14:paraId="1FCE2DDD" w14:textId="77777777"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u w:val="single"/>
        </w:rPr>
        <w:t>Study overview</w:t>
      </w:r>
      <w:r w:rsidRPr="00FB47D8">
        <w:rPr>
          <w:rFonts w:ascii="Calibri" w:hAnsi="Calibri" w:cs="Calibri"/>
          <w:sz w:val="24"/>
          <w:szCs w:val="24"/>
        </w:rPr>
        <w:t>:</w:t>
      </w:r>
    </w:p>
    <w:p w14:paraId="016C9D3F" w14:textId="11D451EF" w:rsidR="00061F22" w:rsidRPr="00FB47D8" w:rsidRDefault="00E82A19" w:rsidP="00E82A19">
      <w:pPr>
        <w:spacing w:line="360" w:lineRule="auto"/>
        <w:rPr>
          <w:rFonts w:ascii="Calibri" w:hAnsi="Calibri" w:cs="Calibri"/>
          <w:sz w:val="24"/>
          <w:szCs w:val="24"/>
        </w:rPr>
      </w:pPr>
      <w:r w:rsidRPr="00FB47D8">
        <w:rPr>
          <w:rFonts w:ascii="Calibri" w:hAnsi="Calibri" w:cs="Calibri"/>
          <w:sz w:val="24"/>
          <w:szCs w:val="24"/>
        </w:rPr>
        <w:t xml:space="preserve">Data for this analysis was sourced from a longitudinal cohort study that recruited 306 dyads of 36-month-old children and their mothers from the Seattle metropolitan area to assess the mechanisms through which socioeconomic status, cumulative family risk, and parenting behaviors impact the function of the hypothalamic-pituitary-adrenal (HPA) axis in children </w:t>
      </w:r>
      <w:r w:rsidRPr="00FB47D8">
        <w:rPr>
          <w:rFonts w:ascii="Calibri" w:hAnsi="Calibri" w:cs="Calibri"/>
          <w:sz w:val="24"/>
          <w:szCs w:val="24"/>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sz w:val="24"/>
          <w:szCs w:val="24"/>
        </w:rPr>
        <w:instrText xml:space="preserve"> ADDIN EN.CITE </w:instrText>
      </w:r>
      <w:r w:rsidR="00260DE2">
        <w:rPr>
          <w:rFonts w:ascii="Calibri" w:hAnsi="Calibri" w:cs="Calibri"/>
          <w:sz w:val="24"/>
          <w:szCs w:val="24"/>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sz w:val="24"/>
          <w:szCs w:val="24"/>
        </w:rPr>
        <w:instrText xml:space="preserve"> ADDIN EN.CITE.DATA </w:instrText>
      </w:r>
      <w:r w:rsidR="00260DE2">
        <w:rPr>
          <w:rFonts w:ascii="Calibri" w:hAnsi="Calibri" w:cs="Calibri"/>
          <w:sz w:val="24"/>
          <w:szCs w:val="24"/>
        </w:rPr>
      </w:r>
      <w:r w:rsidR="00260DE2">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(Zalewski et al., 2012)</w:t>
      </w:r>
      <w:r w:rsidRPr="00FB47D8">
        <w:rPr>
          <w:rFonts w:ascii="Calibri" w:hAnsi="Calibri" w:cs="Calibri"/>
          <w:sz w:val="24"/>
          <w:szCs w:val="24"/>
        </w:rPr>
        <w:fldChar w:fldCharType="end"/>
      </w:r>
      <w:r w:rsidRPr="00FB47D8">
        <w:rPr>
          <w:rFonts w:ascii="Calibri" w:hAnsi="Calibri" w:cs="Calibri"/>
          <w:sz w:val="24"/>
          <w:szCs w:val="24"/>
        </w:rPr>
        <w:t xml:space="preserve">. From the original cohort, 227 mother-child dyads were recruited into a second phase of data collection when the children were approximately 11 years of age. The main aim of the second phase of </w:t>
      </w:r>
      <w:r w:rsidR="00563BCE" w:rsidRPr="00FB47D8">
        <w:rPr>
          <w:rFonts w:ascii="Calibri" w:hAnsi="Calibri" w:cs="Calibri"/>
          <w:sz w:val="24"/>
          <w:szCs w:val="24"/>
        </w:rPr>
        <w:t xml:space="preserve">the study </w:t>
      </w:r>
      <w:r w:rsidRPr="00FB47D8">
        <w:rPr>
          <w:rFonts w:ascii="Calibri" w:hAnsi="Calibri" w:cs="Calibri"/>
          <w:sz w:val="24"/>
          <w:szCs w:val="24"/>
        </w:rPr>
        <w:t>was to examine the associations of childhood threat and deprivation experiences, characterized in detail using a multi-informant approach, with the neural architecture governing emotion regulation and cognitive control of the developing adolescents.</w:t>
      </w:r>
    </w:p>
    <w:p w14:paraId="178B1938" w14:textId="2BBD68B8" w:rsidR="00884FCD" w:rsidRPr="00FB47D8" w:rsidRDefault="00E82A19" w:rsidP="00F52BF8">
      <w:pPr>
        <w:spacing w:line="360" w:lineRule="auto"/>
        <w:rPr>
          <w:rFonts w:ascii="Calibri" w:hAnsi="Calibri" w:cs="Calibri"/>
          <w:sz w:val="24"/>
          <w:szCs w:val="24"/>
          <w:u w:val="single"/>
        </w:rPr>
      </w:pPr>
      <w:r w:rsidRPr="00FB47D8">
        <w:rPr>
          <w:rFonts w:ascii="Calibri" w:hAnsi="Calibri" w:cs="Calibri"/>
          <w:sz w:val="24"/>
          <w:szCs w:val="24"/>
        </w:rPr>
        <w:t xml:space="preserve">Participants completed a 3-session baseline assessment at age of 10.9-13.0 </w:t>
      </w:r>
      <w:r w:rsidR="00884FCD" w:rsidRPr="00FB47D8">
        <w:rPr>
          <w:rFonts w:ascii="Calibri" w:hAnsi="Calibri" w:cs="Calibri"/>
          <w:sz w:val="24"/>
          <w:szCs w:val="24"/>
        </w:rPr>
        <w:t>and</w:t>
      </w:r>
      <w:r w:rsidRPr="00FB47D8">
        <w:rPr>
          <w:rFonts w:ascii="Calibri" w:hAnsi="Calibri" w:cs="Calibri"/>
          <w:sz w:val="24"/>
          <w:szCs w:val="24"/>
        </w:rPr>
        <w:t xml:space="preserve"> provided survey data on </w:t>
      </w:r>
      <w:r w:rsidR="00884FCD" w:rsidRPr="00FB47D8">
        <w:rPr>
          <w:rFonts w:ascii="Calibri" w:hAnsi="Calibri" w:cs="Calibri"/>
          <w:sz w:val="24"/>
          <w:szCs w:val="24"/>
        </w:rPr>
        <w:t xml:space="preserve">the history of threat and deprivation experiences, </w:t>
      </w:r>
      <w:r w:rsidRPr="00FB47D8">
        <w:rPr>
          <w:rFonts w:ascii="Calibri" w:hAnsi="Calibri" w:cs="Calibri"/>
          <w:sz w:val="24"/>
          <w:szCs w:val="24"/>
        </w:rPr>
        <w:t xml:space="preserve">demographics, home environment, and psychological symptomatology. At </w:t>
      </w:r>
      <w:r w:rsidR="00F52BF8">
        <w:rPr>
          <w:rFonts w:ascii="Calibri" w:hAnsi="Calibri" w:cs="Calibri"/>
          <w:sz w:val="24"/>
          <w:szCs w:val="24"/>
        </w:rPr>
        <w:t>baseline</w:t>
      </w:r>
      <w:r w:rsidRPr="00FB47D8">
        <w:rPr>
          <w:rFonts w:ascii="Calibri" w:hAnsi="Calibri" w:cs="Calibri"/>
          <w:sz w:val="24"/>
          <w:szCs w:val="24"/>
        </w:rPr>
        <w:t xml:space="preserve">, the children additionally underwent behavioral tasks and structural and functional MRI assessments to capture emotional, cognitive, and developmental characteristics at the brink of adolescence. Child and parent survey measures, behavioral tasks, and components of the MRI assessment conducted at the baseline assessment are summarized in </w:t>
      </w:r>
      <w:r w:rsidRPr="00FB47D8">
        <w:rPr>
          <w:rFonts w:ascii="Calibri" w:hAnsi="Calibri" w:cs="Calibri"/>
          <w:b/>
          <w:bCs/>
          <w:sz w:val="24"/>
          <w:szCs w:val="24"/>
          <w:highlight w:val="cyan"/>
        </w:rPr>
        <w:t>Table A.1</w:t>
      </w:r>
      <w:r w:rsidRPr="00FB47D8">
        <w:rPr>
          <w:rFonts w:ascii="Calibri" w:hAnsi="Calibri" w:cs="Calibri"/>
          <w:sz w:val="24"/>
          <w:szCs w:val="24"/>
        </w:rPr>
        <w:t xml:space="preserve"> in the Appendix.</w:t>
      </w:r>
      <w:r w:rsidR="00563BCE" w:rsidRPr="00FB47D8">
        <w:rPr>
          <w:rFonts w:ascii="Calibri" w:hAnsi="Calibri" w:cs="Calibri"/>
          <w:sz w:val="24"/>
          <w:szCs w:val="24"/>
        </w:rPr>
        <w:t xml:space="preserve"> </w:t>
      </w:r>
      <w:r w:rsidRPr="00FB47D8">
        <w:rPr>
          <w:rFonts w:ascii="Calibri" w:hAnsi="Calibri" w:cs="Calibri"/>
          <w:sz w:val="24"/>
          <w:szCs w:val="24"/>
        </w:rPr>
        <w:t>A follow-up psychological assessment was conducted approximately 2 years post-baseline. Of the 227, 14 participants did not provide</w:t>
      </w:r>
      <w:r w:rsidR="00563BCE" w:rsidRPr="00FB47D8">
        <w:rPr>
          <w:rFonts w:ascii="Calibri" w:hAnsi="Calibri" w:cs="Calibri"/>
          <w:sz w:val="24"/>
          <w:szCs w:val="24"/>
        </w:rPr>
        <w:t xml:space="preserve"> any</w:t>
      </w:r>
      <w:r w:rsidRPr="00FB47D8">
        <w:rPr>
          <w:rFonts w:ascii="Calibri" w:hAnsi="Calibri" w:cs="Calibri"/>
          <w:sz w:val="24"/>
          <w:szCs w:val="24"/>
        </w:rPr>
        <w:t xml:space="preserve"> follow-up data. </w:t>
      </w:r>
    </w:p>
    <w:p w14:paraId="44119BE4" w14:textId="32BCFEE3"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u w:val="single"/>
        </w:rPr>
        <w:t>Key constructs</w:t>
      </w:r>
      <w:r w:rsidRPr="00FB47D8">
        <w:rPr>
          <w:rFonts w:ascii="Calibri" w:hAnsi="Calibri" w:cs="Calibri"/>
          <w:sz w:val="24"/>
          <w:szCs w:val="24"/>
        </w:rPr>
        <w:t>:</w:t>
      </w:r>
    </w:p>
    <w:p w14:paraId="7296614D" w14:textId="1CAF4739" w:rsidR="00E82A19" w:rsidRPr="00FB47D8" w:rsidRDefault="00E82A19" w:rsidP="00E82A19">
      <w:pPr>
        <w:spacing w:line="360" w:lineRule="auto"/>
        <w:rPr>
          <w:rFonts w:ascii="Calibri" w:hAnsi="Calibri" w:cs="Calibri"/>
          <w:sz w:val="24"/>
          <w:szCs w:val="24"/>
        </w:rPr>
      </w:pPr>
      <w:r w:rsidRPr="00FB47D8">
        <w:rPr>
          <w:rFonts w:ascii="Calibri" w:hAnsi="Calibri" w:cs="Calibri"/>
          <w:i/>
          <w:iCs/>
          <w:sz w:val="24"/>
          <w:szCs w:val="24"/>
        </w:rPr>
        <w:t>Deprivation and threat exposures</w:t>
      </w:r>
      <w:r w:rsidRPr="00FB47D8">
        <w:rPr>
          <w:rFonts w:ascii="Calibri" w:hAnsi="Calibri" w:cs="Calibri"/>
          <w:sz w:val="24"/>
          <w:szCs w:val="24"/>
        </w:rPr>
        <w:t xml:space="preserve">: </w:t>
      </w:r>
    </w:p>
    <w:p w14:paraId="0E1FC142" w14:textId="5AD95B5D"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rPr>
        <w:t xml:space="preserve">The continuous deprivation measure comprises domains of cognitive, emotional, and physical deprivation. Cognitive deprivation </w:t>
      </w:r>
      <w:r w:rsidR="00563BCE" w:rsidRPr="00FB47D8">
        <w:rPr>
          <w:rFonts w:ascii="Calibri" w:hAnsi="Calibri" w:cs="Calibri"/>
          <w:sz w:val="24"/>
          <w:szCs w:val="24"/>
        </w:rPr>
        <w:t>was</w:t>
      </w:r>
      <w:r w:rsidRPr="00FB47D8">
        <w:rPr>
          <w:rFonts w:ascii="Calibri" w:hAnsi="Calibri" w:cs="Calibri"/>
          <w:sz w:val="24"/>
          <w:szCs w:val="24"/>
        </w:rPr>
        <w:t xml:space="preserve"> measured using maternal responses on the Home Observation Measurement of the Environment-Short Form (HOME-SF) instrument</w:t>
      </w:r>
      <w:r w:rsidR="00505C0F">
        <w:rPr>
          <w:rFonts w:ascii="Calibri" w:hAnsi="Calibri" w:cs="Calibri"/>
          <w:sz w:val="24"/>
          <w:szCs w:val="24"/>
        </w:rPr>
        <w:t xml:space="preserve"> </w:t>
      </w:r>
      <w:r w:rsidRPr="00FB47D8">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(Mott, 2004)</w:t>
      </w:r>
      <w:r w:rsidRPr="00FB47D8">
        <w:rPr>
          <w:rFonts w:ascii="Calibri" w:hAnsi="Calibri" w:cs="Calibri"/>
          <w:sz w:val="24"/>
          <w:szCs w:val="24"/>
        </w:rPr>
        <w:fldChar w:fldCharType="end"/>
      </w:r>
      <w:r w:rsidR="00505C0F">
        <w:rPr>
          <w:rFonts w:ascii="Calibri" w:hAnsi="Calibri" w:cs="Calibri"/>
          <w:sz w:val="24"/>
          <w:szCs w:val="24"/>
        </w:rPr>
        <w:t>.</w:t>
      </w:r>
      <w:r w:rsidRPr="00FB47D8">
        <w:rPr>
          <w:rFonts w:ascii="Calibri" w:hAnsi="Calibri" w:cs="Calibri"/>
          <w:sz w:val="24"/>
          <w:szCs w:val="24"/>
        </w:rPr>
        <w:t xml:space="preserve">  </w:t>
      </w:r>
      <w:r w:rsidR="00563BCE" w:rsidRPr="00FB47D8">
        <w:rPr>
          <w:rFonts w:ascii="Calibri" w:hAnsi="Calibri" w:cs="Calibri"/>
          <w:sz w:val="24"/>
          <w:szCs w:val="24"/>
        </w:rPr>
        <w:t>C</w:t>
      </w:r>
      <w:r w:rsidRPr="00FB47D8">
        <w:rPr>
          <w:rFonts w:ascii="Calibri" w:hAnsi="Calibri" w:cs="Calibri"/>
          <w:sz w:val="24"/>
          <w:szCs w:val="24"/>
        </w:rPr>
        <w:t xml:space="preserve">ognitive stimulation items on the HOME-SF (including the presence of learning materials in the </w:t>
      </w:r>
      <w:r w:rsidRPr="00FB47D8">
        <w:rPr>
          <w:rFonts w:ascii="Calibri" w:hAnsi="Calibri" w:cs="Calibri"/>
          <w:sz w:val="24"/>
          <w:szCs w:val="24"/>
        </w:rPr>
        <w:lastRenderedPageBreak/>
        <w:t>home, the child’s engagement with activities outside the home, the degree of parent-child interaction, and parental scaffolding of the child learning)</w:t>
      </w:r>
      <w:r w:rsidR="00563BCE" w:rsidRPr="00FB47D8">
        <w:rPr>
          <w:rFonts w:ascii="Calibri" w:hAnsi="Calibri" w:cs="Calibri"/>
          <w:sz w:val="24"/>
          <w:szCs w:val="24"/>
        </w:rPr>
        <w:t xml:space="preserve"> were counted and </w:t>
      </w:r>
      <w:r w:rsidRPr="00FB47D8">
        <w:rPr>
          <w:rFonts w:ascii="Calibri" w:hAnsi="Calibri" w:cs="Calibri"/>
          <w:sz w:val="24"/>
          <w:szCs w:val="24"/>
        </w:rPr>
        <w:t>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00505C0F">
        <w:rPr>
          <w:rFonts w:ascii="Calibri" w:hAnsi="Calibri" w:cs="Calibri"/>
          <w:sz w:val="24"/>
          <w:szCs w:val="24"/>
        </w:rPr>
        <w:t xml:space="preserve"> </w:t>
      </w:r>
      <w:r w:rsidRPr="00FB47D8">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(Bifulco et al., 1994; Kaufman Kantor et al., 2004)</w:t>
      </w:r>
      <w:r w:rsidRPr="00FB47D8">
        <w:rPr>
          <w:rFonts w:ascii="Calibri" w:hAnsi="Calibri" w:cs="Calibri"/>
          <w:sz w:val="24"/>
          <w:szCs w:val="24"/>
        </w:rPr>
        <w:fldChar w:fldCharType="end"/>
      </w:r>
      <w:r w:rsidR="00505C0F">
        <w:rPr>
          <w:rFonts w:ascii="Calibri" w:hAnsi="Calibri" w:cs="Calibri"/>
          <w:sz w:val="24"/>
          <w:szCs w:val="24"/>
        </w:rPr>
        <w:t>.</w:t>
      </w:r>
      <w:r w:rsidRPr="00FB47D8">
        <w:rPr>
          <w:rFonts w:ascii="Calibri" w:hAnsi="Calibri" w:cs="Calibri"/>
          <w:sz w:val="24"/>
          <w:szCs w:val="24"/>
        </w:rPr>
        <w:t xml:space="preserve"> Lastly, physical deprivation is the standardized composite of food insecurity, measured by a 4-item household food insecurity scale, and physical neglect subscales of MNBS and the Childhood Trauma Questionnaire (CTQ)</w:t>
      </w:r>
      <w:r w:rsidR="00505C0F">
        <w:rPr>
          <w:rFonts w:ascii="Calibri" w:hAnsi="Calibri" w:cs="Calibri"/>
          <w:sz w:val="24"/>
          <w:szCs w:val="24"/>
        </w:rPr>
        <w:t xml:space="preserve"> </w:t>
      </w:r>
      <w:r w:rsidRPr="00FB47D8">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(Bernstein et al., 1997; Kaufman Kantor et al., 2004)</w:t>
      </w:r>
      <w:r w:rsidRPr="00FB47D8">
        <w:rPr>
          <w:rFonts w:ascii="Calibri" w:hAnsi="Calibri" w:cs="Calibri"/>
          <w:sz w:val="24"/>
          <w:szCs w:val="24"/>
        </w:rPr>
        <w:fldChar w:fldCharType="end"/>
      </w:r>
      <w:r w:rsidR="00505C0F">
        <w:rPr>
          <w:rFonts w:ascii="Calibri" w:hAnsi="Calibri" w:cs="Calibri"/>
          <w:sz w:val="24"/>
          <w:szCs w:val="24"/>
        </w:rPr>
        <w:t>.</w:t>
      </w:r>
      <w:r w:rsidRPr="00FB47D8">
        <w:rPr>
          <w:rFonts w:ascii="Calibri" w:hAnsi="Calibri" w:cs="Calibri"/>
          <w:sz w:val="24"/>
          <w:szCs w:val="24"/>
        </w:rPr>
        <w:t xml:space="preserve"> The continuous overall deprivation metric is the average of cognitive, emotional, and physical deprivation composites. </w:t>
      </w:r>
    </w:p>
    <w:p w14:paraId="7345C53C" w14:textId="3E762495"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sidRPr="00FB47D8">
        <w:rPr>
          <w:rFonts w:ascii="Calibri" w:hAnsi="Calibri" w:cs="Calibri"/>
          <w:sz w:val="24"/>
          <w:szCs w:val="24"/>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sz w:val="24"/>
          <w:szCs w:val="24"/>
        </w:rPr>
        <w:instrText xml:space="preserve"> ADDIN EN.CITE </w:instrText>
      </w:r>
      <w:r w:rsidR="00260DE2">
        <w:rPr>
          <w:rFonts w:ascii="Calibri" w:hAnsi="Calibri" w:cs="Calibri"/>
          <w:sz w:val="24"/>
          <w:szCs w:val="24"/>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sz w:val="24"/>
          <w:szCs w:val="24"/>
        </w:rPr>
        <w:instrText xml:space="preserve"> ADDIN EN.CITE.DATA </w:instrText>
      </w:r>
      <w:r w:rsidR="00260DE2">
        <w:rPr>
          <w:rFonts w:ascii="Calibri" w:hAnsi="Calibri" w:cs="Calibri"/>
          <w:sz w:val="24"/>
          <w:szCs w:val="24"/>
        </w:rPr>
      </w:r>
      <w:r w:rsidR="00260DE2">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Bifulco</w:t>
      </w:r>
      <w:proofErr w:type="spellEnd"/>
      <w:r w:rsidR="003C124E" w:rsidRPr="00FB47D8">
        <w:rPr>
          <w:rFonts w:ascii="Calibri" w:hAnsi="Calibri" w:cs="Calibri"/>
          <w:noProof/>
          <w:sz w:val="24"/>
          <w:szCs w:val="24"/>
        </w:rPr>
        <w:t xml:space="preserve"> et al., 1994; Steinberg et al., 2004)</w:t>
      </w:r>
      <w:r w:rsidRPr="00FB47D8">
        <w:rPr>
          <w:rFonts w:ascii="Calibri" w:hAnsi="Calibri" w:cs="Calibri"/>
          <w:sz w:val="24"/>
          <w:szCs w:val="24"/>
        </w:rPr>
        <w:fldChar w:fldCharType="end"/>
      </w:r>
      <w:r w:rsidRPr="00FB47D8">
        <w:rPr>
          <w:rFonts w:ascii="Calibri" w:hAnsi="Calibri" w:cs="Calibri"/>
          <w:sz w:val="24"/>
          <w:szCs w:val="24"/>
        </w:rPr>
        <w:t xml:space="preserve">  Frequency of violence exposure was measured by the Violence Exposure Scale for Children-Revised instrument (VEX-R).</w:t>
      </w:r>
      <w:r w:rsidRPr="00FB47D8">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Raviv</w:t>
      </w:r>
      <w:proofErr w:type="spellEnd"/>
      <w:r w:rsidR="003C124E" w:rsidRPr="00FB47D8">
        <w:rPr>
          <w:rFonts w:ascii="Calibri" w:hAnsi="Calibri" w:cs="Calibri"/>
          <w:noProof/>
          <w:sz w:val="24"/>
          <w:szCs w:val="24"/>
        </w:rPr>
        <w:t xml:space="preserve"> et al., 1999)</w:t>
      </w:r>
      <w:r w:rsidRPr="00FB47D8">
        <w:rPr>
          <w:rFonts w:ascii="Calibri" w:hAnsi="Calibri" w:cs="Calibri"/>
          <w:sz w:val="24"/>
          <w:szCs w:val="24"/>
        </w:rPr>
        <w:fldChar w:fldCharType="end"/>
      </w:r>
      <w:r w:rsidRPr="00FB47D8">
        <w:rPr>
          <w:rFonts w:ascii="Calibri" w:hAnsi="Calibri" w:cs="Calibri"/>
          <w:sz w:val="24"/>
          <w:szCs w:val="24"/>
        </w:rPr>
        <w:t xml:space="preserve"> Severity of violent exposures was measured by the physical and sexual abuse subscales of the CTQ.</w:t>
      </w:r>
      <w:r w:rsidRPr="00FB47D8">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(Bernstein et al., 1997)</w:t>
      </w:r>
      <w:r w:rsidRPr="00FB47D8">
        <w:rPr>
          <w:rFonts w:ascii="Calibri" w:hAnsi="Calibri" w:cs="Calibri"/>
          <w:sz w:val="24"/>
          <w:szCs w:val="24"/>
        </w:rPr>
        <w:fldChar w:fldCharType="end"/>
      </w:r>
      <w:r w:rsidRPr="00FB47D8">
        <w:rPr>
          <w:rFonts w:ascii="Calibri" w:hAnsi="Calibri" w:cs="Calibri"/>
          <w:sz w:val="24"/>
          <w:szCs w:val="24"/>
        </w:rPr>
        <w:t xml:space="preserve">  </w:t>
      </w:r>
    </w:p>
    <w:p w14:paraId="53B71C14" w14:textId="4E532926" w:rsidR="00884FCD" w:rsidRPr="00FB47D8" w:rsidRDefault="00E82A19" w:rsidP="00884FCD">
      <w:pPr>
        <w:spacing w:line="360" w:lineRule="auto"/>
        <w:rPr>
          <w:rFonts w:ascii="Calibri" w:hAnsi="Calibri" w:cs="Calibri"/>
          <w:sz w:val="24"/>
          <w:szCs w:val="24"/>
        </w:rPr>
      </w:pPr>
      <w:r w:rsidRPr="00FB47D8">
        <w:rPr>
          <w:rFonts w:ascii="Calibri" w:hAnsi="Calibri" w:cs="Calibri"/>
          <w:sz w:val="24"/>
          <w:szCs w:val="24"/>
        </w:rPr>
        <w:t xml:space="preserve">Higher values on the deprivation and threat measures convey greater levels of exposure. Algorithms used to construct the deprivation and threat measures have </w:t>
      </w:r>
      <w:r w:rsidR="00884FCD" w:rsidRPr="00FB47D8">
        <w:rPr>
          <w:rFonts w:ascii="Calibri" w:hAnsi="Calibri" w:cs="Calibri"/>
          <w:sz w:val="24"/>
          <w:szCs w:val="24"/>
        </w:rPr>
        <w:t xml:space="preserve">been detailed in a pre-registration found here: </w:t>
      </w:r>
      <w:hyperlink r:id="rId4" w:history="1">
        <w:r w:rsidR="00884FCD" w:rsidRPr="00FB47D8">
          <w:rPr>
            <w:rStyle w:val="Hyperlink"/>
            <w:rFonts w:ascii="Calibri" w:hAnsi="Calibri" w:cs="Calibri"/>
            <w:sz w:val="24"/>
            <w:szCs w:val="24"/>
          </w:rPr>
          <w:t>https://osf.io/6yf4p/</w:t>
        </w:r>
      </w:hyperlink>
      <w:r w:rsidR="00884FCD" w:rsidRPr="00FB47D8">
        <w:rPr>
          <w:rFonts w:ascii="Calibri" w:hAnsi="Calibri" w:cs="Calibri"/>
          <w:sz w:val="24"/>
          <w:szCs w:val="24"/>
        </w:rPr>
        <w:t>.</w:t>
      </w:r>
    </w:p>
    <w:p w14:paraId="1346C2E3" w14:textId="77777777" w:rsidR="00A23142" w:rsidRPr="00FB47D8" w:rsidRDefault="00A23142" w:rsidP="00884FCD">
      <w:pPr>
        <w:spacing w:line="360" w:lineRule="auto"/>
        <w:rPr>
          <w:rFonts w:ascii="Calibri" w:hAnsi="Calibri" w:cs="Calibri"/>
          <w:i/>
          <w:iCs/>
          <w:sz w:val="24"/>
          <w:szCs w:val="24"/>
        </w:rPr>
      </w:pPr>
    </w:p>
    <w:p w14:paraId="6BE5F35C" w14:textId="6CA86565" w:rsidR="00884FCD" w:rsidRPr="00FB47D8" w:rsidRDefault="00884FCD" w:rsidP="00884FCD">
      <w:pPr>
        <w:spacing w:line="360" w:lineRule="auto"/>
        <w:rPr>
          <w:rFonts w:ascii="Calibri" w:hAnsi="Calibri" w:cs="Calibri"/>
          <w:i/>
          <w:iCs/>
          <w:sz w:val="24"/>
          <w:szCs w:val="24"/>
        </w:rPr>
      </w:pPr>
      <w:r w:rsidRPr="00FB47D8">
        <w:rPr>
          <w:rFonts w:ascii="Calibri" w:hAnsi="Calibri" w:cs="Calibri"/>
          <w:i/>
          <w:iCs/>
          <w:sz w:val="24"/>
          <w:szCs w:val="24"/>
        </w:rPr>
        <w:t>Candidate mediators:</w:t>
      </w:r>
    </w:p>
    <w:p w14:paraId="1D3BA9BE" w14:textId="2EC4E190" w:rsidR="00884FCD" w:rsidRPr="00FB47D8" w:rsidRDefault="00884FCD" w:rsidP="00884FCD">
      <w:pPr>
        <w:spacing w:line="360" w:lineRule="auto"/>
        <w:rPr>
          <w:rFonts w:ascii="Calibri" w:hAnsi="Calibri" w:cs="Calibri"/>
          <w:sz w:val="24"/>
          <w:szCs w:val="24"/>
        </w:rPr>
      </w:pPr>
      <w:r w:rsidRPr="00FB47D8">
        <w:rPr>
          <w:rFonts w:ascii="Calibri" w:hAnsi="Calibri" w:cs="Calibri"/>
          <w:sz w:val="24"/>
          <w:szCs w:val="24"/>
        </w:rPr>
        <w:t xml:space="preserve">Candidate mediators of the impact of deprivation and threat on the development of psychopathology were scoped from a review of neurodevelopmental mechanisms that mediate the effects of childhood adversity and psychiatric sequelae in youth </w:t>
      </w:r>
      <w:r w:rsidRPr="00FB47D8">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(Sheridan &amp; McLaughlin, 2020)</w:t>
      </w:r>
      <w:r w:rsidRPr="00FB47D8">
        <w:rPr>
          <w:rFonts w:ascii="Calibri" w:hAnsi="Calibri" w:cs="Calibri"/>
          <w:sz w:val="24"/>
          <w:szCs w:val="24"/>
        </w:rPr>
        <w:fldChar w:fldCharType="end"/>
      </w:r>
      <w:r w:rsidRPr="00FB47D8">
        <w:rPr>
          <w:rFonts w:ascii="Calibri" w:hAnsi="Calibri" w:cs="Calibri"/>
          <w:sz w:val="24"/>
          <w:szCs w:val="24"/>
        </w:rPr>
        <w:t>, the conceptual model of the pathways linking the effects of threat on psychopathology</w:t>
      </w:r>
      <w:r w:rsidR="00505C0F">
        <w:rPr>
          <w:rFonts w:ascii="Calibri" w:hAnsi="Calibri" w:cs="Calibri"/>
          <w:sz w:val="24"/>
          <w:szCs w:val="24"/>
        </w:rPr>
        <w:t xml:space="preserve"> </w:t>
      </w:r>
      <w:r w:rsidRPr="00FB47D8">
        <w:rPr>
          <w:rFonts w:ascii="Calibri" w:hAnsi="Calibri" w:cs="Calibri"/>
          <w:sz w:val="24"/>
          <w:szCs w:val="24"/>
        </w:rPr>
        <w:lastRenderedPageBreak/>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sz w:val="24"/>
          <w:szCs w:val="24"/>
        </w:rPr>
        <w:instrText xml:space="preserve"> ADDIN EN.CITE </w:instrText>
      </w:r>
      <w:r w:rsidR="00260DE2">
        <w:rPr>
          <w:rFonts w:ascii="Calibri" w:hAnsi="Calibri" w:cs="Calibri"/>
          <w:sz w:val="24"/>
          <w:szCs w:val="24"/>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sz w:val="24"/>
          <w:szCs w:val="24"/>
        </w:rPr>
        <w:instrText xml:space="preserve"> ADDIN EN.CITE.DATA </w:instrText>
      </w:r>
      <w:r w:rsidR="00260DE2">
        <w:rPr>
          <w:rFonts w:ascii="Calibri" w:hAnsi="Calibri" w:cs="Calibri"/>
          <w:sz w:val="24"/>
          <w:szCs w:val="24"/>
        </w:rPr>
      </w:r>
      <w:r w:rsidR="00260DE2">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(McLaughlin et al., 2020)</w:t>
      </w:r>
      <w:r w:rsidRPr="00FB47D8">
        <w:rPr>
          <w:rFonts w:ascii="Calibri" w:hAnsi="Calibri" w:cs="Calibri"/>
          <w:sz w:val="24"/>
          <w:szCs w:val="24"/>
        </w:rPr>
        <w:fldChar w:fldCharType="end"/>
      </w:r>
      <w:r w:rsidR="00505C0F">
        <w:rPr>
          <w:rFonts w:ascii="Calibri" w:hAnsi="Calibri" w:cs="Calibri"/>
          <w:sz w:val="24"/>
          <w:szCs w:val="24"/>
        </w:rPr>
        <w:t>,</w:t>
      </w:r>
      <w:r w:rsidRPr="00FB47D8">
        <w:rPr>
          <w:rFonts w:ascii="Calibri" w:hAnsi="Calibri" w:cs="Calibri"/>
          <w:sz w:val="24"/>
          <w:szCs w:val="24"/>
        </w:rPr>
        <w:t xml:space="preserve"> and the review of potential intervention targets to prevent adverse psychiatric consequences of childhood deprivation and threat experiences </w:t>
      </w:r>
      <w:r w:rsidRPr="00FB47D8">
        <w:rPr>
          <w:rFonts w:ascii="Calibri" w:hAnsi="Calibri" w:cs="Calibri"/>
          <w:sz w:val="24"/>
          <w:szCs w:val="24"/>
        </w:rPr>
        <w:fldChar w:fldCharType="begin">
          <w:fldData xml:space="preserve">PEVuZE5vdGU+PENpdGU+PEF1dGhvcj5NY0xhdWdobGluPC9BdXRob3I+PFllYXI+MjAxOTwvWWVh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</w:fldData>
        </w:fldChar>
      </w:r>
      <w:r w:rsidR="00260DE2">
        <w:rPr>
          <w:rFonts w:ascii="Calibri" w:hAnsi="Calibri" w:cs="Calibri"/>
          <w:sz w:val="24"/>
          <w:szCs w:val="24"/>
        </w:rPr>
        <w:instrText xml:space="preserve"> ADDIN EN.CITE </w:instrText>
      </w:r>
      <w:r w:rsidR="00260DE2">
        <w:rPr>
          <w:rFonts w:ascii="Calibri" w:hAnsi="Calibri" w:cs="Calibri"/>
          <w:sz w:val="24"/>
          <w:szCs w:val="24"/>
        </w:rPr>
        <w:fldChar w:fldCharType="begin">
          <w:fldData xml:space="preserve">PEVuZE5vdGU+PENpdGU+PEF1dGhvcj5NY0xhdWdobGluPC9BdXRob3I+PFllYXI+MjAxOTwvWWVh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</w:fldData>
        </w:fldChar>
      </w:r>
      <w:r w:rsidR="00260DE2">
        <w:rPr>
          <w:rFonts w:ascii="Calibri" w:hAnsi="Calibri" w:cs="Calibri"/>
          <w:sz w:val="24"/>
          <w:szCs w:val="24"/>
        </w:rPr>
        <w:instrText xml:space="preserve"> ADDIN EN.CITE.DATA </w:instrText>
      </w:r>
      <w:r w:rsidR="00260DE2">
        <w:rPr>
          <w:rFonts w:ascii="Calibri" w:hAnsi="Calibri" w:cs="Calibri"/>
          <w:sz w:val="24"/>
          <w:szCs w:val="24"/>
        </w:rPr>
      </w:r>
      <w:r w:rsidR="00260DE2">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(McLaughlin et al., 2019)</w:t>
      </w:r>
      <w:r w:rsidRPr="00FB47D8">
        <w:rPr>
          <w:rFonts w:ascii="Calibri" w:hAnsi="Calibri" w:cs="Calibri"/>
          <w:sz w:val="24"/>
          <w:szCs w:val="24"/>
        </w:rPr>
        <w:fldChar w:fldCharType="end"/>
      </w:r>
      <w:r w:rsidRPr="00FB47D8">
        <w:rPr>
          <w:rFonts w:ascii="Calibri" w:hAnsi="Calibri" w:cs="Calibri"/>
          <w:sz w:val="24"/>
          <w:szCs w:val="24"/>
        </w:rPr>
        <w:t>.</w:t>
      </w:r>
      <w:r w:rsidR="00983974" w:rsidRPr="00FB47D8">
        <w:rPr>
          <w:rFonts w:ascii="Calibri" w:hAnsi="Calibri" w:cs="Calibri"/>
          <w:sz w:val="24"/>
          <w:szCs w:val="24"/>
        </w:rPr>
        <w:t xml:space="preserve"> </w:t>
      </w:r>
      <w:r w:rsidR="00795B74" w:rsidRPr="00FB47D8">
        <w:rPr>
          <w:rFonts w:ascii="Calibri" w:hAnsi="Calibri" w:cs="Calibri"/>
          <w:sz w:val="24"/>
          <w:szCs w:val="24"/>
        </w:rPr>
        <w:t>The chosen variables</w:t>
      </w:r>
      <w:r w:rsidR="00983974" w:rsidRPr="00FB47D8">
        <w:rPr>
          <w:rFonts w:ascii="Calibri" w:hAnsi="Calibri" w:cs="Calibri"/>
          <w:sz w:val="24"/>
          <w:szCs w:val="24"/>
        </w:rPr>
        <w:t xml:space="preserve"> comprehensively covered the domains of attention bias to threat, emotion regulation, theory of mind, fear conditioning, pubertal timing, language ability, reasoning ability, inhibitory control, and reward sensitivity. </w:t>
      </w:r>
    </w:p>
    <w:p w14:paraId="08CC679C" w14:textId="16CAEE07" w:rsidR="00795B74" w:rsidRPr="00FB47D8" w:rsidRDefault="00795B74" w:rsidP="00884FCD">
      <w:pPr>
        <w:spacing w:line="360" w:lineRule="auto"/>
        <w:rPr>
          <w:rFonts w:ascii="Calibri" w:hAnsi="Calibri" w:cs="Calibri"/>
          <w:sz w:val="24"/>
          <w:szCs w:val="24"/>
        </w:rPr>
      </w:pPr>
      <w:r w:rsidRPr="00FB47D8">
        <w:rPr>
          <w:rFonts w:ascii="Calibri" w:hAnsi="Calibri" w:cs="Calibri"/>
          <w:sz w:val="24"/>
          <w:szCs w:val="24"/>
        </w:rPr>
        <w:t>Attention bias to threat was captured by the difference in reaction times to neutral vs angry faces displayed by the Dot Probe task.</w:t>
      </w:r>
      <w:r w:rsidR="00260DE2">
        <w:rPr>
          <w:rFonts w:ascii="Calibri" w:hAnsi="Calibri" w:cs="Calibri"/>
          <w:sz w:val="24"/>
          <w:szCs w:val="24"/>
        </w:rPr>
        <w:fldChar w:fldCharType="begin"/>
      </w:r>
      <w:r w:rsidR="0048669B">
        <w:rPr>
          <w:rFonts w:ascii="Calibri" w:hAnsi="Calibri" w:cs="Calibri"/>
          <w:sz w:val="24"/>
          <w:szCs w:val="24"/>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260DE2">
        <w:rPr>
          <w:rFonts w:ascii="Calibri" w:hAnsi="Calibri" w:cs="Calibri"/>
          <w:sz w:val="24"/>
          <w:szCs w:val="24"/>
        </w:rPr>
        <w:fldChar w:fldCharType="separate"/>
      </w:r>
      <w:r w:rsidR="00260DE2">
        <w:rPr>
          <w:rFonts w:ascii="Calibri" w:hAnsi="Calibri" w:cs="Calibri"/>
          <w:noProof/>
          <w:sz w:val="24"/>
          <w:szCs w:val="24"/>
        </w:rPr>
        <w:t>(Amin et al., 2004)</w:t>
      </w:r>
      <w:r w:rsidR="00260DE2">
        <w:rPr>
          <w:rFonts w:ascii="Calibri" w:hAnsi="Calibri" w:cs="Calibri"/>
          <w:sz w:val="24"/>
          <w:szCs w:val="24"/>
        </w:rPr>
        <w:fldChar w:fldCharType="end"/>
      </w:r>
      <w:r w:rsidR="00505C0F">
        <w:rPr>
          <w:rFonts w:ascii="Calibri" w:hAnsi="Calibri" w:cs="Calibri"/>
          <w:sz w:val="24"/>
          <w:szCs w:val="24"/>
        </w:rPr>
        <w:t xml:space="preserve"> </w:t>
      </w:r>
      <w:r w:rsidRPr="00FB47D8">
        <w:rPr>
          <w:rFonts w:ascii="Calibri" w:hAnsi="Calibri" w:cs="Calibri"/>
          <w:sz w:val="24"/>
          <w:szCs w:val="24"/>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226389EF" w14:textId="40AF6D22" w:rsidR="00795B74" w:rsidRPr="00FB47D8" w:rsidRDefault="00795B74" w:rsidP="00884FCD">
      <w:pPr>
        <w:spacing w:line="360" w:lineRule="auto"/>
        <w:rPr>
          <w:rFonts w:ascii="Calibri" w:hAnsi="Calibri" w:cs="Calibri"/>
          <w:sz w:val="24"/>
          <w:szCs w:val="24"/>
        </w:rPr>
      </w:pPr>
      <w:r w:rsidRPr="00FB47D8">
        <w:rPr>
          <w:rFonts w:ascii="Calibri" w:hAnsi="Calibri" w:cs="Calibri"/>
          <w:sz w:val="24"/>
          <w:szCs w:val="24"/>
        </w:rPr>
        <w:t>Emotion regulation was captured by several metrics from the Emotional Stroop task.</w:t>
      </w:r>
      <w:r w:rsidR="00260DE2">
        <w:rPr>
          <w:rFonts w:ascii="Calibri" w:hAnsi="Calibri" w:cs="Calibri"/>
          <w:sz w:val="24"/>
          <w:szCs w:val="24"/>
        </w:rPr>
        <w:fldChar w:fldCharType="begin"/>
      </w:r>
      <w:r w:rsidR="0048669B">
        <w:rPr>
          <w:rFonts w:ascii="Calibri" w:hAnsi="Calibri" w:cs="Calibri"/>
          <w:sz w:val="24"/>
          <w:szCs w:val="24"/>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260DE2">
        <w:rPr>
          <w:rFonts w:ascii="Calibri" w:hAnsi="Calibri" w:cs="Calibri"/>
          <w:sz w:val="24"/>
          <w:szCs w:val="24"/>
        </w:rPr>
        <w:fldChar w:fldCharType="separate"/>
      </w:r>
      <w:r w:rsidR="00260DE2">
        <w:rPr>
          <w:rFonts w:ascii="Calibri" w:hAnsi="Calibri" w:cs="Calibri"/>
          <w:noProof/>
          <w:sz w:val="24"/>
          <w:szCs w:val="24"/>
        </w:rPr>
        <w:t>(Ben-Haim et al., 2016)</w:t>
      </w:r>
      <w:r w:rsidR="00260DE2">
        <w:rPr>
          <w:rFonts w:ascii="Calibri" w:hAnsi="Calibri" w:cs="Calibri"/>
          <w:sz w:val="24"/>
          <w:szCs w:val="24"/>
        </w:rPr>
        <w:fldChar w:fldCharType="end"/>
      </w:r>
      <w:r w:rsidRPr="00FB47D8">
        <w:rPr>
          <w:rFonts w:ascii="Calibri" w:hAnsi="Calibri" w:cs="Calibri"/>
          <w:sz w:val="24"/>
          <w:szCs w:val="24"/>
        </w:rPr>
        <w:t xml:space="preserve"> </w:t>
      </w:r>
      <w:r w:rsidR="00CC01F5" w:rsidRPr="00FB47D8">
        <w:rPr>
          <w:rFonts w:ascii="Calibri" w:hAnsi="Calibri" w:cs="Calibri"/>
          <w:sz w:val="24"/>
          <w:szCs w:val="24"/>
        </w:rPr>
        <w:t xml:space="preserve">In congruent trials, the emotional valence of the displayed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 on incongruent vs congruent trials with fearful faces and happy faces. We also included a variable for adaptation to emotional conflict, operationalized as the difference in reaction times on incongruent trials that were preceded by congruent trials vs reaction times on incongruent trials preceded by </w:t>
      </w:r>
      <w:r w:rsidR="00260DE2">
        <w:rPr>
          <w:rFonts w:ascii="Calibri" w:hAnsi="Calibri" w:cs="Calibri"/>
          <w:sz w:val="24"/>
          <w:szCs w:val="24"/>
        </w:rPr>
        <w:t>in</w:t>
      </w:r>
      <w:r w:rsidR="00CC01F5" w:rsidRPr="00FB47D8">
        <w:rPr>
          <w:rFonts w:ascii="Calibri" w:hAnsi="Calibri" w:cs="Calibri"/>
          <w:sz w:val="24"/>
          <w:szCs w:val="24"/>
        </w:rPr>
        <w:t>congruent trials.</w:t>
      </w:r>
      <w:r w:rsidR="0048669B">
        <w:rPr>
          <w:rFonts w:ascii="Calibri" w:hAnsi="Calibri" w:cs="Calibri"/>
          <w:sz w:val="24"/>
          <w:szCs w:val="24"/>
        </w:rPr>
        <w:fldChar w:fldCharType="begin"/>
      </w:r>
      <w:r w:rsidR="0048669B">
        <w:rPr>
          <w:rFonts w:ascii="Calibri" w:hAnsi="Calibri" w:cs="Calibri"/>
          <w:sz w:val="24"/>
          <w:szCs w:val="24"/>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48669B">
        <w:rPr>
          <w:rFonts w:ascii="Calibri" w:hAnsi="Calibri" w:cs="Calibri"/>
          <w:sz w:val="24"/>
          <w:szCs w:val="24"/>
        </w:rPr>
        <w:fldChar w:fldCharType="separate"/>
      </w:r>
      <w:r w:rsidR="0048669B">
        <w:rPr>
          <w:rFonts w:ascii="Calibri" w:hAnsi="Calibri" w:cs="Calibri"/>
          <w:noProof/>
          <w:sz w:val="24"/>
          <w:szCs w:val="24"/>
        </w:rPr>
        <w:t>(Kim et al., 2021)</w:t>
      </w:r>
      <w:r w:rsidR="0048669B">
        <w:rPr>
          <w:rFonts w:ascii="Calibri" w:hAnsi="Calibri" w:cs="Calibri"/>
          <w:sz w:val="24"/>
          <w:szCs w:val="24"/>
        </w:rPr>
        <w:fldChar w:fldCharType="end"/>
      </w:r>
      <w:r w:rsidR="00CC01F5" w:rsidRPr="00FB47D8">
        <w:rPr>
          <w:rFonts w:ascii="Calibri" w:hAnsi="Calibri" w:cs="Calibri"/>
          <w:sz w:val="24"/>
          <w:szCs w:val="24"/>
        </w:rPr>
        <w:t xml:space="preserve">  </w:t>
      </w:r>
    </w:p>
    <w:p w14:paraId="3D11FF4D" w14:textId="46D29EAD" w:rsidR="00CC01F5" w:rsidRPr="00FB47D8" w:rsidRDefault="00CC01F5" w:rsidP="00CC01F5">
      <w:pPr>
        <w:tabs>
          <w:tab w:val="num" w:pos="1440"/>
        </w:tabs>
        <w:spacing w:line="360" w:lineRule="auto"/>
        <w:rPr>
          <w:rFonts w:ascii="Calibri" w:hAnsi="Calibri" w:cs="Calibri"/>
          <w:sz w:val="24"/>
          <w:szCs w:val="24"/>
        </w:rPr>
      </w:pPr>
      <w:r w:rsidRPr="00FB47D8">
        <w:rPr>
          <w:rFonts w:ascii="Calibri" w:hAnsi="Calibri" w:cs="Calibri"/>
          <w:sz w:val="24"/>
          <w:szCs w:val="24"/>
        </w:rPr>
        <w:t>Cognitive and affective theory of mind was measured with the Theory of Mind task &lt;</w:t>
      </w:r>
      <w:r w:rsidRPr="00FB47D8">
        <w:rPr>
          <w:rFonts w:ascii="Calibri" w:hAnsi="Calibri" w:cs="Calibri"/>
          <w:sz w:val="24"/>
          <w:szCs w:val="24"/>
          <w:highlight w:val="magenta"/>
        </w:rPr>
        <w:t>CITE</w:t>
      </w:r>
      <w:r w:rsidRPr="00FB47D8">
        <w:rPr>
          <w:rFonts w:ascii="Calibri" w:hAnsi="Calibri" w:cs="Calibri"/>
          <w:sz w:val="24"/>
          <w:szCs w:val="24"/>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could accurately interpret the emotional state of another character. Accuracy on cognitive and affective theory of mind trials were recorded. </w:t>
      </w:r>
    </w:p>
    <w:p w14:paraId="09BBB427" w14:textId="01046D54" w:rsidR="00CC01F5" w:rsidRPr="00FB47D8" w:rsidRDefault="00CC01F5" w:rsidP="00CC01F5">
      <w:pPr>
        <w:spacing w:line="360" w:lineRule="auto"/>
        <w:rPr>
          <w:rFonts w:ascii="Calibri" w:hAnsi="Calibri" w:cs="Calibri"/>
          <w:sz w:val="24"/>
          <w:szCs w:val="24"/>
        </w:rPr>
      </w:pPr>
      <w:r w:rsidRPr="00FB47D8">
        <w:rPr>
          <w:rFonts w:ascii="Calibri" w:hAnsi="Calibri" w:cs="Calibri"/>
          <w:sz w:val="24"/>
          <w:szCs w:val="24"/>
        </w:rPr>
        <w:lastRenderedPageBreak/>
        <w:t xml:space="preserve">Fear conditioning was measured by </w:t>
      </w:r>
      <w:r w:rsidR="00A23142" w:rsidRPr="00FB47D8">
        <w:rPr>
          <w:rFonts w:ascii="Calibri" w:hAnsi="Calibri" w:cs="Calibri"/>
          <w:sz w:val="24"/>
          <w:szCs w:val="24"/>
        </w:rPr>
        <w:t xml:space="preserve">the </w:t>
      </w:r>
      <w:r w:rsidRPr="00FB47D8">
        <w:rPr>
          <w:rFonts w:ascii="Calibri" w:hAnsi="Calibri" w:cs="Calibri"/>
          <w:sz w:val="24"/>
          <w:szCs w:val="24"/>
        </w:rPr>
        <w:t>skin conductance response (SCR) captured during the</w:t>
      </w:r>
      <w:r w:rsidR="00A23142" w:rsidRPr="00FB47D8">
        <w:rPr>
          <w:rFonts w:ascii="Calibri" w:hAnsi="Calibri" w:cs="Calibri"/>
          <w:sz w:val="24"/>
          <w:szCs w:val="24"/>
        </w:rPr>
        <w:t xml:space="preserve"> first block of the</w:t>
      </w:r>
      <w:r w:rsidRPr="00FB47D8">
        <w:rPr>
          <w:rFonts w:ascii="Calibri" w:hAnsi="Calibri" w:cs="Calibri"/>
          <w:sz w:val="24"/>
          <w:szCs w:val="24"/>
        </w:rPr>
        <w:t xml:space="preserve"> acquisition phase of the fear conditioning task</w:t>
      </w:r>
      <w:r w:rsidR="00A23142" w:rsidRPr="00FB47D8">
        <w:rPr>
          <w:rFonts w:ascii="Calibri" w:hAnsi="Calibri" w:cs="Calibri"/>
          <w:sz w:val="24"/>
          <w:szCs w:val="24"/>
        </w:rPr>
        <w:t xml:space="preserve"> &lt;</w:t>
      </w:r>
      <w:r w:rsidR="00A23142" w:rsidRPr="00FB47D8">
        <w:rPr>
          <w:rFonts w:ascii="Calibri" w:hAnsi="Calibri" w:cs="Calibri"/>
          <w:sz w:val="24"/>
          <w:szCs w:val="24"/>
          <w:highlight w:val="magenta"/>
        </w:rPr>
        <w:t>CITE</w:t>
      </w:r>
      <w:r w:rsidR="00A23142" w:rsidRPr="00FB47D8">
        <w:rPr>
          <w:rFonts w:ascii="Calibri" w:hAnsi="Calibri" w:cs="Calibri"/>
          <w:sz w:val="24"/>
          <w:szCs w:val="24"/>
        </w:rPr>
        <w:t>&gt;</w:t>
      </w:r>
      <w:r w:rsidRPr="00FB47D8">
        <w:rPr>
          <w:rFonts w:ascii="Calibri" w:hAnsi="Calibri" w:cs="Calibri"/>
          <w:sz w:val="24"/>
          <w:szCs w:val="24"/>
        </w:rPr>
        <w:t xml:space="preserve">. </w:t>
      </w:r>
      <w:r w:rsidR="00A23142" w:rsidRPr="00FB47D8">
        <w:rPr>
          <w:rFonts w:ascii="Calibri" w:hAnsi="Calibri" w:cs="Calibri"/>
          <w:sz w:val="24"/>
          <w:szCs w:val="24"/>
        </w:rPr>
        <w:t xml:space="preserve">Greater SCR is expected on trials where the neutral stimulus is coupled with an aversive </w:t>
      </w:r>
      <w:r w:rsidR="00F52BF8" w:rsidRPr="00FB47D8">
        <w:rPr>
          <w:rFonts w:ascii="Calibri" w:hAnsi="Calibri" w:cs="Calibri"/>
          <w:sz w:val="24"/>
          <w:szCs w:val="24"/>
        </w:rPr>
        <w:t xml:space="preserve">stimulus </w:t>
      </w:r>
      <w:r w:rsidR="00A23142" w:rsidRPr="00FB47D8">
        <w:rPr>
          <w:rFonts w:ascii="Calibri" w:hAnsi="Calibri" w:cs="Calibri"/>
          <w:sz w:val="24"/>
          <w:szCs w:val="24"/>
        </w:rPr>
        <w:t xml:space="preserve">(loud sound) as opposed to when an alternative neutral stimulus is not coupled with any aversive signal.  </w:t>
      </w:r>
    </w:p>
    <w:p w14:paraId="6B08E7F7" w14:textId="441A55B7" w:rsidR="00A23142" w:rsidRPr="00FB47D8" w:rsidRDefault="00A23142" w:rsidP="00A23142">
      <w:pPr>
        <w:spacing w:line="360" w:lineRule="auto"/>
        <w:rPr>
          <w:rFonts w:ascii="Calibri" w:hAnsi="Calibri" w:cs="Calibri"/>
          <w:sz w:val="24"/>
          <w:szCs w:val="24"/>
        </w:rPr>
      </w:pPr>
      <w:r w:rsidRPr="00FB47D8">
        <w:rPr>
          <w:rFonts w:ascii="Calibri" w:hAnsi="Calibri" w:cs="Calibri"/>
          <w:sz w:val="24"/>
          <w:szCs w:val="24"/>
        </w:rPr>
        <w:t>Pubertal timing was assessed using the Tanner staging method &lt;</w:t>
      </w:r>
      <w:r w:rsidRPr="00FB47D8">
        <w:rPr>
          <w:rFonts w:ascii="Calibri" w:hAnsi="Calibri" w:cs="Calibri"/>
          <w:sz w:val="24"/>
          <w:szCs w:val="24"/>
          <w:highlight w:val="magenta"/>
        </w:rPr>
        <w:t>CITE</w:t>
      </w:r>
      <w:r w:rsidRPr="00FB47D8">
        <w:rPr>
          <w:rFonts w:ascii="Calibri" w:hAnsi="Calibri" w:cs="Calibri"/>
          <w:sz w:val="24"/>
          <w:szCs w:val="24"/>
        </w:rPr>
        <w:t xml:space="preserve">&gt;. Children were shown sex-specific pictographs conveying stages of development of sexual characteristics (pubic hair for both, breasts for girls, and testes/scrotum/penis for boys). Tanner pubertal development stage was constructed as the average of the two sex-specific sexual characteristic ratings. </w:t>
      </w:r>
    </w:p>
    <w:p w14:paraId="486D5EAA" w14:textId="3055680D" w:rsidR="00A23142" w:rsidRPr="00FB47D8" w:rsidRDefault="00A23142" w:rsidP="00A23142">
      <w:pPr>
        <w:tabs>
          <w:tab w:val="num" w:pos="1440"/>
        </w:tabs>
        <w:spacing w:line="360" w:lineRule="auto"/>
        <w:rPr>
          <w:rFonts w:ascii="Calibri" w:hAnsi="Calibri" w:cs="Calibri"/>
          <w:sz w:val="24"/>
          <w:szCs w:val="24"/>
        </w:rPr>
      </w:pPr>
      <w:r w:rsidRPr="00FB47D8">
        <w:rPr>
          <w:rFonts w:ascii="Calibri" w:hAnsi="Calibri" w:cs="Calibri"/>
          <w:sz w:val="24"/>
          <w:szCs w:val="24"/>
        </w:rPr>
        <w:t>Language ability and reasoning ability were measured using the Wechsler Abbreviated Scale of Intelligence (or WASI) task.</w:t>
      </w:r>
      <w:r w:rsidRPr="00FB47D8">
        <w:rPr>
          <w:rFonts w:ascii="Calibri" w:hAnsi="Calibri" w:cs="Calibri"/>
          <w:sz w:val="24"/>
          <w:szCs w:val="24"/>
        </w:rPr>
        <w:fldChar w:fldCharType="begin"/>
      </w:r>
      <w:r w:rsidR="0048669B">
        <w:rPr>
          <w:rFonts w:ascii="Calibri" w:hAnsi="Calibri" w:cs="Calibri"/>
          <w:sz w:val="24"/>
          <w:szCs w:val="24"/>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(Wechsler, 1999)</w:t>
      </w:r>
      <w:r w:rsidRPr="00FB47D8">
        <w:rPr>
          <w:rFonts w:ascii="Calibri" w:hAnsi="Calibri" w:cs="Calibri"/>
          <w:sz w:val="24"/>
          <w:szCs w:val="24"/>
        </w:rPr>
        <w:fldChar w:fldCharType="end"/>
      </w:r>
      <w:r w:rsidRPr="00FB47D8">
        <w:rPr>
          <w:rFonts w:ascii="Calibri" w:hAnsi="Calibri" w:cs="Calibri"/>
          <w:sz w:val="24"/>
          <w:szCs w:val="24"/>
        </w:rPr>
        <w:t xml:space="preserve"> Language ability was measured with the t-score on the WASI vocabulary subtest. The vocabulary subtest is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26D58271" w14:textId="4F6562A4" w:rsidR="00A23142" w:rsidRPr="00FB47D8" w:rsidRDefault="00A23142" w:rsidP="00A23142">
      <w:pPr>
        <w:tabs>
          <w:tab w:val="num" w:pos="1440"/>
        </w:tabs>
        <w:spacing w:line="360" w:lineRule="auto"/>
        <w:rPr>
          <w:rFonts w:ascii="Calibri" w:hAnsi="Calibri" w:cs="Calibri"/>
          <w:sz w:val="24"/>
          <w:szCs w:val="24"/>
        </w:rPr>
      </w:pPr>
      <w:r w:rsidRPr="00FB47D8">
        <w:rPr>
          <w:rFonts w:ascii="Calibri" w:hAnsi="Calibri" w:cs="Calibri"/>
          <w:sz w:val="24"/>
          <w:szCs w:val="24"/>
        </w:rPr>
        <w:t>Inhibitory control, an executive functioning ability to suppress a prepotent response to achieve a longer-term goal, was measured using several tasks. NEPSY Circles &amp; Squares task tested the children’s reaction time on “inhibit” and “switch” tasks.</w:t>
      </w:r>
      <w:r w:rsidRPr="00FB47D8">
        <w:rPr>
          <w:rFonts w:ascii="Calibri" w:hAnsi="Calibri" w:cs="Calibri"/>
          <w:sz w:val="24"/>
          <w:szCs w:val="24"/>
        </w:rPr>
        <w:fldChar w:fldCharType="begin"/>
      </w:r>
      <w:r w:rsidR="0048669B">
        <w:rPr>
          <w:rFonts w:ascii="Calibri" w:hAnsi="Calibri" w:cs="Calibri"/>
          <w:sz w:val="24"/>
          <w:szCs w:val="24"/>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(Brooks et al., 2009)</w:t>
      </w:r>
      <w:r w:rsidRPr="00FB47D8">
        <w:rPr>
          <w:rFonts w:ascii="Calibri" w:hAnsi="Calibri" w:cs="Calibri"/>
          <w:sz w:val="24"/>
          <w:szCs w:val="24"/>
        </w:rPr>
        <w:fldChar w:fldCharType="end"/>
      </w:r>
      <w:r w:rsidRPr="00FB47D8">
        <w:rPr>
          <w:rFonts w:ascii="Calibri" w:hAnsi="Calibri" w:cs="Calibri"/>
          <w:sz w:val="24"/>
          <w:szCs w:val="24"/>
        </w:rPr>
        <w:t xml:space="preserve"> The Stroop task measured the ability of the participating children to accurately read words for colors, even if the color of the letters with which color words are presented don’t match</w:t>
      </w:r>
      <w:r w:rsidR="0082087A" w:rsidRPr="00FB47D8">
        <w:rPr>
          <w:rFonts w:ascii="Calibri" w:hAnsi="Calibri" w:cs="Calibri"/>
          <w:sz w:val="24"/>
          <w:szCs w:val="24"/>
        </w:rPr>
        <w:t>, with greater accuracy conveying greater inhibitory control</w:t>
      </w:r>
      <w:r w:rsidRPr="00FB47D8">
        <w:rPr>
          <w:rFonts w:ascii="Calibri" w:hAnsi="Calibri" w:cs="Calibri"/>
          <w:sz w:val="24"/>
          <w:szCs w:val="24"/>
        </w:rPr>
        <w:t>.</w:t>
      </w:r>
      <w:r w:rsidRPr="00FB47D8">
        <w:rPr>
          <w:rFonts w:ascii="Calibri" w:hAnsi="Calibri" w:cs="Calibri"/>
          <w:sz w:val="24"/>
          <w:szCs w:val="24"/>
        </w:rPr>
        <w:fldChar w:fldCharType="begin"/>
      </w:r>
      <w:r w:rsidR="0048669B">
        <w:rPr>
          <w:rFonts w:ascii="Calibri" w:hAnsi="Calibri" w:cs="Calibri"/>
          <w:sz w:val="24"/>
          <w:szCs w:val="24"/>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(Stroop, 1935)</w:t>
      </w:r>
      <w:r w:rsidRPr="00FB47D8">
        <w:rPr>
          <w:rFonts w:ascii="Calibri" w:hAnsi="Calibri" w:cs="Calibri"/>
          <w:sz w:val="24"/>
          <w:szCs w:val="24"/>
        </w:rPr>
        <w:fldChar w:fldCharType="end"/>
      </w:r>
      <w:r w:rsidRPr="00FB47D8">
        <w:rPr>
          <w:rFonts w:ascii="Calibri" w:hAnsi="Calibri" w:cs="Calibri"/>
          <w:sz w:val="24"/>
          <w:szCs w:val="24"/>
        </w:rPr>
        <w:t xml:space="preserve"> Additionally, reaction times and accuracy on</w:t>
      </w:r>
      <w:r w:rsidR="0082087A" w:rsidRPr="00FB47D8">
        <w:rPr>
          <w:rFonts w:ascii="Calibri" w:hAnsi="Calibri" w:cs="Calibri"/>
          <w:sz w:val="24"/>
          <w:szCs w:val="24"/>
        </w:rPr>
        <w:t xml:space="preserve"> the Go/No-Go task were recorded for</w:t>
      </w:r>
      <w:r w:rsidRPr="00FB47D8">
        <w:rPr>
          <w:rFonts w:ascii="Calibri" w:hAnsi="Calibri" w:cs="Calibri"/>
          <w:sz w:val="24"/>
          <w:szCs w:val="24"/>
        </w:rPr>
        <w:t xml:space="preserve"> clicking a button when presented with “Go” stimuli (a set of specific shapes) and withholding clicking when other shapes were presented.</w:t>
      </w:r>
      <w:r w:rsidR="009937F4">
        <w:rPr>
          <w:rFonts w:ascii="Calibri" w:hAnsi="Calibri" w:cs="Calibri"/>
          <w:sz w:val="24"/>
          <w:szCs w:val="24"/>
        </w:rPr>
        <w:t xml:space="preserve"> </w:t>
      </w:r>
      <w:r w:rsidRPr="00FB47D8">
        <w:rPr>
          <w:rFonts w:ascii="Calibri" w:hAnsi="Calibri" w:cs="Calibri"/>
          <w:sz w:val="24"/>
          <w:szCs w:val="24"/>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sz w:val="24"/>
          <w:szCs w:val="24"/>
        </w:rPr>
        <w:instrText xml:space="preserve"> ADDIN EN.CITE </w:instrText>
      </w:r>
      <w:r w:rsidR="0048669B">
        <w:rPr>
          <w:rFonts w:ascii="Calibri" w:hAnsi="Calibri" w:cs="Calibri"/>
          <w:sz w:val="24"/>
          <w:szCs w:val="24"/>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sz w:val="24"/>
          <w:szCs w:val="24"/>
        </w:rPr>
        <w:instrText xml:space="preserve"> ADDIN EN.CITE.DATA </w:instrText>
      </w:r>
      <w:r w:rsidR="0048669B">
        <w:rPr>
          <w:rFonts w:ascii="Calibri" w:hAnsi="Calibri" w:cs="Calibri"/>
          <w:sz w:val="24"/>
          <w:szCs w:val="24"/>
        </w:rPr>
      </w:r>
      <w:r w:rsidR="0048669B">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(Verbruggen &amp; Logan, 2008)</w:t>
      </w:r>
      <w:r w:rsidRPr="00FB47D8">
        <w:rPr>
          <w:rFonts w:ascii="Calibri" w:hAnsi="Calibri" w:cs="Calibri"/>
          <w:sz w:val="24"/>
          <w:szCs w:val="24"/>
        </w:rPr>
        <w:fldChar w:fldCharType="end"/>
      </w:r>
      <w:r w:rsidRPr="00FB47D8">
        <w:rPr>
          <w:rFonts w:ascii="Calibri" w:hAnsi="Calibri" w:cs="Calibri"/>
          <w:sz w:val="24"/>
          <w:szCs w:val="24"/>
        </w:rPr>
        <w:t xml:space="preserve"> </w:t>
      </w:r>
    </w:p>
    <w:p w14:paraId="6F3E745A" w14:textId="69C28D48" w:rsidR="00A23142" w:rsidRPr="00FB47D8" w:rsidRDefault="00A23142" w:rsidP="00A23142">
      <w:pPr>
        <w:spacing w:line="360" w:lineRule="auto"/>
        <w:rPr>
          <w:rFonts w:ascii="Calibri" w:hAnsi="Calibri" w:cs="Calibri"/>
          <w:sz w:val="24"/>
          <w:szCs w:val="24"/>
        </w:rPr>
      </w:pPr>
      <w:r w:rsidRPr="00FB47D8">
        <w:rPr>
          <w:rFonts w:ascii="Calibri" w:hAnsi="Calibri" w:cs="Calibri"/>
          <w:sz w:val="24"/>
          <w:szCs w:val="24"/>
        </w:rPr>
        <w:t>Lastly, reward sensitivity was assessed using the Piñata task, a child-friendly version of a monetary incentive task.</w:t>
      </w:r>
      <w:r w:rsidRPr="00FB47D8">
        <w:rPr>
          <w:rFonts w:ascii="Calibri" w:hAnsi="Calibri" w:cs="Calibri"/>
          <w:sz w:val="24"/>
          <w:szCs w:val="24"/>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sz w:val="24"/>
          <w:szCs w:val="24"/>
        </w:rPr>
        <w:instrText xml:space="preserve"> ADDIN EN.CITE </w:instrText>
      </w:r>
      <w:r w:rsidR="0048669B">
        <w:rPr>
          <w:rFonts w:ascii="Calibri" w:hAnsi="Calibri" w:cs="Calibri"/>
          <w:sz w:val="24"/>
          <w:szCs w:val="24"/>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sz w:val="24"/>
          <w:szCs w:val="24"/>
        </w:rPr>
        <w:instrText xml:space="preserve"> ADDIN EN.CITE.DATA </w:instrText>
      </w:r>
      <w:r w:rsidR="0048669B">
        <w:rPr>
          <w:rFonts w:ascii="Calibri" w:hAnsi="Calibri" w:cs="Calibri"/>
          <w:sz w:val="24"/>
          <w:szCs w:val="24"/>
        </w:rPr>
      </w:r>
      <w:r w:rsidR="0048669B">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Helfinstein</w:t>
      </w:r>
      <w:proofErr w:type="spellEnd"/>
      <w:r w:rsidR="003C124E" w:rsidRPr="00FB47D8">
        <w:rPr>
          <w:rFonts w:ascii="Calibri" w:hAnsi="Calibri" w:cs="Calibri"/>
          <w:noProof/>
          <w:sz w:val="24"/>
          <w:szCs w:val="24"/>
        </w:rPr>
        <w:t xml:space="preserve"> et al., 2013)</w:t>
      </w:r>
      <w:r w:rsidRPr="00FB47D8">
        <w:rPr>
          <w:rFonts w:ascii="Calibri" w:hAnsi="Calibri" w:cs="Calibri"/>
          <w:sz w:val="24"/>
          <w:szCs w:val="24"/>
        </w:rPr>
        <w:fldChar w:fldCharType="end"/>
      </w:r>
      <w:r w:rsidRPr="00FB47D8">
        <w:rPr>
          <w:rFonts w:ascii="Calibri" w:hAnsi="Calibri" w:cs="Calibri"/>
          <w:sz w:val="24"/>
          <w:szCs w:val="24"/>
        </w:rPr>
        <w:t xml:space="preserve"> A piñata appears on the screen with 0, 1, 2, or 4 stars inside, and the participating children are asked to “whack” the piñata as quickly as possible once the piñata drops to the middle of the screen. The stars are earned if the response </w:t>
      </w:r>
      <w:r w:rsidRPr="00FB47D8">
        <w:rPr>
          <w:rFonts w:ascii="Calibri" w:hAnsi="Calibri" w:cs="Calibri"/>
          <w:sz w:val="24"/>
          <w:szCs w:val="24"/>
        </w:rPr>
        <w:lastRenderedPageBreak/>
        <w:t>was sufficiently quick. T</w:t>
      </w:r>
      <w:r w:rsidR="009937F4">
        <w:rPr>
          <w:rFonts w:ascii="Calibri" w:hAnsi="Calibri" w:cs="Calibri"/>
          <w:sz w:val="24"/>
          <w:szCs w:val="24"/>
        </w:rPr>
        <w:t>he t</w:t>
      </w:r>
      <w:r w:rsidRPr="00FB47D8">
        <w:rPr>
          <w:rFonts w:ascii="Calibri" w:hAnsi="Calibri" w:cs="Calibri"/>
          <w:sz w:val="24"/>
          <w:szCs w:val="24"/>
        </w:rPr>
        <w:t>otal earned stars and</w:t>
      </w:r>
      <w:r w:rsidR="0082087A" w:rsidRPr="00FB47D8">
        <w:rPr>
          <w:rFonts w:ascii="Calibri" w:hAnsi="Calibri" w:cs="Calibri"/>
          <w:sz w:val="24"/>
          <w:szCs w:val="24"/>
        </w:rPr>
        <w:t xml:space="preserve"> the contrast in reaction times on high-reward (4-star) and non-reward (0-star) trials</w:t>
      </w:r>
      <w:r w:rsidRPr="00FB47D8">
        <w:rPr>
          <w:rFonts w:ascii="Calibri" w:hAnsi="Calibri" w:cs="Calibri"/>
          <w:sz w:val="24"/>
          <w:szCs w:val="24"/>
        </w:rPr>
        <w:t xml:space="preserve"> measure reward sensitivity, with greater total stars and </w:t>
      </w:r>
      <w:r w:rsidR="0082087A" w:rsidRPr="00FB47D8">
        <w:rPr>
          <w:rFonts w:ascii="Calibri" w:hAnsi="Calibri" w:cs="Calibri"/>
          <w:sz w:val="24"/>
          <w:szCs w:val="24"/>
        </w:rPr>
        <w:t>a greater</w:t>
      </w:r>
      <w:r w:rsidRPr="00FB47D8">
        <w:rPr>
          <w:rFonts w:ascii="Calibri" w:hAnsi="Calibri" w:cs="Calibri"/>
          <w:sz w:val="24"/>
          <w:szCs w:val="24"/>
        </w:rPr>
        <w:t xml:space="preserve"> reaction time</w:t>
      </w:r>
      <w:r w:rsidR="0082087A" w:rsidRPr="00FB47D8">
        <w:rPr>
          <w:rFonts w:ascii="Calibri" w:hAnsi="Calibri" w:cs="Calibri"/>
          <w:sz w:val="24"/>
          <w:szCs w:val="24"/>
        </w:rPr>
        <w:t xml:space="preserve"> contrast</w:t>
      </w:r>
      <w:r w:rsidRPr="00FB47D8">
        <w:rPr>
          <w:rFonts w:ascii="Calibri" w:hAnsi="Calibri" w:cs="Calibri"/>
          <w:sz w:val="24"/>
          <w:szCs w:val="24"/>
        </w:rPr>
        <w:t xml:space="preserve"> conveying greater reward sensitivity.  </w:t>
      </w:r>
    </w:p>
    <w:p w14:paraId="49BB9A0F" w14:textId="33E4B8AC" w:rsidR="00CC01F5" w:rsidRPr="00FB47D8" w:rsidRDefault="00A23142" w:rsidP="00884FCD">
      <w:pPr>
        <w:spacing w:line="360" w:lineRule="auto"/>
        <w:rPr>
          <w:rFonts w:ascii="Calibri" w:hAnsi="Calibri" w:cs="Calibri"/>
          <w:sz w:val="24"/>
          <w:szCs w:val="24"/>
        </w:rPr>
      </w:pPr>
      <w:r w:rsidRPr="00FB47D8">
        <w:rPr>
          <w:rFonts w:ascii="Calibri" w:hAnsi="Calibri" w:cs="Calibri"/>
          <w:sz w:val="24"/>
          <w:szCs w:val="24"/>
        </w:rPr>
        <w:t xml:space="preserve">Overall, 19 variables capture emotional, cognitive, and developmental characteristics hypothesized to mediate the relationships between adverse experiences and adolescent psychopathology. A summary of the constructs, measurement tools, and specific metrics </w:t>
      </w:r>
      <w:r w:rsidR="009937F4">
        <w:rPr>
          <w:rFonts w:ascii="Calibri" w:hAnsi="Calibri" w:cs="Calibri"/>
          <w:sz w:val="24"/>
          <w:szCs w:val="24"/>
        </w:rPr>
        <w:t xml:space="preserve">can be found </w:t>
      </w:r>
      <w:r w:rsidRPr="00FB47D8">
        <w:rPr>
          <w:rFonts w:ascii="Calibri" w:hAnsi="Calibri" w:cs="Calibri"/>
          <w:sz w:val="24"/>
          <w:szCs w:val="24"/>
        </w:rPr>
        <w:t xml:space="preserve">in </w:t>
      </w:r>
      <w:r w:rsidRPr="00FB47D8">
        <w:rPr>
          <w:rFonts w:ascii="Calibri" w:hAnsi="Calibri" w:cs="Calibri"/>
          <w:b/>
          <w:bCs/>
          <w:sz w:val="24"/>
          <w:szCs w:val="24"/>
          <w:highlight w:val="green"/>
        </w:rPr>
        <w:t>Table 1</w:t>
      </w:r>
      <w:r w:rsidRPr="00FB47D8">
        <w:rPr>
          <w:rFonts w:ascii="Calibri" w:hAnsi="Calibri" w:cs="Calibri"/>
          <w:sz w:val="24"/>
          <w:szCs w:val="24"/>
        </w:rPr>
        <w:t>.</w:t>
      </w:r>
    </w:p>
    <w:p w14:paraId="0A25A5DF" w14:textId="77777777" w:rsidR="00A23142" w:rsidRPr="00FB47D8" w:rsidRDefault="00A23142" w:rsidP="00884FCD">
      <w:pPr>
        <w:spacing w:line="360" w:lineRule="auto"/>
        <w:rPr>
          <w:rFonts w:ascii="Calibri" w:hAnsi="Calibri" w:cs="Calibri"/>
          <w:i/>
          <w:iCs/>
          <w:sz w:val="24"/>
          <w:szCs w:val="24"/>
        </w:rPr>
      </w:pPr>
    </w:p>
    <w:p w14:paraId="14EBA68F" w14:textId="614AB599" w:rsidR="00884FCD" w:rsidRPr="00FB47D8" w:rsidRDefault="00884FCD" w:rsidP="00884FCD">
      <w:pPr>
        <w:spacing w:line="360" w:lineRule="auto"/>
        <w:rPr>
          <w:rFonts w:ascii="Calibri" w:hAnsi="Calibri" w:cs="Calibri"/>
          <w:sz w:val="24"/>
          <w:szCs w:val="24"/>
        </w:rPr>
      </w:pPr>
      <w:r w:rsidRPr="00FB47D8">
        <w:rPr>
          <w:rFonts w:ascii="Calibri" w:hAnsi="Calibri" w:cs="Calibri"/>
          <w:i/>
          <w:iCs/>
          <w:sz w:val="24"/>
          <w:szCs w:val="24"/>
        </w:rPr>
        <w:t>Psychopathology outcomes</w:t>
      </w:r>
      <w:r w:rsidRPr="00FB47D8">
        <w:rPr>
          <w:rFonts w:ascii="Calibri" w:hAnsi="Calibri" w:cs="Calibri"/>
          <w:sz w:val="24"/>
          <w:szCs w:val="24"/>
        </w:rPr>
        <w:t>:</w:t>
      </w:r>
    </w:p>
    <w:p w14:paraId="0434EA8D" w14:textId="4FDD6EE7" w:rsidR="00080A6C" w:rsidRPr="00FB47D8" w:rsidRDefault="004941D3" w:rsidP="00884FCD">
      <w:pPr>
        <w:spacing w:line="360" w:lineRule="auto"/>
        <w:rPr>
          <w:rFonts w:ascii="Calibri" w:hAnsi="Calibri" w:cs="Calibri"/>
          <w:sz w:val="24"/>
          <w:szCs w:val="24"/>
        </w:rPr>
      </w:pPr>
      <w:r>
        <w:rPr>
          <w:rFonts w:ascii="Calibri" w:hAnsi="Calibri" w:cs="Calibri"/>
          <w:sz w:val="24"/>
          <w:szCs w:val="24"/>
        </w:rPr>
        <w:t xml:space="preserve">Internalizing and externalizing psychopathology were captured using continuous t-scores from the parent-reported Child Behavioral Checklist (CBCL) and self-reported Youth Self Report (YSR). The internalizing psychopathology outcome covered anxious/depressed symptoms, depression, somatic complaints, social problems and thought problems. Externalizing psychopathology included </w:t>
      </w:r>
      <w:r w:rsidR="00983974" w:rsidRPr="00FB47D8">
        <w:rPr>
          <w:rFonts w:ascii="Calibri" w:hAnsi="Calibri" w:cs="Calibri"/>
          <w:sz w:val="24"/>
          <w:szCs w:val="24"/>
        </w:rPr>
        <w:t>attention problems, rule-breaking behavior, and aggressive behavior syndromes. &lt;</w:t>
      </w:r>
      <w:r w:rsidR="00983974" w:rsidRPr="00FB47D8">
        <w:rPr>
          <w:rFonts w:ascii="Calibri" w:hAnsi="Calibri" w:cs="Calibri"/>
          <w:sz w:val="24"/>
          <w:szCs w:val="24"/>
          <w:highlight w:val="magenta"/>
        </w:rPr>
        <w:t>CITE</w:t>
      </w:r>
      <w:r w:rsidR="00983974" w:rsidRPr="00FB47D8">
        <w:rPr>
          <w:rFonts w:ascii="Calibri" w:hAnsi="Calibri" w:cs="Calibri"/>
          <w:sz w:val="24"/>
          <w:szCs w:val="24"/>
        </w:rPr>
        <w:t>&gt;.</w:t>
      </w:r>
    </w:p>
    <w:p w14:paraId="31B0F4B4" w14:textId="77777777" w:rsidR="00A23142" w:rsidRPr="00FB47D8" w:rsidRDefault="00A23142" w:rsidP="00884FCD">
      <w:pPr>
        <w:spacing w:line="360" w:lineRule="auto"/>
        <w:rPr>
          <w:rFonts w:ascii="Calibri" w:hAnsi="Calibri" w:cs="Calibri"/>
          <w:i/>
          <w:iCs/>
          <w:sz w:val="24"/>
          <w:szCs w:val="24"/>
        </w:rPr>
      </w:pPr>
    </w:p>
    <w:p w14:paraId="5A7AFD4C" w14:textId="61591614" w:rsidR="00884FCD" w:rsidRPr="00FB47D8" w:rsidRDefault="00884FCD" w:rsidP="00884FCD">
      <w:pPr>
        <w:spacing w:line="360" w:lineRule="auto"/>
        <w:rPr>
          <w:rFonts w:ascii="Calibri" w:hAnsi="Calibri" w:cs="Calibri"/>
          <w:i/>
          <w:iCs/>
          <w:sz w:val="24"/>
          <w:szCs w:val="24"/>
        </w:rPr>
      </w:pPr>
      <w:r w:rsidRPr="00FB47D8">
        <w:rPr>
          <w:rFonts w:ascii="Calibri" w:hAnsi="Calibri" w:cs="Calibri"/>
          <w:i/>
          <w:iCs/>
          <w:sz w:val="24"/>
          <w:szCs w:val="24"/>
        </w:rPr>
        <w:t>Covariates:</w:t>
      </w:r>
    </w:p>
    <w:p w14:paraId="02EF56F9" w14:textId="759B93A4" w:rsidR="00FF59B6" w:rsidRPr="00FB47D8" w:rsidRDefault="00884FCD" w:rsidP="00884FCD">
      <w:pPr>
        <w:spacing w:line="360" w:lineRule="auto"/>
        <w:rPr>
          <w:rFonts w:ascii="Calibri" w:hAnsi="Calibri" w:cs="Calibri"/>
          <w:sz w:val="24"/>
          <w:szCs w:val="24"/>
        </w:rPr>
      </w:pPr>
      <w:r w:rsidRPr="00FB47D8">
        <w:rPr>
          <w:rFonts w:ascii="Calibri" w:hAnsi="Calibri" w:cs="Calibri"/>
          <w:sz w:val="24"/>
          <w:szCs w:val="24"/>
        </w:rPr>
        <w:t xml:space="preserve">Exposure-outcome and exposure-mediator relationships </w:t>
      </w:r>
      <w:r w:rsidR="00563BCE" w:rsidRPr="00FB47D8">
        <w:rPr>
          <w:rFonts w:ascii="Calibri" w:hAnsi="Calibri" w:cs="Calibri"/>
          <w:sz w:val="24"/>
          <w:szCs w:val="24"/>
        </w:rPr>
        <w:t>are</w:t>
      </w:r>
      <w:r w:rsidRPr="00FB47D8">
        <w:rPr>
          <w:rFonts w:ascii="Calibri" w:hAnsi="Calibri" w:cs="Calibri"/>
          <w:sz w:val="24"/>
          <w:szCs w:val="24"/>
        </w:rPr>
        <w:t xml:space="preserve"> adjusted for age at </w:t>
      </w:r>
      <w:r w:rsidR="00D46153" w:rsidRPr="00FB47D8">
        <w:rPr>
          <w:rFonts w:ascii="Calibri" w:hAnsi="Calibri" w:cs="Calibri"/>
          <w:sz w:val="24"/>
          <w:szCs w:val="24"/>
        </w:rPr>
        <w:t>baseline</w:t>
      </w:r>
      <w:r w:rsidRPr="00FB47D8">
        <w:rPr>
          <w:rFonts w:ascii="Calibri" w:hAnsi="Calibri" w:cs="Calibri"/>
          <w:sz w:val="24"/>
          <w:szCs w:val="24"/>
        </w:rPr>
        <w:t xml:space="preserve">, </w:t>
      </w:r>
      <w:r w:rsidR="00D46153" w:rsidRPr="00FB47D8">
        <w:rPr>
          <w:rFonts w:ascii="Calibri" w:hAnsi="Calibri" w:cs="Calibri"/>
          <w:sz w:val="24"/>
          <w:szCs w:val="24"/>
        </w:rPr>
        <w:t xml:space="preserve">biological </w:t>
      </w:r>
      <w:r w:rsidRPr="00FB47D8">
        <w:rPr>
          <w:rFonts w:ascii="Calibri" w:hAnsi="Calibri" w:cs="Calibri"/>
          <w:sz w:val="24"/>
          <w:szCs w:val="24"/>
        </w:rPr>
        <w:t xml:space="preserve">sex, chronicity of poverty in early childhood (the count of years the child lived in a low-income household between the ages 3 and 6), </w:t>
      </w:r>
      <w:r w:rsidR="009937F4">
        <w:rPr>
          <w:rFonts w:ascii="Calibri" w:hAnsi="Calibri" w:cs="Calibri"/>
          <w:sz w:val="24"/>
          <w:szCs w:val="24"/>
        </w:rPr>
        <w:t xml:space="preserve">and the </w:t>
      </w:r>
      <w:r w:rsidRPr="00FB47D8">
        <w:rPr>
          <w:rFonts w:ascii="Calibri" w:hAnsi="Calibri" w:cs="Calibri"/>
          <w:sz w:val="24"/>
          <w:szCs w:val="24"/>
        </w:rPr>
        <w:t>severity of the mother’s depression symptoms in the child’s early life (maximum score on the CES-D reported over 4 early-life data collection waves)</w:t>
      </w:r>
      <w:r w:rsidR="00563BCE" w:rsidRPr="00FB47D8">
        <w:rPr>
          <w:rFonts w:ascii="Calibri" w:hAnsi="Calibri" w:cs="Calibri"/>
          <w:sz w:val="24"/>
          <w:szCs w:val="24"/>
        </w:rPr>
        <w:t xml:space="preserve">. We additionally adjusted the threat models for deprivation and vice-versa, to </w:t>
      </w:r>
      <w:r w:rsidR="009248CB" w:rsidRPr="00FB47D8">
        <w:rPr>
          <w:rFonts w:ascii="Calibri" w:hAnsi="Calibri" w:cs="Calibri"/>
          <w:sz w:val="24"/>
          <w:szCs w:val="24"/>
        </w:rPr>
        <w:t>account for unmeasured common causes of adversity</w:t>
      </w:r>
      <w:r w:rsidRPr="00FB47D8">
        <w:rPr>
          <w:rFonts w:ascii="Calibri" w:hAnsi="Calibri" w:cs="Calibri"/>
          <w:sz w:val="24"/>
          <w:szCs w:val="24"/>
        </w:rPr>
        <w:t xml:space="preserve">. Relationships between mediators and outcomes </w:t>
      </w:r>
      <w:r w:rsidR="00D46153" w:rsidRPr="00FB47D8">
        <w:rPr>
          <w:rFonts w:ascii="Calibri" w:hAnsi="Calibri" w:cs="Calibri"/>
          <w:sz w:val="24"/>
          <w:szCs w:val="24"/>
        </w:rPr>
        <w:t>were</w:t>
      </w:r>
      <w:r w:rsidRPr="00FB47D8">
        <w:rPr>
          <w:rFonts w:ascii="Calibri" w:hAnsi="Calibri" w:cs="Calibri"/>
          <w:sz w:val="24"/>
          <w:szCs w:val="24"/>
        </w:rPr>
        <w:t xml:space="preserve"> additionally adjusted for</w:t>
      </w:r>
      <w:r w:rsidR="00D46153" w:rsidRPr="00FB47D8">
        <w:rPr>
          <w:rFonts w:ascii="Calibri" w:hAnsi="Calibri" w:cs="Calibri"/>
          <w:sz w:val="24"/>
          <w:szCs w:val="24"/>
        </w:rPr>
        <w:t xml:space="preserve"> </w:t>
      </w:r>
      <w:r w:rsidR="009937F4">
        <w:rPr>
          <w:rFonts w:ascii="Calibri" w:hAnsi="Calibri" w:cs="Calibri"/>
          <w:sz w:val="24"/>
          <w:szCs w:val="24"/>
        </w:rPr>
        <w:t xml:space="preserve">the baseline </w:t>
      </w:r>
      <w:r w:rsidRPr="00FB47D8">
        <w:rPr>
          <w:rFonts w:ascii="Calibri" w:hAnsi="Calibri" w:cs="Calibri"/>
          <w:sz w:val="24"/>
          <w:szCs w:val="24"/>
        </w:rPr>
        <w:t>income-to-needs ratio</w:t>
      </w:r>
      <w:r w:rsidR="00B83015" w:rsidRPr="00FB47D8">
        <w:rPr>
          <w:rFonts w:ascii="Calibri" w:hAnsi="Calibri" w:cs="Calibri"/>
          <w:sz w:val="24"/>
          <w:szCs w:val="24"/>
        </w:rPr>
        <w:t xml:space="preserve">. Finally, </w:t>
      </w:r>
      <w:r w:rsidR="00D46153" w:rsidRPr="00FB47D8">
        <w:rPr>
          <w:rFonts w:ascii="Calibri" w:hAnsi="Calibri" w:cs="Calibri"/>
          <w:sz w:val="24"/>
          <w:szCs w:val="24"/>
        </w:rPr>
        <w:t xml:space="preserve">randomized intervention analogues were computed to adjust for baseline </w:t>
      </w:r>
      <w:r w:rsidRPr="00FB47D8">
        <w:rPr>
          <w:rFonts w:ascii="Calibri" w:hAnsi="Calibri" w:cs="Calibri"/>
          <w:sz w:val="24"/>
          <w:szCs w:val="24"/>
        </w:rPr>
        <w:t>child psychiatric symptoms</w:t>
      </w:r>
      <w:r w:rsidR="00D46153" w:rsidRPr="00FB47D8">
        <w:rPr>
          <w:rFonts w:ascii="Calibri" w:hAnsi="Calibri" w:cs="Calibri"/>
          <w:sz w:val="24"/>
          <w:szCs w:val="24"/>
        </w:rPr>
        <w:t>, a confounder of the mediator-outcome relationship that is likely affected by the adversity exposures.</w:t>
      </w:r>
      <w:r w:rsidR="00B83015" w:rsidRPr="00FB47D8">
        <w:rPr>
          <w:rFonts w:ascii="Calibri" w:hAnsi="Calibri" w:cs="Calibri"/>
          <w:sz w:val="24"/>
          <w:szCs w:val="24"/>
        </w:rPr>
        <w:t xml:space="preserve"> &lt;</w:t>
      </w:r>
      <w:r w:rsidR="00B83015" w:rsidRPr="00FB47D8">
        <w:rPr>
          <w:rFonts w:ascii="Calibri" w:hAnsi="Calibri" w:cs="Calibri"/>
          <w:sz w:val="24"/>
          <w:szCs w:val="24"/>
          <w:highlight w:val="magenta"/>
        </w:rPr>
        <w:t>CITE randomized interventional analogues</w:t>
      </w:r>
      <w:r w:rsidR="00B83015" w:rsidRPr="00FB47D8">
        <w:rPr>
          <w:rFonts w:ascii="Calibri" w:hAnsi="Calibri" w:cs="Calibri"/>
          <w:sz w:val="24"/>
          <w:szCs w:val="24"/>
        </w:rPr>
        <w:t xml:space="preserve">&gt;. </w:t>
      </w:r>
      <w:r w:rsidRPr="00FB47D8">
        <w:rPr>
          <w:rFonts w:ascii="Calibri" w:hAnsi="Calibri" w:cs="Calibri"/>
          <w:sz w:val="24"/>
          <w:szCs w:val="24"/>
        </w:rPr>
        <w:t xml:space="preserve"> </w:t>
      </w:r>
      <w:r w:rsidR="00D46153" w:rsidRPr="00FB47D8">
        <w:rPr>
          <w:rFonts w:ascii="Calibri" w:hAnsi="Calibri" w:cs="Calibri"/>
          <w:sz w:val="24"/>
          <w:szCs w:val="24"/>
        </w:rPr>
        <w:t xml:space="preserve">Baseline child psychiatric </w:t>
      </w:r>
      <w:r w:rsidR="00D46153" w:rsidRPr="00FB47D8">
        <w:rPr>
          <w:rFonts w:ascii="Calibri" w:hAnsi="Calibri" w:cs="Calibri"/>
          <w:sz w:val="24"/>
          <w:szCs w:val="24"/>
        </w:rPr>
        <w:lastRenderedPageBreak/>
        <w:t xml:space="preserve">symptoms were captured with the </w:t>
      </w:r>
      <w:r w:rsidRPr="00FB47D8">
        <w:rPr>
          <w:rFonts w:ascii="Calibri" w:hAnsi="Calibri" w:cs="Calibri"/>
          <w:sz w:val="24"/>
          <w:szCs w:val="24"/>
        </w:rPr>
        <w:t xml:space="preserve">maximum of the self-reported overall problem score from the </w:t>
      </w:r>
      <w:r w:rsidR="00B83015" w:rsidRPr="00FB47D8">
        <w:rPr>
          <w:rFonts w:ascii="Calibri" w:hAnsi="Calibri" w:cs="Calibri"/>
          <w:sz w:val="24"/>
          <w:szCs w:val="24"/>
        </w:rPr>
        <w:t>youth self-report (</w:t>
      </w:r>
      <w:r w:rsidRPr="00FB47D8">
        <w:rPr>
          <w:rFonts w:ascii="Calibri" w:hAnsi="Calibri" w:cs="Calibri"/>
          <w:sz w:val="24"/>
          <w:szCs w:val="24"/>
        </w:rPr>
        <w:t>YSR</w:t>
      </w:r>
      <w:r w:rsidR="00B83015" w:rsidRPr="00FB47D8">
        <w:rPr>
          <w:rFonts w:ascii="Calibri" w:hAnsi="Calibri" w:cs="Calibri"/>
          <w:sz w:val="24"/>
          <w:szCs w:val="24"/>
        </w:rPr>
        <w:t>)</w:t>
      </w:r>
      <w:r w:rsidRPr="00FB47D8">
        <w:rPr>
          <w:rFonts w:ascii="Calibri" w:hAnsi="Calibri" w:cs="Calibri"/>
          <w:sz w:val="24"/>
          <w:szCs w:val="24"/>
        </w:rPr>
        <w:t xml:space="preserve"> and parent-reported overall problem score from the CBCL</w:t>
      </w:r>
      <w:r w:rsidR="00FF59B6" w:rsidRPr="00FB47D8">
        <w:rPr>
          <w:rFonts w:ascii="Calibri" w:hAnsi="Calibri" w:cs="Calibri"/>
          <w:sz w:val="24"/>
          <w:szCs w:val="24"/>
        </w:rPr>
        <w:t xml:space="preserve">. </w:t>
      </w:r>
    </w:p>
    <w:p w14:paraId="0AC1BFDE" w14:textId="2FDEE5AD" w:rsidR="00407397" w:rsidRPr="00FB47D8" w:rsidRDefault="00407397" w:rsidP="00407397">
      <w:pPr>
        <w:spacing w:line="360" w:lineRule="auto"/>
        <w:rPr>
          <w:rFonts w:ascii="Calibri" w:hAnsi="Calibri" w:cs="Calibri"/>
          <w:sz w:val="24"/>
          <w:szCs w:val="24"/>
        </w:rPr>
      </w:pPr>
      <w:r w:rsidRPr="00FB47D8">
        <w:rPr>
          <w:rFonts w:ascii="Calibri" w:hAnsi="Calibri" w:cs="Calibri"/>
          <w:sz w:val="24"/>
          <w:szCs w:val="24"/>
          <w:u w:val="single"/>
        </w:rPr>
        <w:t>Analysis methods</w:t>
      </w:r>
      <w:r w:rsidRPr="00FB47D8">
        <w:rPr>
          <w:rFonts w:ascii="Calibri" w:hAnsi="Calibri" w:cs="Calibri"/>
          <w:sz w:val="24"/>
          <w:szCs w:val="24"/>
        </w:rPr>
        <w:t>:</w:t>
      </w:r>
    </w:p>
    <w:p w14:paraId="3128DC56" w14:textId="1CBD3202" w:rsidR="00E82A19" w:rsidRPr="00FB47D8" w:rsidRDefault="00407397" w:rsidP="00E82A19">
      <w:pPr>
        <w:spacing w:line="360" w:lineRule="auto"/>
        <w:rPr>
          <w:rFonts w:ascii="Calibri" w:hAnsi="Calibri" w:cs="Calibri"/>
          <w:sz w:val="24"/>
          <w:szCs w:val="24"/>
        </w:rPr>
      </w:pPr>
      <w:r w:rsidRPr="00FB47D8">
        <w:rPr>
          <w:rFonts w:ascii="Calibri" w:hAnsi="Calibri" w:cs="Calibri"/>
          <w:sz w:val="24"/>
          <w:szCs w:val="24"/>
        </w:rPr>
        <w:t>For the 227 participants</w:t>
      </w:r>
      <w:r w:rsidR="00936580">
        <w:rPr>
          <w:rFonts w:ascii="Calibri" w:hAnsi="Calibri" w:cs="Calibri"/>
          <w:sz w:val="24"/>
          <w:szCs w:val="24"/>
        </w:rPr>
        <w:t xml:space="preserve"> with baseline data</w:t>
      </w:r>
      <w:r w:rsidRPr="00FB47D8">
        <w:rPr>
          <w:rFonts w:ascii="Calibri" w:hAnsi="Calibri" w:cs="Calibri"/>
          <w:sz w:val="24"/>
          <w:szCs w:val="24"/>
        </w:rPr>
        <w:t xml:space="preserve">, we imputed missing values on covariates, exposures, mediators, and outcomes using </w:t>
      </w:r>
      <w:r w:rsidR="00D561AE">
        <w:rPr>
          <w:rFonts w:ascii="Calibri" w:hAnsi="Calibri" w:cs="Calibri"/>
          <w:sz w:val="24"/>
          <w:szCs w:val="24"/>
        </w:rPr>
        <w:t xml:space="preserve">hot-deck imputation </w:t>
      </w:r>
      <w:r w:rsidR="00D561AE">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sidR="00D561AE">
        <w:rPr>
          <w:rFonts w:ascii="Calibri" w:hAnsi="Calibri" w:cs="Calibri"/>
          <w:sz w:val="24"/>
          <w:szCs w:val="24"/>
        </w:rPr>
        <w:fldChar w:fldCharType="separate"/>
      </w:r>
      <w:r w:rsidR="00D561AE">
        <w:rPr>
          <w:rFonts w:ascii="Calibri" w:hAnsi="Calibri" w:cs="Calibri"/>
          <w:noProof/>
          <w:sz w:val="24"/>
          <w:szCs w:val="24"/>
        </w:rPr>
        <w:t>(Ono &amp; Miller, 1969)</w:t>
      </w:r>
      <w:r w:rsidR="00D561AE">
        <w:rPr>
          <w:rFonts w:ascii="Calibri" w:hAnsi="Calibri" w:cs="Calibri"/>
          <w:sz w:val="24"/>
          <w:szCs w:val="24"/>
        </w:rPr>
        <w:fldChar w:fldCharType="end"/>
      </w:r>
      <w:r w:rsidRPr="00FB47D8">
        <w:rPr>
          <w:rFonts w:ascii="Calibri" w:hAnsi="Calibri" w:cs="Calibri"/>
          <w:sz w:val="24"/>
          <w:szCs w:val="24"/>
        </w:rPr>
        <w:t xml:space="preserve">. We report proportions of missing values and distributions of key variables among those with complete vs incomplete data in </w:t>
      </w:r>
      <w:r w:rsidRPr="00FB47D8">
        <w:rPr>
          <w:rFonts w:ascii="Calibri" w:hAnsi="Calibri" w:cs="Calibri"/>
          <w:b/>
          <w:bCs/>
          <w:sz w:val="24"/>
          <w:szCs w:val="24"/>
          <w:highlight w:val="green"/>
        </w:rPr>
        <w:t>Table A.</w:t>
      </w:r>
      <w:r w:rsidR="00A737B0" w:rsidRPr="00FB47D8">
        <w:rPr>
          <w:rFonts w:ascii="Calibri" w:hAnsi="Calibri" w:cs="Calibri"/>
          <w:b/>
          <w:bCs/>
          <w:sz w:val="24"/>
          <w:szCs w:val="24"/>
          <w:highlight w:val="green"/>
        </w:rPr>
        <w:t>2</w:t>
      </w:r>
      <w:r w:rsidRPr="00FB47D8">
        <w:rPr>
          <w:rFonts w:ascii="Calibri" w:hAnsi="Calibri" w:cs="Calibri"/>
          <w:sz w:val="24"/>
          <w:szCs w:val="24"/>
          <w:highlight w:val="green"/>
        </w:rPr>
        <w:t xml:space="preserve"> in the Appendix</w:t>
      </w:r>
      <w:r w:rsidRPr="00FB47D8">
        <w:rPr>
          <w:rFonts w:ascii="Calibri" w:hAnsi="Calibri" w:cs="Calibri"/>
          <w:sz w:val="24"/>
          <w:szCs w:val="24"/>
        </w:rPr>
        <w:t>.</w:t>
      </w:r>
    </w:p>
    <w:p w14:paraId="7F6F1E39" w14:textId="1422D0E5" w:rsidR="00407397" w:rsidRDefault="00407397" w:rsidP="00E82A19">
      <w:pPr>
        <w:spacing w:line="360" w:lineRule="auto"/>
        <w:rPr>
          <w:rFonts w:ascii="Calibri" w:hAnsi="Calibri" w:cs="Calibri"/>
          <w:sz w:val="24"/>
          <w:szCs w:val="24"/>
        </w:rPr>
      </w:pPr>
      <w:r w:rsidRPr="00FB47D8">
        <w:rPr>
          <w:rFonts w:ascii="Calibri" w:hAnsi="Calibri" w:cs="Calibri"/>
          <w:sz w:val="24"/>
          <w:szCs w:val="24"/>
        </w:rPr>
        <w:t xml:space="preserve">We </w:t>
      </w:r>
      <w:r w:rsidR="00936580">
        <w:rPr>
          <w:rFonts w:ascii="Calibri" w:hAnsi="Calibri" w:cs="Calibri"/>
          <w:sz w:val="24"/>
          <w:szCs w:val="24"/>
        </w:rPr>
        <w:t xml:space="preserve">first </w:t>
      </w:r>
      <w:r w:rsidRPr="00FB47D8">
        <w:rPr>
          <w:rFonts w:ascii="Calibri" w:hAnsi="Calibri" w:cs="Calibri"/>
          <w:sz w:val="24"/>
          <w:szCs w:val="24"/>
        </w:rPr>
        <w:t xml:space="preserve">ran a latent profile analysis to group participants according to their values on standardized candidate mediator variables. </w:t>
      </w:r>
      <w:r w:rsidR="00450EB0" w:rsidRPr="00FB47D8">
        <w:rPr>
          <w:rFonts w:ascii="Calibri" w:hAnsi="Calibri" w:cs="Calibri"/>
          <w:sz w:val="24"/>
          <w:szCs w:val="24"/>
        </w:rPr>
        <w:t>We compared models with 1 to 9 possible latent profiles, and across</w:t>
      </w:r>
      <w:r w:rsidR="003C124E" w:rsidRPr="00FB47D8">
        <w:rPr>
          <w:rFonts w:ascii="Calibri" w:hAnsi="Calibri" w:cs="Calibri"/>
          <w:sz w:val="24"/>
          <w:szCs w:val="24"/>
        </w:rPr>
        <w:t xml:space="preserve"> 14 Gaussian multivariate mixture models with various combinations of distribution, volume, shape, and orientation</w:t>
      </w:r>
      <w:r w:rsidR="00450EB0" w:rsidRPr="00FB47D8">
        <w:rPr>
          <w:rFonts w:ascii="Calibri" w:hAnsi="Calibri" w:cs="Calibri"/>
          <w:sz w:val="24"/>
          <w:szCs w:val="24"/>
        </w:rPr>
        <w:t xml:space="preserve"> parameters.</w:t>
      </w:r>
      <w:r w:rsidR="003C124E" w:rsidRPr="00FB47D8">
        <w:rPr>
          <w:rFonts w:ascii="Calibri" w:hAnsi="Calibri" w:cs="Calibri"/>
          <w:sz w:val="24"/>
          <w:szCs w:val="24"/>
        </w:rPr>
        <w:fldChar w:fldCharType="begin"/>
      </w:r>
      <w:r w:rsidR="00260DE2">
        <w:rPr>
          <w:rFonts w:ascii="Calibri" w:hAnsi="Calibri" w:cs="Calibri"/>
          <w:sz w:val="24"/>
          <w:szCs w:val="24"/>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 guid="7d1a3ca3-b8a6-45ca-a9e3-a2db0ba94698"&gt;115&lt;/key&gt;&lt;/foreign-keys&gt;&lt;ref-type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3C124E"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Scrucca</w:t>
      </w:r>
      <w:proofErr w:type="spellEnd"/>
      <w:r w:rsidR="003C124E" w:rsidRPr="00FB47D8">
        <w:rPr>
          <w:rFonts w:ascii="Calibri" w:hAnsi="Calibri" w:cs="Calibri"/>
          <w:noProof/>
          <w:sz w:val="24"/>
          <w:szCs w:val="24"/>
        </w:rPr>
        <w:t xml:space="preserve"> et al., 2016)</w:t>
      </w:r>
      <w:r w:rsidR="003C124E" w:rsidRPr="00FB47D8">
        <w:rPr>
          <w:rFonts w:ascii="Calibri" w:hAnsi="Calibri" w:cs="Calibri"/>
          <w:sz w:val="24"/>
          <w:szCs w:val="24"/>
        </w:rPr>
        <w:fldChar w:fldCharType="end"/>
      </w:r>
      <w:r w:rsidR="00450EB0" w:rsidRPr="00FB47D8">
        <w:rPr>
          <w:rFonts w:ascii="Calibri" w:hAnsi="Calibri" w:cs="Calibri"/>
          <w:sz w:val="24"/>
          <w:szCs w:val="24"/>
        </w:rPr>
        <w:t xml:space="preserve"> We chose the </w:t>
      </w:r>
      <w:r w:rsidR="003C124E" w:rsidRPr="00FB47D8">
        <w:rPr>
          <w:rFonts w:ascii="Calibri" w:hAnsi="Calibri" w:cs="Calibri"/>
          <w:sz w:val="24"/>
          <w:szCs w:val="24"/>
        </w:rPr>
        <w:t xml:space="preserve">mixture </w:t>
      </w:r>
      <w:r w:rsidR="00450EB0" w:rsidRPr="00FB47D8">
        <w:rPr>
          <w:rFonts w:ascii="Calibri" w:hAnsi="Calibri" w:cs="Calibri"/>
          <w:sz w:val="24"/>
          <w:szCs w:val="24"/>
        </w:rPr>
        <w:t xml:space="preserve">model type that minimized the </w:t>
      </w:r>
      <w:r w:rsidR="003C124E" w:rsidRPr="00FB47D8">
        <w:rPr>
          <w:rFonts w:ascii="Calibri" w:hAnsi="Calibri" w:cs="Calibri"/>
          <w:sz w:val="24"/>
          <w:szCs w:val="24"/>
        </w:rPr>
        <w:t>Bayesian Information Criteria</w:t>
      </w:r>
      <w:r w:rsidR="00450EB0" w:rsidRPr="00FB47D8">
        <w:rPr>
          <w:rFonts w:ascii="Calibri" w:hAnsi="Calibri" w:cs="Calibri"/>
          <w:sz w:val="24"/>
          <w:szCs w:val="24"/>
        </w:rPr>
        <w:t xml:space="preserve">. </w:t>
      </w:r>
      <w:r w:rsidR="003C124E" w:rsidRPr="00FB47D8">
        <w:rPr>
          <w:rFonts w:ascii="Calibri" w:hAnsi="Calibri" w:cs="Calibri"/>
          <w:sz w:val="24"/>
          <w:szCs w:val="24"/>
        </w:rPr>
        <w:t xml:space="preserve">The identified latent </w:t>
      </w:r>
      <w:r w:rsidR="00936580">
        <w:rPr>
          <w:rFonts w:ascii="Calibri" w:hAnsi="Calibri" w:cs="Calibri"/>
          <w:sz w:val="24"/>
          <w:szCs w:val="24"/>
        </w:rPr>
        <w:t xml:space="preserve">mediator </w:t>
      </w:r>
      <w:r w:rsidR="003C124E" w:rsidRPr="00FB47D8">
        <w:rPr>
          <w:rFonts w:ascii="Calibri" w:hAnsi="Calibri" w:cs="Calibri"/>
          <w:sz w:val="24"/>
          <w:szCs w:val="24"/>
        </w:rPr>
        <w:t>profiles identif</w:t>
      </w:r>
      <w:r w:rsidR="00936580">
        <w:rPr>
          <w:rFonts w:ascii="Calibri" w:hAnsi="Calibri" w:cs="Calibri"/>
          <w:sz w:val="24"/>
          <w:szCs w:val="24"/>
        </w:rPr>
        <w:t>ied</w:t>
      </w:r>
      <w:r w:rsidR="003C124E" w:rsidRPr="00FB47D8">
        <w:rPr>
          <w:rFonts w:ascii="Calibri" w:hAnsi="Calibri" w:cs="Calibri"/>
          <w:sz w:val="24"/>
          <w:szCs w:val="24"/>
        </w:rPr>
        <w:t xml:space="preserve"> clusters in the correlated cognitive, affective, and developmental phenotypes and facilitate</w:t>
      </w:r>
      <w:r w:rsidR="00936580">
        <w:rPr>
          <w:rFonts w:ascii="Calibri" w:hAnsi="Calibri" w:cs="Calibri"/>
          <w:sz w:val="24"/>
          <w:szCs w:val="24"/>
        </w:rPr>
        <w:t>d</w:t>
      </w:r>
      <w:r w:rsidR="003C124E" w:rsidRPr="00FB47D8">
        <w:rPr>
          <w:rFonts w:ascii="Calibri" w:hAnsi="Calibri" w:cs="Calibri"/>
          <w:sz w:val="24"/>
          <w:szCs w:val="24"/>
        </w:rPr>
        <w:t xml:space="preserve"> </w:t>
      </w:r>
      <w:r w:rsidR="009248CB" w:rsidRPr="00FB47D8">
        <w:rPr>
          <w:rFonts w:ascii="Calibri" w:hAnsi="Calibri" w:cs="Calibri"/>
          <w:sz w:val="24"/>
          <w:szCs w:val="24"/>
        </w:rPr>
        <w:t xml:space="preserve">a comprehensive analysis of potential mechanisms linking adverse early life experiences with adolescent psychopathology. </w:t>
      </w:r>
    </w:p>
    <w:p w14:paraId="3DA4B729" w14:textId="5A989F06" w:rsidR="00936580" w:rsidRPr="00FB47D8" w:rsidRDefault="00936580" w:rsidP="00E82A19">
      <w:pPr>
        <w:spacing w:line="360" w:lineRule="auto"/>
        <w:rPr>
          <w:rFonts w:ascii="Calibri" w:hAnsi="Calibri" w:cs="Calibri"/>
          <w:sz w:val="24"/>
          <w:szCs w:val="24"/>
        </w:rPr>
      </w:pPr>
      <w:r>
        <w:rPr>
          <w:rFonts w:ascii="Calibri" w:hAnsi="Calibri" w:cs="Calibri"/>
          <w:sz w:val="24"/>
          <w:szCs w:val="24"/>
        </w:rPr>
        <w:t xml:space="preserve">Multinomial logistic regression models were run to characterize the </w:t>
      </w:r>
      <w:r w:rsidR="00821ABC">
        <w:rPr>
          <w:rFonts w:ascii="Calibri" w:hAnsi="Calibri" w:cs="Calibri"/>
          <w:sz w:val="24"/>
          <w:szCs w:val="24"/>
        </w:rPr>
        <w:t xml:space="preserve">relationships between threat and deprivation experiences and the </w:t>
      </w:r>
      <w:r>
        <w:rPr>
          <w:rFonts w:ascii="Calibri" w:hAnsi="Calibri" w:cs="Calibri"/>
          <w:sz w:val="24"/>
          <w:szCs w:val="24"/>
        </w:rPr>
        <w:t xml:space="preserve">odds of belonging to the fitted latent mediator profile. The relationships between the adversity exposures, latent mediator profiles, and internalizing and externalizing psychopathology outcomes at follow-up were estimated using linear regressions. We reported 95% confidence intervals and two-sided p-values. </w:t>
      </w:r>
    </w:p>
    <w:p w14:paraId="30F00C26" w14:textId="6751B60A" w:rsidR="003C124E" w:rsidRPr="00FB47D8" w:rsidRDefault="00461BEF" w:rsidP="00E82A19">
      <w:pPr>
        <w:spacing w:line="360" w:lineRule="auto"/>
        <w:rPr>
          <w:rFonts w:ascii="Calibri" w:hAnsi="Calibri" w:cs="Calibri"/>
          <w:sz w:val="24"/>
          <w:szCs w:val="24"/>
        </w:rPr>
      </w:pPr>
      <w:r w:rsidRPr="00936580">
        <w:rPr>
          <w:rFonts w:ascii="Calibri" w:hAnsi="Calibri" w:cs="Calibri"/>
          <w:sz w:val="24"/>
          <w:szCs w:val="24"/>
          <w:highlight w:val="yellow"/>
        </w:rPr>
        <w:t>Natural</w:t>
      </w:r>
      <w:r w:rsidR="009248CB" w:rsidRPr="00936580">
        <w:rPr>
          <w:rFonts w:ascii="Calibri" w:hAnsi="Calibri" w:cs="Calibri"/>
          <w:sz w:val="24"/>
          <w:szCs w:val="24"/>
          <w:highlight w:val="yellow"/>
        </w:rPr>
        <w:t xml:space="preserve"> </w:t>
      </w:r>
      <w:r w:rsidR="00B83015" w:rsidRPr="00936580">
        <w:rPr>
          <w:rFonts w:ascii="Calibri" w:hAnsi="Calibri" w:cs="Calibri"/>
          <w:sz w:val="24"/>
          <w:szCs w:val="24"/>
          <w:highlight w:val="yellow"/>
        </w:rPr>
        <w:t xml:space="preserve">direct and </w:t>
      </w:r>
      <w:r w:rsidR="009248CB" w:rsidRPr="00936580">
        <w:rPr>
          <w:rFonts w:ascii="Calibri" w:hAnsi="Calibri" w:cs="Calibri"/>
          <w:sz w:val="24"/>
          <w:szCs w:val="24"/>
          <w:highlight w:val="yellow"/>
        </w:rPr>
        <w:t>indirect effects</w:t>
      </w:r>
      <w:r w:rsidR="00B83015" w:rsidRPr="00936580">
        <w:rPr>
          <w:rFonts w:ascii="Calibri" w:hAnsi="Calibri" w:cs="Calibri"/>
          <w:sz w:val="24"/>
          <w:szCs w:val="24"/>
          <w:highlight w:val="yellow"/>
        </w:rPr>
        <w:t xml:space="preserve">, as well as </w:t>
      </w:r>
      <w:r w:rsidR="009248CB" w:rsidRPr="00936580">
        <w:rPr>
          <w:rFonts w:ascii="Calibri" w:hAnsi="Calibri" w:cs="Calibri"/>
          <w:sz w:val="24"/>
          <w:szCs w:val="24"/>
          <w:highlight w:val="yellow"/>
        </w:rPr>
        <w:t xml:space="preserve">the proportion of the effects of threat and deprivation mediated by the latent phenotype profiles were estimated using the causal mediation framework outlined by Valeri &amp; </w:t>
      </w:r>
      <w:proofErr w:type="spellStart"/>
      <w:r w:rsidR="009248CB" w:rsidRPr="00936580">
        <w:rPr>
          <w:rFonts w:ascii="Calibri" w:hAnsi="Calibri" w:cs="Calibri"/>
          <w:sz w:val="24"/>
          <w:szCs w:val="24"/>
          <w:highlight w:val="yellow"/>
        </w:rPr>
        <w:t>Vanderweele</w:t>
      </w:r>
      <w:proofErr w:type="spellEnd"/>
      <w:r w:rsidR="009248CB" w:rsidRPr="00936580">
        <w:rPr>
          <w:rFonts w:ascii="Calibri" w:hAnsi="Calibri" w:cs="Calibri"/>
          <w:sz w:val="24"/>
          <w:szCs w:val="24"/>
          <w:highlight w:val="yellow"/>
        </w:rPr>
        <w:t xml:space="preserve"> &lt;CITE&gt;. </w:t>
      </w:r>
      <w:r w:rsidR="00B83015" w:rsidRPr="00936580">
        <w:rPr>
          <w:rFonts w:ascii="Calibri" w:hAnsi="Calibri" w:cs="Calibri"/>
          <w:sz w:val="24"/>
          <w:szCs w:val="24"/>
          <w:highlight w:val="yellow"/>
        </w:rPr>
        <w:t>We allowed for an interaction between the adversity exposures and latent profile mediators, and having ruled it out, simplified the models. Estimation of causal mediation quantities was conducted using imputation of counterfactual quantities and standard errors were bootstrapped.</w:t>
      </w:r>
      <w:r w:rsidR="00B83015" w:rsidRPr="00FB47D8">
        <w:rPr>
          <w:rFonts w:ascii="Calibri" w:hAnsi="Calibri" w:cs="Calibri"/>
          <w:sz w:val="24"/>
          <w:szCs w:val="24"/>
        </w:rPr>
        <w:t xml:space="preserve"> </w:t>
      </w:r>
    </w:p>
    <w:p w14:paraId="6D715054" w14:textId="77777777" w:rsidR="00DC256E" w:rsidRPr="00FB47D8" w:rsidRDefault="00DC256E" w:rsidP="00E82A19">
      <w:pPr>
        <w:spacing w:line="360" w:lineRule="auto"/>
        <w:rPr>
          <w:rFonts w:ascii="Calibri" w:hAnsi="Calibri" w:cs="Calibri"/>
          <w:sz w:val="24"/>
          <w:szCs w:val="24"/>
        </w:rPr>
      </w:pPr>
    </w:p>
    <w:p w14:paraId="70EBD528" w14:textId="1D5C7F12" w:rsidR="00DC256E" w:rsidRPr="00FB47D8" w:rsidRDefault="00DC256E" w:rsidP="00E82A19">
      <w:pPr>
        <w:spacing w:line="360" w:lineRule="auto"/>
        <w:rPr>
          <w:rFonts w:ascii="Calibri" w:hAnsi="Calibri" w:cs="Calibri"/>
          <w:b/>
          <w:bCs/>
          <w:sz w:val="24"/>
          <w:szCs w:val="24"/>
          <w:u w:val="single"/>
        </w:rPr>
      </w:pPr>
      <w:r w:rsidRPr="00FB47D8">
        <w:rPr>
          <w:rFonts w:ascii="Calibri" w:hAnsi="Calibri" w:cs="Calibri"/>
          <w:b/>
          <w:bCs/>
          <w:sz w:val="24"/>
          <w:szCs w:val="24"/>
          <w:u w:val="single"/>
        </w:rPr>
        <w:lastRenderedPageBreak/>
        <w:t>Results</w:t>
      </w:r>
    </w:p>
    <w:p w14:paraId="0083A80A" w14:textId="3A75AC61" w:rsidR="00A737B0" w:rsidRDefault="00A737B0" w:rsidP="00E82A19">
      <w:pPr>
        <w:spacing w:line="360" w:lineRule="auto"/>
        <w:rPr>
          <w:rFonts w:ascii="Calibri" w:hAnsi="Calibri" w:cs="Calibri"/>
          <w:b/>
          <w:bCs/>
          <w:sz w:val="24"/>
          <w:szCs w:val="24"/>
          <w:u w:val="single"/>
        </w:rPr>
      </w:pPr>
    </w:p>
    <w:p w14:paraId="078BA587" w14:textId="77777777" w:rsidR="00821ABC" w:rsidRPr="00FB47D8" w:rsidRDefault="00821ABC" w:rsidP="00821ABC">
      <w:pPr>
        <w:spacing w:line="360" w:lineRule="auto"/>
        <w:rPr>
          <w:rFonts w:ascii="Calibri" w:hAnsi="Calibri" w:cs="Calibri"/>
          <w:sz w:val="24"/>
          <w:szCs w:val="24"/>
        </w:rPr>
      </w:pPr>
      <w:r>
        <w:rPr>
          <w:rFonts w:ascii="Calibri" w:hAnsi="Calibri" w:cs="Calibri"/>
          <w:b/>
          <w:bCs/>
          <w:sz w:val="24"/>
          <w:szCs w:val="24"/>
        </w:rPr>
        <w:t>Table 1: Summary of candidate mediator construct domains and measures</w:t>
      </w:r>
    </w:p>
    <w:tbl>
      <w:tblPr>
        <w:tblW w:w="10000" w:type="dxa"/>
        <w:tblCellMar>
          <w:left w:w="0" w:type="dxa"/>
          <w:right w:w="0" w:type="dxa"/>
        </w:tblCellMar>
        <w:tblLook w:val="04A0" w:firstRow="1" w:lastRow="0" w:firstColumn="1" w:lastColumn="0" w:noHBand="0" w:noVBand="1"/>
      </w:tblPr>
      <w:tblGrid>
        <w:gridCol w:w="1880"/>
        <w:gridCol w:w="2600"/>
        <w:gridCol w:w="1380"/>
        <w:gridCol w:w="4140"/>
      </w:tblGrid>
      <w:tr w:rsidR="00821ABC" w14:paraId="23D2D48D" w14:textId="77777777" w:rsidTr="00821ABC">
        <w:trPr>
          <w:trHeight w:val="340"/>
        </w:trPr>
        <w:tc>
          <w:tcPr>
            <w:tcW w:w="1880" w:type="dxa"/>
            <w:tcBorders>
              <w:top w:val="nil"/>
              <w:left w:val="nil"/>
              <w:bottom w:val="single" w:sz="4" w:space="0" w:color="auto"/>
              <w:right w:val="nil"/>
            </w:tcBorders>
            <w:shd w:val="clear" w:color="auto" w:fill="auto"/>
            <w:tcMar>
              <w:top w:w="15" w:type="dxa"/>
              <w:left w:w="15" w:type="dxa"/>
              <w:bottom w:w="0" w:type="dxa"/>
              <w:right w:w="15" w:type="dxa"/>
            </w:tcMar>
            <w:hideMark/>
          </w:tcPr>
          <w:p w14:paraId="14501455" w14:textId="77777777" w:rsidR="00821ABC" w:rsidRDefault="00821ABC">
            <w:pPr>
              <w:spacing w:after="0" w:line="240" w:lineRule="auto"/>
              <w:rPr>
                <w:rFonts w:ascii="Calibri" w:hAnsi="Calibri" w:cs="Calibri"/>
                <w:b/>
                <w:bCs/>
                <w:color w:val="000000"/>
                <w:sz w:val="24"/>
                <w:szCs w:val="24"/>
              </w:rPr>
            </w:pPr>
            <w:r>
              <w:rPr>
                <w:rFonts w:ascii="Calibri" w:hAnsi="Calibri" w:cs="Calibri"/>
                <w:b/>
                <w:bCs/>
                <w:color w:val="000000"/>
              </w:rPr>
              <w:t>Construct</w:t>
            </w:r>
          </w:p>
        </w:tc>
        <w:tc>
          <w:tcPr>
            <w:tcW w:w="2600" w:type="dxa"/>
            <w:tcBorders>
              <w:top w:val="nil"/>
              <w:left w:val="nil"/>
              <w:bottom w:val="single" w:sz="4" w:space="0" w:color="auto"/>
              <w:right w:val="nil"/>
            </w:tcBorders>
            <w:shd w:val="clear" w:color="auto" w:fill="auto"/>
            <w:tcMar>
              <w:top w:w="15" w:type="dxa"/>
              <w:left w:w="15" w:type="dxa"/>
              <w:bottom w:w="0" w:type="dxa"/>
              <w:right w:w="15" w:type="dxa"/>
            </w:tcMar>
            <w:hideMark/>
          </w:tcPr>
          <w:p w14:paraId="5F28BE65" w14:textId="77777777" w:rsidR="00821ABC" w:rsidRDefault="00821ABC">
            <w:pPr>
              <w:rPr>
                <w:rFonts w:ascii="Calibri" w:hAnsi="Calibri" w:cs="Calibri"/>
                <w:b/>
                <w:bCs/>
                <w:color w:val="000000"/>
              </w:rPr>
            </w:pPr>
            <w:r>
              <w:rPr>
                <w:rFonts w:ascii="Calibri" w:hAnsi="Calibri" w:cs="Calibri"/>
                <w:b/>
                <w:bCs/>
                <w:color w:val="000000"/>
              </w:rPr>
              <w:t>Measurement tool</w:t>
            </w:r>
          </w:p>
        </w:tc>
        <w:tc>
          <w:tcPr>
            <w:tcW w:w="1380" w:type="dxa"/>
            <w:tcBorders>
              <w:top w:val="nil"/>
              <w:left w:val="nil"/>
              <w:bottom w:val="single" w:sz="4" w:space="0" w:color="auto"/>
              <w:right w:val="nil"/>
            </w:tcBorders>
            <w:shd w:val="clear" w:color="auto" w:fill="auto"/>
            <w:tcMar>
              <w:top w:w="15" w:type="dxa"/>
              <w:left w:w="15" w:type="dxa"/>
              <w:bottom w:w="0" w:type="dxa"/>
              <w:right w:w="15" w:type="dxa"/>
            </w:tcMar>
            <w:hideMark/>
          </w:tcPr>
          <w:p w14:paraId="391D0767" w14:textId="77777777" w:rsidR="00821ABC" w:rsidRDefault="00821ABC">
            <w:pPr>
              <w:rPr>
                <w:rFonts w:ascii="Calibri" w:hAnsi="Calibri" w:cs="Calibri"/>
                <w:b/>
                <w:bCs/>
                <w:color w:val="000000"/>
              </w:rPr>
            </w:pPr>
            <w:r>
              <w:rPr>
                <w:rFonts w:ascii="Calibri" w:hAnsi="Calibri" w:cs="Calibri"/>
                <w:b/>
                <w:bCs/>
                <w:color w:val="000000"/>
              </w:rPr>
              <w:t>Tool type</w:t>
            </w:r>
          </w:p>
        </w:tc>
        <w:tc>
          <w:tcPr>
            <w:tcW w:w="4140" w:type="dxa"/>
            <w:tcBorders>
              <w:top w:val="nil"/>
              <w:left w:val="nil"/>
              <w:bottom w:val="single" w:sz="4" w:space="0" w:color="auto"/>
              <w:right w:val="nil"/>
            </w:tcBorders>
            <w:shd w:val="clear" w:color="auto" w:fill="auto"/>
            <w:tcMar>
              <w:top w:w="15" w:type="dxa"/>
              <w:left w:w="15" w:type="dxa"/>
              <w:bottom w:w="0" w:type="dxa"/>
              <w:right w:w="15" w:type="dxa"/>
            </w:tcMar>
            <w:hideMark/>
          </w:tcPr>
          <w:p w14:paraId="29B1C4AC" w14:textId="77777777" w:rsidR="00821ABC" w:rsidRDefault="00821ABC">
            <w:pPr>
              <w:rPr>
                <w:rFonts w:ascii="Calibri" w:hAnsi="Calibri" w:cs="Calibri"/>
                <w:b/>
                <w:bCs/>
                <w:color w:val="000000"/>
              </w:rPr>
            </w:pPr>
            <w:r>
              <w:rPr>
                <w:rFonts w:ascii="Calibri" w:hAnsi="Calibri" w:cs="Calibri"/>
                <w:b/>
                <w:bCs/>
                <w:color w:val="000000"/>
              </w:rPr>
              <w:t>Variable(s)</w:t>
            </w:r>
          </w:p>
        </w:tc>
      </w:tr>
      <w:tr w:rsidR="00821ABC" w14:paraId="18172270" w14:textId="77777777" w:rsidTr="00821ABC">
        <w:trPr>
          <w:trHeight w:val="680"/>
        </w:trPr>
        <w:tc>
          <w:tcPr>
            <w:tcW w:w="1880" w:type="dxa"/>
            <w:tcBorders>
              <w:top w:val="nil"/>
              <w:left w:val="nil"/>
              <w:bottom w:val="nil"/>
              <w:right w:val="nil"/>
            </w:tcBorders>
            <w:shd w:val="clear" w:color="auto" w:fill="auto"/>
            <w:tcMar>
              <w:top w:w="15" w:type="dxa"/>
              <w:left w:w="15" w:type="dxa"/>
              <w:bottom w:w="0" w:type="dxa"/>
              <w:right w:w="15" w:type="dxa"/>
            </w:tcMar>
            <w:hideMark/>
          </w:tcPr>
          <w:p w14:paraId="6A30E56F" w14:textId="77777777" w:rsidR="00821ABC" w:rsidRDefault="00821ABC">
            <w:pPr>
              <w:rPr>
                <w:rFonts w:ascii="Calibri" w:hAnsi="Calibri" w:cs="Calibri"/>
                <w:color w:val="000000"/>
              </w:rPr>
            </w:pPr>
            <w:r>
              <w:rPr>
                <w:rFonts w:ascii="Calibri" w:hAnsi="Calibri" w:cs="Calibri"/>
                <w:color w:val="000000"/>
              </w:rPr>
              <w:t>1. Attention bias to threat (AB)</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70DEC6B6" w14:textId="77777777" w:rsidR="00821ABC" w:rsidRDefault="00821ABC">
            <w:pPr>
              <w:rPr>
                <w:rFonts w:ascii="Calibri" w:hAnsi="Calibri" w:cs="Calibri"/>
                <w:color w:val="000000"/>
              </w:rPr>
            </w:pPr>
            <w:r>
              <w:rPr>
                <w:rFonts w:ascii="Calibri" w:hAnsi="Calibri" w:cs="Calibri"/>
                <w:color w:val="000000"/>
              </w:rPr>
              <w:t>Dot Probe task</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2D7A29D5"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42A391A4" w14:textId="77777777" w:rsidR="00821ABC" w:rsidRDefault="00821ABC">
            <w:pPr>
              <w:rPr>
                <w:rFonts w:ascii="Calibri" w:hAnsi="Calibri" w:cs="Calibri"/>
                <w:color w:val="000000"/>
              </w:rPr>
            </w:pPr>
            <w:r>
              <w:rPr>
                <w:rFonts w:ascii="Calibri" w:hAnsi="Calibri" w:cs="Calibri"/>
                <w:color w:val="000000"/>
              </w:rPr>
              <w:t>• Difference in reaction times on accurate trials with neutral faces vs angry faces</w:t>
            </w:r>
          </w:p>
        </w:tc>
      </w:tr>
      <w:tr w:rsidR="00821ABC" w14:paraId="049DF50E" w14:textId="77777777" w:rsidTr="00821ABC">
        <w:trPr>
          <w:trHeight w:val="3860"/>
        </w:trPr>
        <w:tc>
          <w:tcPr>
            <w:tcW w:w="1880" w:type="dxa"/>
            <w:tcBorders>
              <w:top w:val="nil"/>
              <w:left w:val="nil"/>
              <w:bottom w:val="nil"/>
              <w:right w:val="nil"/>
            </w:tcBorders>
            <w:shd w:val="clear" w:color="auto" w:fill="auto"/>
            <w:tcMar>
              <w:top w:w="15" w:type="dxa"/>
              <w:left w:w="15" w:type="dxa"/>
              <w:bottom w:w="0" w:type="dxa"/>
              <w:right w:w="15" w:type="dxa"/>
            </w:tcMar>
            <w:hideMark/>
          </w:tcPr>
          <w:p w14:paraId="4A90DEB4" w14:textId="77777777" w:rsidR="00821ABC" w:rsidRDefault="00821ABC">
            <w:pPr>
              <w:rPr>
                <w:rFonts w:ascii="Calibri" w:hAnsi="Calibri" w:cs="Calibri"/>
                <w:color w:val="000000"/>
              </w:rPr>
            </w:pPr>
            <w:r>
              <w:rPr>
                <w:rFonts w:ascii="Calibri" w:hAnsi="Calibri" w:cs="Calibri"/>
                <w:color w:val="000000"/>
              </w:rPr>
              <w:t>2. Emotion regulation (ER)</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32BC8C30" w14:textId="77777777" w:rsidR="00821ABC" w:rsidRDefault="00821ABC">
            <w:pPr>
              <w:rPr>
                <w:rFonts w:ascii="Calibri" w:hAnsi="Calibri" w:cs="Calibri"/>
                <w:color w:val="000000"/>
              </w:rPr>
            </w:pPr>
            <w:r>
              <w:rPr>
                <w:rFonts w:ascii="Calibri" w:hAnsi="Calibri" w:cs="Calibri"/>
                <w:color w:val="000000"/>
              </w:rPr>
              <w:t>Emotional Stroop task</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065ADD64"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66EBF189" w14:textId="77777777" w:rsidR="00821ABC" w:rsidRDefault="00821ABC">
            <w:pPr>
              <w:rPr>
                <w:rFonts w:ascii="Calibri" w:hAnsi="Calibri" w:cs="Calibri"/>
                <w:color w:val="000000"/>
              </w:rPr>
            </w:pPr>
            <w:r>
              <w:rPr>
                <w:rFonts w:ascii="Calibri" w:hAnsi="Calibri" w:cs="Calibri"/>
                <w:color w:val="000000"/>
              </w:rPr>
              <w:t>• Adaptation to emotional conflict - the difference in reaction times on incongruent trials that were preceded by congruent trials and reaction times on incongruent trials preceded by incongruent trials</w:t>
            </w:r>
            <w:r>
              <w:rPr>
                <w:rFonts w:ascii="Calibri" w:hAnsi="Calibri" w:cs="Calibri"/>
                <w:color w:val="000000"/>
              </w:rPr>
              <w:br/>
              <w:t>• Difference in reaction time on incongruent vs congruent correct fear trials</w:t>
            </w:r>
            <w:r>
              <w:rPr>
                <w:rFonts w:ascii="Calibri" w:hAnsi="Calibri" w:cs="Calibri"/>
                <w:color w:val="000000"/>
              </w:rPr>
              <w:br/>
              <w:t>• Difference in reaction times on incongruent vs congruent correct happy trials</w:t>
            </w:r>
          </w:p>
        </w:tc>
      </w:tr>
      <w:tr w:rsidR="00821ABC" w14:paraId="3B2EE562" w14:textId="77777777" w:rsidTr="00821ABC">
        <w:trPr>
          <w:trHeight w:val="680"/>
        </w:trPr>
        <w:tc>
          <w:tcPr>
            <w:tcW w:w="1880" w:type="dxa"/>
            <w:tcBorders>
              <w:top w:val="nil"/>
              <w:left w:val="nil"/>
              <w:bottom w:val="nil"/>
              <w:right w:val="nil"/>
            </w:tcBorders>
            <w:shd w:val="clear" w:color="auto" w:fill="auto"/>
            <w:tcMar>
              <w:top w:w="15" w:type="dxa"/>
              <w:left w:w="15" w:type="dxa"/>
              <w:bottom w:w="0" w:type="dxa"/>
              <w:right w:w="15" w:type="dxa"/>
            </w:tcMar>
            <w:hideMark/>
          </w:tcPr>
          <w:p w14:paraId="3ACEDD39" w14:textId="77777777" w:rsidR="00821ABC" w:rsidRDefault="00821ABC">
            <w:pPr>
              <w:rPr>
                <w:rFonts w:ascii="Calibri" w:hAnsi="Calibri" w:cs="Calibri"/>
                <w:color w:val="000000"/>
              </w:rPr>
            </w:pPr>
            <w:r>
              <w:rPr>
                <w:rFonts w:ascii="Calibri" w:hAnsi="Calibri" w:cs="Calibri"/>
                <w:color w:val="000000"/>
              </w:rPr>
              <w:t>3. Theory of mind (</w:t>
            </w:r>
            <w:proofErr w:type="spellStart"/>
            <w:r>
              <w:rPr>
                <w:rFonts w:ascii="Calibri" w:hAnsi="Calibri" w:cs="Calibri"/>
                <w:color w:val="000000"/>
              </w:rPr>
              <w:t>ToM</w:t>
            </w:r>
            <w:proofErr w:type="spellEnd"/>
            <w:r>
              <w:rPr>
                <w:rFonts w:ascii="Calibri" w:hAnsi="Calibri" w:cs="Calibri"/>
                <w:color w:val="000000"/>
              </w:rPr>
              <w:t>)</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2D09A3F5" w14:textId="77777777" w:rsidR="00821ABC" w:rsidRDefault="00821ABC">
            <w:pPr>
              <w:rPr>
                <w:rFonts w:ascii="Calibri" w:hAnsi="Calibri" w:cs="Calibri"/>
                <w:color w:val="000000"/>
              </w:rPr>
            </w:pPr>
            <w:r>
              <w:rPr>
                <w:rFonts w:ascii="Calibri" w:hAnsi="Calibri" w:cs="Calibri"/>
                <w:color w:val="000000"/>
              </w:rPr>
              <w:t>Theory of Mind task</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65E3B615"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6BCD39CA" w14:textId="77777777" w:rsidR="00821ABC" w:rsidRDefault="00821ABC">
            <w:pPr>
              <w:rPr>
                <w:rFonts w:ascii="Calibri" w:hAnsi="Calibri" w:cs="Calibri"/>
                <w:color w:val="000000"/>
              </w:rPr>
            </w:pPr>
            <w:r>
              <w:rPr>
                <w:rFonts w:ascii="Calibri" w:hAnsi="Calibri" w:cs="Calibri"/>
                <w:color w:val="000000"/>
              </w:rPr>
              <w:t>• Accuracy on affective and cognitive trials</w:t>
            </w:r>
          </w:p>
        </w:tc>
      </w:tr>
      <w:tr w:rsidR="00821ABC" w14:paraId="06CB0339" w14:textId="77777777" w:rsidTr="00821ABC">
        <w:trPr>
          <w:trHeight w:val="1020"/>
        </w:trPr>
        <w:tc>
          <w:tcPr>
            <w:tcW w:w="1880" w:type="dxa"/>
            <w:tcBorders>
              <w:top w:val="nil"/>
              <w:left w:val="nil"/>
              <w:bottom w:val="nil"/>
              <w:right w:val="nil"/>
            </w:tcBorders>
            <w:shd w:val="clear" w:color="auto" w:fill="auto"/>
            <w:tcMar>
              <w:top w:w="15" w:type="dxa"/>
              <w:left w:w="15" w:type="dxa"/>
              <w:bottom w:w="0" w:type="dxa"/>
              <w:right w:w="15" w:type="dxa"/>
            </w:tcMar>
            <w:hideMark/>
          </w:tcPr>
          <w:p w14:paraId="1122A2C4" w14:textId="77777777" w:rsidR="00821ABC" w:rsidRDefault="00821ABC">
            <w:pPr>
              <w:rPr>
                <w:rFonts w:ascii="Calibri" w:hAnsi="Calibri" w:cs="Calibri"/>
                <w:color w:val="000000"/>
              </w:rPr>
            </w:pPr>
            <w:r>
              <w:rPr>
                <w:rFonts w:ascii="Calibri" w:hAnsi="Calibri" w:cs="Calibri"/>
                <w:color w:val="000000"/>
              </w:rPr>
              <w:t>4. Fear conditioning (FC)</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78CAFB96" w14:textId="77777777" w:rsidR="00821ABC" w:rsidRDefault="00821ABC">
            <w:pPr>
              <w:rPr>
                <w:rFonts w:ascii="Calibri" w:hAnsi="Calibri" w:cs="Calibri"/>
                <w:color w:val="000000"/>
              </w:rPr>
            </w:pPr>
            <w:r>
              <w:rPr>
                <w:rFonts w:ascii="Calibri" w:hAnsi="Calibri" w:cs="Calibri"/>
                <w:color w:val="000000"/>
              </w:rPr>
              <w:t>Fear conditioning task</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1E22A726" w14:textId="77777777" w:rsidR="00821ABC" w:rsidRDefault="00821ABC">
            <w:pPr>
              <w:rPr>
                <w:rFonts w:ascii="Calibri" w:hAnsi="Calibri" w:cs="Calibri"/>
                <w:color w:val="000000"/>
              </w:rPr>
            </w:pPr>
            <w:r>
              <w:rPr>
                <w:rFonts w:ascii="Calibri" w:hAnsi="Calibri" w:cs="Calibri"/>
                <w:color w:val="000000"/>
              </w:rPr>
              <w:t>Physiologic response</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327327CF" w14:textId="77777777" w:rsidR="00821ABC" w:rsidRDefault="00821ABC">
            <w:pPr>
              <w:rPr>
                <w:rFonts w:ascii="Calibri" w:hAnsi="Calibri" w:cs="Calibri"/>
                <w:color w:val="000000"/>
              </w:rPr>
            </w:pPr>
            <w:r>
              <w:rPr>
                <w:rFonts w:ascii="Calibri" w:hAnsi="Calibri" w:cs="Calibri"/>
                <w:color w:val="000000"/>
              </w:rPr>
              <w:t xml:space="preserve">• Difference between skin conductance response to CS+ and CS- in the first acquisition block of the task, adjusted for baseline conductance </w:t>
            </w:r>
          </w:p>
        </w:tc>
      </w:tr>
      <w:tr w:rsidR="00821ABC" w14:paraId="6325CFC6" w14:textId="77777777" w:rsidTr="00821ABC">
        <w:trPr>
          <w:trHeight w:val="1700"/>
        </w:trPr>
        <w:tc>
          <w:tcPr>
            <w:tcW w:w="1880" w:type="dxa"/>
            <w:tcBorders>
              <w:top w:val="nil"/>
              <w:left w:val="nil"/>
              <w:bottom w:val="nil"/>
              <w:right w:val="nil"/>
            </w:tcBorders>
            <w:shd w:val="clear" w:color="auto" w:fill="auto"/>
            <w:tcMar>
              <w:top w:w="15" w:type="dxa"/>
              <w:left w:w="15" w:type="dxa"/>
              <w:bottom w:w="0" w:type="dxa"/>
              <w:right w:w="15" w:type="dxa"/>
            </w:tcMar>
            <w:hideMark/>
          </w:tcPr>
          <w:p w14:paraId="35475F13" w14:textId="77777777" w:rsidR="00821ABC" w:rsidRDefault="00821ABC">
            <w:pPr>
              <w:rPr>
                <w:rFonts w:ascii="Calibri" w:hAnsi="Calibri" w:cs="Calibri"/>
                <w:color w:val="000000"/>
              </w:rPr>
            </w:pPr>
            <w:r>
              <w:rPr>
                <w:rFonts w:ascii="Calibri" w:hAnsi="Calibri" w:cs="Calibri"/>
                <w:color w:val="000000"/>
              </w:rPr>
              <w:t>5. Pubertal timing (PT)</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0E172CAE" w14:textId="77777777" w:rsidR="00821ABC" w:rsidRDefault="00821ABC">
            <w:pPr>
              <w:rPr>
                <w:rFonts w:ascii="Calibri" w:hAnsi="Calibri" w:cs="Calibri"/>
                <w:color w:val="000000"/>
              </w:rPr>
            </w:pPr>
            <w:r>
              <w:rPr>
                <w:rFonts w:ascii="Calibri" w:hAnsi="Calibri" w:cs="Calibri"/>
                <w:color w:val="000000"/>
              </w:rPr>
              <w:t>Tanner staging</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2A19BB58" w14:textId="77777777" w:rsidR="00821ABC" w:rsidRDefault="00821ABC">
            <w:pPr>
              <w:rPr>
                <w:rFonts w:ascii="Calibri" w:hAnsi="Calibri" w:cs="Calibri"/>
                <w:color w:val="000000"/>
              </w:rPr>
            </w:pPr>
            <w:r>
              <w:rPr>
                <w:rFonts w:ascii="Calibri" w:hAnsi="Calibri" w:cs="Calibri"/>
                <w:color w:val="000000"/>
              </w:rPr>
              <w:t>Self-report</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3834F849" w14:textId="77777777" w:rsidR="00821ABC" w:rsidRDefault="00821ABC">
            <w:pPr>
              <w:rPr>
                <w:rFonts w:ascii="Calibri" w:hAnsi="Calibri" w:cs="Calibri"/>
                <w:color w:val="000000"/>
              </w:rPr>
            </w:pPr>
            <w:r>
              <w:rPr>
                <w:rFonts w:ascii="Calibri" w:hAnsi="Calibri" w:cs="Calibri"/>
                <w:color w:val="000000"/>
              </w:rPr>
              <w:t>• Mean of testes/scrotum/penis &amp; pubic hair development stages for biologically male participants and mean of breast and pubic hair development stages for biologically female participants</w:t>
            </w:r>
          </w:p>
        </w:tc>
      </w:tr>
      <w:tr w:rsidR="00821ABC" w14:paraId="0D214EE2" w14:textId="77777777" w:rsidTr="00821ABC">
        <w:trPr>
          <w:trHeight w:val="680"/>
        </w:trPr>
        <w:tc>
          <w:tcPr>
            <w:tcW w:w="1880" w:type="dxa"/>
            <w:tcBorders>
              <w:top w:val="nil"/>
              <w:left w:val="nil"/>
              <w:bottom w:val="nil"/>
              <w:right w:val="nil"/>
            </w:tcBorders>
            <w:shd w:val="clear" w:color="auto" w:fill="auto"/>
            <w:tcMar>
              <w:top w:w="15" w:type="dxa"/>
              <w:left w:w="15" w:type="dxa"/>
              <w:bottom w:w="0" w:type="dxa"/>
              <w:right w:w="15" w:type="dxa"/>
            </w:tcMar>
            <w:hideMark/>
          </w:tcPr>
          <w:p w14:paraId="3CA0D52B" w14:textId="77777777" w:rsidR="00821ABC" w:rsidRDefault="00821ABC">
            <w:pPr>
              <w:rPr>
                <w:rFonts w:ascii="Calibri" w:hAnsi="Calibri" w:cs="Calibri"/>
                <w:color w:val="000000"/>
              </w:rPr>
            </w:pPr>
            <w:r>
              <w:rPr>
                <w:rFonts w:ascii="Calibri" w:hAnsi="Calibri" w:cs="Calibri"/>
                <w:color w:val="000000"/>
              </w:rPr>
              <w:t>6. Language ability (AL)</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011E9E3A" w14:textId="77777777" w:rsidR="00821ABC" w:rsidRDefault="00821ABC">
            <w:pPr>
              <w:rPr>
                <w:rFonts w:ascii="Calibri" w:hAnsi="Calibri" w:cs="Calibri"/>
                <w:color w:val="000000"/>
              </w:rPr>
            </w:pPr>
            <w:r>
              <w:rPr>
                <w:rFonts w:ascii="Calibri" w:hAnsi="Calibri" w:cs="Calibri"/>
                <w:color w:val="000000"/>
              </w:rPr>
              <w:t>Wechsler Abbreviated Scale of Intelligence</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0EA8D51D"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7E047C4B" w14:textId="77777777" w:rsidR="00821ABC" w:rsidRDefault="00821ABC">
            <w:pPr>
              <w:rPr>
                <w:rFonts w:ascii="Calibri" w:hAnsi="Calibri" w:cs="Calibri"/>
                <w:color w:val="000000"/>
              </w:rPr>
            </w:pPr>
            <w:r>
              <w:rPr>
                <w:rFonts w:ascii="Calibri" w:hAnsi="Calibri" w:cs="Calibri"/>
                <w:color w:val="000000"/>
              </w:rPr>
              <w:t>• T-score on the vocabulary subset</w:t>
            </w:r>
          </w:p>
        </w:tc>
      </w:tr>
      <w:tr w:rsidR="00821ABC" w14:paraId="1A90A6D2" w14:textId="77777777" w:rsidTr="00821ABC">
        <w:trPr>
          <w:trHeight w:val="680"/>
        </w:trPr>
        <w:tc>
          <w:tcPr>
            <w:tcW w:w="1880" w:type="dxa"/>
            <w:tcBorders>
              <w:top w:val="nil"/>
              <w:left w:val="nil"/>
              <w:bottom w:val="nil"/>
              <w:right w:val="nil"/>
            </w:tcBorders>
            <w:shd w:val="clear" w:color="auto" w:fill="auto"/>
            <w:tcMar>
              <w:top w:w="15" w:type="dxa"/>
              <w:left w:w="15" w:type="dxa"/>
              <w:bottom w:w="0" w:type="dxa"/>
              <w:right w:w="15" w:type="dxa"/>
            </w:tcMar>
            <w:hideMark/>
          </w:tcPr>
          <w:p w14:paraId="51DBF91C" w14:textId="77777777" w:rsidR="00821ABC" w:rsidRDefault="00821ABC">
            <w:pPr>
              <w:rPr>
                <w:rFonts w:ascii="Calibri" w:hAnsi="Calibri" w:cs="Calibri"/>
                <w:color w:val="000000"/>
              </w:rPr>
            </w:pPr>
            <w:r>
              <w:rPr>
                <w:rFonts w:ascii="Calibri" w:hAnsi="Calibri" w:cs="Calibri"/>
                <w:color w:val="000000"/>
              </w:rPr>
              <w:t>7. Reasoning ability (AR)</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7EF08C2C" w14:textId="77777777" w:rsidR="00821ABC" w:rsidRDefault="00821ABC">
            <w:pPr>
              <w:rPr>
                <w:rFonts w:ascii="Helvetica Neue" w:hAnsi="Helvetica Neue" w:cs="Calibri"/>
                <w:color w:val="000000"/>
              </w:rPr>
            </w:pPr>
            <w:r>
              <w:rPr>
                <w:rFonts w:ascii="Helvetica Neue" w:hAnsi="Helvetica Neue" w:cs="Calibri"/>
                <w:color w:val="000000"/>
              </w:rPr>
              <w:t>Wechsler Abbreviated Scale of Intelligence</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6D3E6E7D" w14:textId="77777777" w:rsidR="00821ABC" w:rsidRDefault="00821ABC">
            <w:pPr>
              <w:rPr>
                <w:rFonts w:ascii="Helvetica Neue" w:hAnsi="Helvetica Neue" w:cs="Calibri"/>
                <w:color w:val="000000"/>
              </w:rPr>
            </w:pPr>
            <w:r>
              <w:rPr>
                <w:rFonts w:ascii="Helvetica Neue" w:hAnsi="Helvetica Neue"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0F21B104" w14:textId="77777777" w:rsidR="00821ABC" w:rsidRDefault="00821ABC">
            <w:pPr>
              <w:rPr>
                <w:rFonts w:ascii="Calibri" w:hAnsi="Calibri" w:cs="Calibri"/>
                <w:color w:val="000000"/>
                <w:sz w:val="24"/>
                <w:szCs w:val="24"/>
              </w:rPr>
            </w:pPr>
            <w:r>
              <w:rPr>
                <w:rFonts w:ascii="Calibri" w:hAnsi="Calibri" w:cs="Calibri"/>
                <w:color w:val="000000"/>
              </w:rPr>
              <w:t>• T-score on the matrix reasoning subset</w:t>
            </w:r>
          </w:p>
        </w:tc>
      </w:tr>
      <w:tr w:rsidR="00821ABC" w14:paraId="58BE323F" w14:textId="77777777" w:rsidTr="00821ABC">
        <w:trPr>
          <w:trHeight w:val="1360"/>
        </w:trPr>
        <w:tc>
          <w:tcPr>
            <w:tcW w:w="1880" w:type="dxa"/>
            <w:vMerge w:val="restart"/>
            <w:tcBorders>
              <w:top w:val="nil"/>
              <w:left w:val="nil"/>
              <w:bottom w:val="nil"/>
              <w:right w:val="nil"/>
            </w:tcBorders>
            <w:shd w:val="clear" w:color="auto" w:fill="auto"/>
            <w:tcMar>
              <w:top w:w="15" w:type="dxa"/>
              <w:left w:w="15" w:type="dxa"/>
              <w:bottom w:w="0" w:type="dxa"/>
              <w:right w:w="15" w:type="dxa"/>
            </w:tcMar>
            <w:hideMark/>
          </w:tcPr>
          <w:p w14:paraId="3A5C7AE4" w14:textId="77777777" w:rsidR="00821ABC" w:rsidRDefault="00821ABC">
            <w:pPr>
              <w:rPr>
                <w:rFonts w:ascii="Calibri" w:hAnsi="Calibri" w:cs="Calibri"/>
                <w:color w:val="000000"/>
              </w:rPr>
            </w:pPr>
            <w:r>
              <w:rPr>
                <w:rFonts w:ascii="Calibri" w:hAnsi="Calibri" w:cs="Calibri"/>
                <w:color w:val="000000"/>
              </w:rPr>
              <w:lastRenderedPageBreak/>
              <w:t>8. Inhibitory control (IC)</w:t>
            </w:r>
          </w:p>
        </w:tc>
        <w:tc>
          <w:tcPr>
            <w:tcW w:w="2600" w:type="dxa"/>
            <w:tcBorders>
              <w:top w:val="nil"/>
              <w:left w:val="nil"/>
              <w:bottom w:val="nil"/>
              <w:right w:val="nil"/>
            </w:tcBorders>
            <w:shd w:val="clear" w:color="auto" w:fill="auto"/>
            <w:tcMar>
              <w:top w:w="15" w:type="dxa"/>
              <w:left w:w="15" w:type="dxa"/>
              <w:bottom w:w="0" w:type="dxa"/>
              <w:right w:w="15" w:type="dxa"/>
            </w:tcMar>
            <w:hideMark/>
          </w:tcPr>
          <w:p w14:paraId="08E343F0" w14:textId="77777777" w:rsidR="00821ABC" w:rsidRDefault="00821ABC">
            <w:pPr>
              <w:rPr>
                <w:rFonts w:ascii="Calibri" w:hAnsi="Calibri" w:cs="Calibri"/>
                <w:color w:val="000000"/>
              </w:rPr>
            </w:pPr>
            <w:r>
              <w:rPr>
                <w:rFonts w:ascii="Calibri" w:hAnsi="Calibri" w:cs="Calibri"/>
                <w:color w:val="000000"/>
              </w:rPr>
              <w:t>NEPSY Circles and Squares task</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11B21021"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77216F77" w14:textId="77777777" w:rsidR="00821ABC" w:rsidRDefault="00821ABC">
            <w:pPr>
              <w:rPr>
                <w:rFonts w:ascii="Calibri" w:hAnsi="Calibri" w:cs="Calibri"/>
                <w:color w:val="000000"/>
              </w:rPr>
            </w:pPr>
            <w:r>
              <w:rPr>
                <w:rFonts w:ascii="Calibri" w:hAnsi="Calibri" w:cs="Calibri"/>
                <w:color w:val="000000"/>
              </w:rPr>
              <w:t>• Reaction times relative to baseline on "inhibit" tasks</w:t>
            </w:r>
            <w:r>
              <w:rPr>
                <w:rFonts w:ascii="Calibri" w:hAnsi="Calibri" w:cs="Calibri"/>
                <w:color w:val="000000"/>
              </w:rPr>
              <w:br/>
              <w:t>• Reaction times relative to baseline on "switch" tasks</w:t>
            </w:r>
          </w:p>
        </w:tc>
      </w:tr>
      <w:tr w:rsidR="00821ABC" w14:paraId="6F20D33F" w14:textId="77777777" w:rsidTr="00821ABC">
        <w:trPr>
          <w:trHeight w:val="680"/>
        </w:trPr>
        <w:tc>
          <w:tcPr>
            <w:tcW w:w="0" w:type="auto"/>
            <w:vMerge/>
            <w:tcBorders>
              <w:top w:val="nil"/>
              <w:left w:val="nil"/>
              <w:bottom w:val="nil"/>
              <w:right w:val="nil"/>
            </w:tcBorders>
            <w:vAlign w:val="center"/>
            <w:hideMark/>
          </w:tcPr>
          <w:p w14:paraId="139A8B35" w14:textId="77777777" w:rsidR="00821ABC" w:rsidRDefault="00821ABC">
            <w:pPr>
              <w:rPr>
                <w:rFonts w:ascii="Calibri" w:hAnsi="Calibri" w:cs="Calibri"/>
                <w:color w:val="000000"/>
                <w:sz w:val="24"/>
                <w:szCs w:val="24"/>
              </w:rPr>
            </w:pPr>
          </w:p>
        </w:tc>
        <w:tc>
          <w:tcPr>
            <w:tcW w:w="2600" w:type="dxa"/>
            <w:tcBorders>
              <w:top w:val="nil"/>
              <w:left w:val="nil"/>
              <w:bottom w:val="nil"/>
              <w:right w:val="nil"/>
            </w:tcBorders>
            <w:shd w:val="clear" w:color="auto" w:fill="auto"/>
            <w:tcMar>
              <w:top w:w="15" w:type="dxa"/>
              <w:left w:w="15" w:type="dxa"/>
              <w:bottom w:w="0" w:type="dxa"/>
              <w:right w:w="15" w:type="dxa"/>
            </w:tcMar>
            <w:hideMark/>
          </w:tcPr>
          <w:p w14:paraId="2ADB2E72" w14:textId="77777777" w:rsidR="00821ABC" w:rsidRDefault="00821ABC">
            <w:pPr>
              <w:rPr>
                <w:rFonts w:ascii="Calibri" w:hAnsi="Calibri" w:cs="Calibri"/>
                <w:color w:val="000000"/>
              </w:rPr>
            </w:pPr>
            <w:r>
              <w:rPr>
                <w:rFonts w:ascii="Calibri" w:hAnsi="Calibri" w:cs="Calibri"/>
                <w:color w:val="000000"/>
              </w:rPr>
              <w:t>Stroop task</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35919C1D"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2E1ED010" w14:textId="77777777" w:rsidR="00821ABC" w:rsidRDefault="00821ABC">
            <w:pPr>
              <w:rPr>
                <w:rFonts w:ascii="Calibri" w:hAnsi="Calibri" w:cs="Calibri"/>
                <w:color w:val="000000"/>
              </w:rPr>
            </w:pPr>
            <w:r>
              <w:rPr>
                <w:rFonts w:ascii="Calibri" w:hAnsi="Calibri" w:cs="Calibri"/>
                <w:color w:val="000000"/>
              </w:rPr>
              <w:t>• Accuracy on all trials</w:t>
            </w:r>
          </w:p>
        </w:tc>
      </w:tr>
      <w:tr w:rsidR="00821ABC" w14:paraId="7B820285" w14:textId="77777777" w:rsidTr="00821ABC">
        <w:trPr>
          <w:trHeight w:val="1360"/>
        </w:trPr>
        <w:tc>
          <w:tcPr>
            <w:tcW w:w="0" w:type="auto"/>
            <w:vMerge/>
            <w:tcBorders>
              <w:top w:val="nil"/>
              <w:left w:val="nil"/>
              <w:bottom w:val="nil"/>
              <w:right w:val="nil"/>
            </w:tcBorders>
            <w:vAlign w:val="center"/>
            <w:hideMark/>
          </w:tcPr>
          <w:p w14:paraId="59550522" w14:textId="77777777" w:rsidR="00821ABC" w:rsidRDefault="00821ABC">
            <w:pPr>
              <w:rPr>
                <w:rFonts w:ascii="Calibri" w:hAnsi="Calibri" w:cs="Calibri"/>
                <w:color w:val="000000"/>
                <w:sz w:val="24"/>
                <w:szCs w:val="24"/>
              </w:rPr>
            </w:pPr>
          </w:p>
        </w:tc>
        <w:tc>
          <w:tcPr>
            <w:tcW w:w="2600" w:type="dxa"/>
            <w:tcBorders>
              <w:top w:val="nil"/>
              <w:left w:val="nil"/>
              <w:bottom w:val="nil"/>
              <w:right w:val="nil"/>
            </w:tcBorders>
            <w:shd w:val="clear" w:color="auto" w:fill="auto"/>
            <w:tcMar>
              <w:top w:w="15" w:type="dxa"/>
              <w:left w:w="15" w:type="dxa"/>
              <w:bottom w:w="0" w:type="dxa"/>
              <w:right w:w="15" w:type="dxa"/>
            </w:tcMar>
            <w:hideMark/>
          </w:tcPr>
          <w:p w14:paraId="2DB2BCE6" w14:textId="77777777" w:rsidR="00821ABC" w:rsidRDefault="00821ABC">
            <w:pPr>
              <w:rPr>
                <w:rFonts w:ascii="Calibri" w:hAnsi="Calibri" w:cs="Calibri"/>
                <w:color w:val="000000"/>
              </w:rPr>
            </w:pPr>
            <w:r>
              <w:rPr>
                <w:rFonts w:ascii="Calibri" w:hAnsi="Calibri" w:cs="Calibri"/>
                <w:color w:val="000000"/>
              </w:rPr>
              <w:t>Go/No-Go task</w:t>
            </w:r>
          </w:p>
        </w:tc>
        <w:tc>
          <w:tcPr>
            <w:tcW w:w="1380" w:type="dxa"/>
            <w:tcBorders>
              <w:top w:val="nil"/>
              <w:left w:val="nil"/>
              <w:bottom w:val="nil"/>
              <w:right w:val="nil"/>
            </w:tcBorders>
            <w:shd w:val="clear" w:color="auto" w:fill="auto"/>
            <w:tcMar>
              <w:top w:w="15" w:type="dxa"/>
              <w:left w:w="15" w:type="dxa"/>
              <w:bottom w:w="0" w:type="dxa"/>
              <w:right w:w="15" w:type="dxa"/>
            </w:tcMar>
            <w:hideMark/>
          </w:tcPr>
          <w:p w14:paraId="3D058B56"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tcMar>
              <w:top w:w="15" w:type="dxa"/>
              <w:left w:w="15" w:type="dxa"/>
              <w:bottom w:w="0" w:type="dxa"/>
              <w:right w:w="15" w:type="dxa"/>
            </w:tcMar>
            <w:hideMark/>
          </w:tcPr>
          <w:p w14:paraId="18BF3C89" w14:textId="77777777" w:rsidR="00821ABC" w:rsidRDefault="00821ABC">
            <w:pPr>
              <w:rPr>
                <w:rFonts w:ascii="Calibri" w:hAnsi="Calibri" w:cs="Calibri"/>
                <w:color w:val="000000"/>
              </w:rPr>
            </w:pPr>
            <w:r>
              <w:rPr>
                <w:rFonts w:ascii="Calibri" w:hAnsi="Calibri" w:cs="Calibri"/>
                <w:color w:val="000000"/>
              </w:rPr>
              <w:t>• Accuracy on "Go" trials</w:t>
            </w:r>
            <w:r>
              <w:rPr>
                <w:rFonts w:ascii="Calibri" w:hAnsi="Calibri" w:cs="Calibri"/>
                <w:color w:val="000000"/>
              </w:rPr>
              <w:br/>
              <w:t>• Accuracy on "No-Go" trials</w:t>
            </w:r>
            <w:r>
              <w:rPr>
                <w:rFonts w:ascii="Calibri" w:hAnsi="Calibri" w:cs="Calibri"/>
                <w:color w:val="000000"/>
              </w:rPr>
              <w:br/>
              <w:t>• Reaction time on accurate "Go" trials</w:t>
            </w:r>
            <w:r>
              <w:rPr>
                <w:rFonts w:ascii="Calibri" w:hAnsi="Calibri" w:cs="Calibri"/>
                <w:color w:val="000000"/>
              </w:rPr>
              <w:br/>
              <w:t>• Reaction time on inaccurate "No-Go" trials</w:t>
            </w:r>
          </w:p>
        </w:tc>
      </w:tr>
      <w:tr w:rsidR="00821ABC" w14:paraId="5002C780" w14:textId="77777777" w:rsidTr="00821ABC">
        <w:trPr>
          <w:trHeight w:val="1360"/>
        </w:trPr>
        <w:tc>
          <w:tcPr>
            <w:tcW w:w="1880" w:type="dxa"/>
            <w:tcBorders>
              <w:top w:val="nil"/>
              <w:left w:val="nil"/>
              <w:bottom w:val="single" w:sz="4" w:space="0" w:color="auto"/>
              <w:right w:val="nil"/>
            </w:tcBorders>
            <w:shd w:val="clear" w:color="auto" w:fill="auto"/>
            <w:tcMar>
              <w:top w:w="15" w:type="dxa"/>
              <w:left w:w="15" w:type="dxa"/>
              <w:bottom w:w="0" w:type="dxa"/>
              <w:right w:w="15" w:type="dxa"/>
            </w:tcMar>
            <w:hideMark/>
          </w:tcPr>
          <w:p w14:paraId="45A7B5B5" w14:textId="77777777" w:rsidR="00821ABC" w:rsidRDefault="00821ABC">
            <w:pPr>
              <w:rPr>
                <w:rFonts w:ascii="Calibri" w:hAnsi="Calibri" w:cs="Calibri"/>
                <w:color w:val="000000"/>
              </w:rPr>
            </w:pPr>
            <w:r>
              <w:rPr>
                <w:rFonts w:ascii="Calibri" w:hAnsi="Calibri" w:cs="Calibri"/>
                <w:color w:val="000000"/>
              </w:rPr>
              <w:t>9. Reward sensitivity (RS)</w:t>
            </w:r>
          </w:p>
        </w:tc>
        <w:tc>
          <w:tcPr>
            <w:tcW w:w="2600" w:type="dxa"/>
            <w:tcBorders>
              <w:top w:val="nil"/>
              <w:left w:val="nil"/>
              <w:bottom w:val="single" w:sz="4" w:space="0" w:color="auto"/>
              <w:right w:val="nil"/>
            </w:tcBorders>
            <w:shd w:val="clear" w:color="auto" w:fill="auto"/>
            <w:tcMar>
              <w:top w:w="15" w:type="dxa"/>
              <w:left w:w="15" w:type="dxa"/>
              <w:bottom w:w="0" w:type="dxa"/>
              <w:right w:w="15" w:type="dxa"/>
            </w:tcMar>
            <w:hideMark/>
          </w:tcPr>
          <w:p w14:paraId="4DF2B14D" w14:textId="77777777" w:rsidR="00821ABC" w:rsidRDefault="00821ABC">
            <w:pPr>
              <w:rPr>
                <w:rFonts w:ascii="Calibri" w:hAnsi="Calibri" w:cs="Calibri"/>
                <w:color w:val="000000"/>
              </w:rPr>
            </w:pPr>
            <w:r>
              <w:rPr>
                <w:rFonts w:ascii="Calibri" w:hAnsi="Calibri" w:cs="Calibri"/>
                <w:color w:val="000000"/>
              </w:rPr>
              <w:t>Pinata task</w:t>
            </w:r>
          </w:p>
        </w:tc>
        <w:tc>
          <w:tcPr>
            <w:tcW w:w="1380" w:type="dxa"/>
            <w:tcBorders>
              <w:top w:val="nil"/>
              <w:left w:val="nil"/>
              <w:bottom w:val="single" w:sz="4" w:space="0" w:color="auto"/>
              <w:right w:val="nil"/>
            </w:tcBorders>
            <w:shd w:val="clear" w:color="auto" w:fill="auto"/>
            <w:tcMar>
              <w:top w:w="15" w:type="dxa"/>
              <w:left w:w="15" w:type="dxa"/>
              <w:bottom w:w="0" w:type="dxa"/>
              <w:right w:w="15" w:type="dxa"/>
            </w:tcMar>
            <w:hideMark/>
          </w:tcPr>
          <w:p w14:paraId="7288BAED" w14:textId="77777777" w:rsidR="00821ABC" w:rsidRDefault="00821ABC">
            <w:pPr>
              <w:rPr>
                <w:rFonts w:ascii="Calibri" w:hAnsi="Calibri" w:cs="Calibri"/>
                <w:color w:val="000000"/>
              </w:rPr>
            </w:pPr>
            <w:r>
              <w:rPr>
                <w:rFonts w:ascii="Calibri" w:hAnsi="Calibri" w:cs="Calibri"/>
                <w:color w:val="000000"/>
              </w:rPr>
              <w:t>Behavioral task</w:t>
            </w:r>
          </w:p>
        </w:tc>
        <w:tc>
          <w:tcPr>
            <w:tcW w:w="4140" w:type="dxa"/>
            <w:tcBorders>
              <w:top w:val="nil"/>
              <w:left w:val="nil"/>
              <w:bottom w:val="single" w:sz="4" w:space="0" w:color="auto"/>
              <w:right w:val="nil"/>
            </w:tcBorders>
            <w:shd w:val="clear" w:color="auto" w:fill="auto"/>
            <w:tcMar>
              <w:top w:w="15" w:type="dxa"/>
              <w:left w:w="15" w:type="dxa"/>
              <w:bottom w:w="0" w:type="dxa"/>
              <w:right w:w="15" w:type="dxa"/>
            </w:tcMar>
            <w:hideMark/>
          </w:tcPr>
          <w:p w14:paraId="0277FBC8" w14:textId="77777777" w:rsidR="00821ABC" w:rsidRDefault="00821ABC">
            <w:pPr>
              <w:rPr>
                <w:rFonts w:ascii="Calibri" w:hAnsi="Calibri" w:cs="Calibri"/>
                <w:color w:val="000000"/>
              </w:rPr>
            </w:pPr>
            <w:r>
              <w:rPr>
                <w:rFonts w:ascii="Calibri" w:hAnsi="Calibri" w:cs="Calibri"/>
                <w:color w:val="000000"/>
              </w:rPr>
              <w:t>• Difference in reaction time on high-reward (4-start) trials and reaction time on no-reward (0-star) trials</w:t>
            </w:r>
            <w:r>
              <w:rPr>
                <w:rFonts w:ascii="Calibri" w:hAnsi="Calibri" w:cs="Calibri"/>
                <w:color w:val="000000"/>
              </w:rPr>
              <w:br/>
              <w:t>• Overall performance (total stars earned)</w:t>
            </w:r>
          </w:p>
        </w:tc>
      </w:tr>
    </w:tbl>
    <w:p w14:paraId="7AB5796A" w14:textId="28A210DF" w:rsidR="00821ABC" w:rsidRDefault="00821ABC">
      <w:pPr>
        <w:spacing w:after="0" w:line="240" w:lineRule="auto"/>
        <w:rPr>
          <w:rFonts w:ascii="Calibri" w:hAnsi="Calibri" w:cs="Calibri"/>
          <w:b/>
          <w:bCs/>
          <w:sz w:val="24"/>
          <w:szCs w:val="24"/>
          <w:u w:val="single"/>
        </w:rPr>
      </w:pPr>
      <w:r>
        <w:rPr>
          <w:rFonts w:ascii="Calibri" w:hAnsi="Calibri" w:cs="Calibri"/>
          <w:b/>
          <w:bCs/>
          <w:sz w:val="24"/>
          <w:szCs w:val="24"/>
          <w:u w:val="single"/>
        </w:rPr>
        <w:t xml:space="preserve"> </w:t>
      </w:r>
    </w:p>
    <w:p w14:paraId="6C6DFF0B" w14:textId="52DE4680" w:rsidR="00821ABC" w:rsidRDefault="00821ABC">
      <w:pPr>
        <w:spacing w:after="0" w:line="240" w:lineRule="auto"/>
        <w:rPr>
          <w:rFonts w:ascii="Calibri" w:hAnsi="Calibri" w:cs="Calibri"/>
          <w:b/>
          <w:bCs/>
          <w:sz w:val="24"/>
          <w:szCs w:val="24"/>
          <w:u w:val="single"/>
        </w:rPr>
      </w:pPr>
    </w:p>
    <w:p w14:paraId="34437FEE" w14:textId="6E7C87E6" w:rsidR="00821ABC" w:rsidRPr="00821ABC" w:rsidRDefault="00821ABC">
      <w:pPr>
        <w:spacing w:after="0" w:line="240" w:lineRule="auto"/>
        <w:rPr>
          <w:rFonts w:ascii="Calibri" w:hAnsi="Calibri" w:cs="Calibri"/>
          <w:b/>
          <w:bCs/>
          <w:sz w:val="24"/>
          <w:szCs w:val="24"/>
        </w:rPr>
      </w:pPr>
      <w:r w:rsidRPr="00821ABC">
        <w:rPr>
          <w:rFonts w:ascii="Calibri" w:hAnsi="Calibri" w:cs="Calibri"/>
          <w:b/>
          <w:bCs/>
          <w:sz w:val="24"/>
          <w:szCs w:val="24"/>
        </w:rPr>
        <w:t>Figure 1:</w:t>
      </w:r>
      <w:r>
        <w:rPr>
          <w:rFonts w:ascii="Calibri" w:hAnsi="Calibri" w:cs="Calibri"/>
          <w:b/>
          <w:bCs/>
          <w:sz w:val="24"/>
          <w:szCs w:val="24"/>
        </w:rPr>
        <w:t xml:space="preserve"> Latent mediator profiles</w:t>
      </w:r>
    </w:p>
    <w:p w14:paraId="583CB047" w14:textId="77777777" w:rsidR="00821ABC" w:rsidRDefault="00821ABC">
      <w:pPr>
        <w:spacing w:after="0" w:line="240" w:lineRule="auto"/>
        <w:rPr>
          <w:rFonts w:ascii="Calibri" w:hAnsi="Calibri" w:cs="Calibri"/>
          <w:b/>
          <w:bCs/>
          <w:sz w:val="24"/>
          <w:szCs w:val="24"/>
          <w:u w:val="single"/>
        </w:rPr>
      </w:pPr>
    </w:p>
    <w:p w14:paraId="6AC8F4BE" w14:textId="77777777" w:rsidR="00821ABC" w:rsidRDefault="00821ABC">
      <w:pPr>
        <w:spacing w:after="0" w:line="240" w:lineRule="auto"/>
        <w:rPr>
          <w:rFonts w:ascii="Calibri" w:hAnsi="Calibri" w:cs="Calibri"/>
          <w:b/>
          <w:bCs/>
          <w:sz w:val="24"/>
          <w:szCs w:val="24"/>
          <w:u w:val="single"/>
        </w:rPr>
      </w:pPr>
      <w:r>
        <w:rPr>
          <w:noProof/>
        </w:rPr>
        <w:lastRenderedPageBreak/>
        <w:drawing>
          <wp:inline distT="0" distB="0" distL="0" distR="0" wp14:anchorId="05905E83" wp14:editId="468648C2">
            <wp:extent cx="5943600" cy="4423410"/>
            <wp:effectExtent l="0" t="0" r="0" b="0"/>
            <wp:docPr id="4" name="Picture 3" descr="Chart, line chart&#10;&#10;Description automatically generated">
              <a:extLst xmlns:a="http://schemas.openxmlformats.org/drawingml/2006/main">
                <a:ext uri="{FF2B5EF4-FFF2-40B4-BE49-F238E27FC236}">
                  <a16:creationId xmlns:a16="http://schemas.microsoft.com/office/drawing/2014/main" id="{F7556C6D-6C23-0648-B639-C23AC6138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F7556C6D-6C23-0648-B639-C23AC61385A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14:paraId="5E9847F4" w14:textId="77777777" w:rsidR="00821ABC" w:rsidRDefault="00821ABC">
      <w:pPr>
        <w:spacing w:after="0" w:line="240" w:lineRule="auto"/>
        <w:rPr>
          <w:rFonts w:ascii="Calibri" w:hAnsi="Calibri" w:cs="Calibri"/>
          <w:b/>
          <w:bCs/>
          <w:sz w:val="24"/>
          <w:szCs w:val="24"/>
          <w:u w:val="single"/>
        </w:rPr>
      </w:pPr>
    </w:p>
    <w:p w14:paraId="16E887E1" w14:textId="77777777" w:rsidR="00821ABC" w:rsidRDefault="00821ABC">
      <w:pPr>
        <w:spacing w:after="0" w:line="240" w:lineRule="auto"/>
        <w:rPr>
          <w:rFonts w:ascii="Calibri" w:hAnsi="Calibri" w:cs="Calibri"/>
          <w:b/>
          <w:bCs/>
          <w:sz w:val="24"/>
          <w:szCs w:val="24"/>
        </w:rPr>
      </w:pPr>
    </w:p>
    <w:p w14:paraId="3EE5FB1A" w14:textId="77777777" w:rsidR="00821ABC" w:rsidRDefault="00821ABC">
      <w:pPr>
        <w:spacing w:after="0" w:line="240" w:lineRule="auto"/>
        <w:rPr>
          <w:rFonts w:ascii="Calibri" w:hAnsi="Calibri" w:cs="Calibri"/>
          <w:b/>
          <w:bCs/>
          <w:sz w:val="24"/>
          <w:szCs w:val="24"/>
        </w:rPr>
      </w:pPr>
    </w:p>
    <w:p w14:paraId="5F59AD54" w14:textId="77777777" w:rsidR="00821ABC" w:rsidRDefault="00821ABC">
      <w:pPr>
        <w:spacing w:after="0" w:line="240" w:lineRule="auto"/>
        <w:rPr>
          <w:rFonts w:ascii="Calibri" w:hAnsi="Calibri" w:cs="Calibri"/>
          <w:b/>
          <w:bCs/>
          <w:sz w:val="24"/>
          <w:szCs w:val="24"/>
        </w:rPr>
      </w:pPr>
    </w:p>
    <w:p w14:paraId="372B7F4C" w14:textId="77777777" w:rsidR="00821ABC" w:rsidRDefault="00821ABC">
      <w:pPr>
        <w:spacing w:after="0" w:line="240" w:lineRule="auto"/>
        <w:rPr>
          <w:rFonts w:ascii="Calibri" w:hAnsi="Calibri" w:cs="Calibri"/>
          <w:b/>
          <w:bCs/>
          <w:sz w:val="24"/>
          <w:szCs w:val="24"/>
        </w:rPr>
      </w:pPr>
      <w:r w:rsidRPr="00821ABC">
        <w:rPr>
          <w:rFonts w:ascii="Calibri" w:hAnsi="Calibri" w:cs="Calibri"/>
          <w:b/>
          <w:bCs/>
          <w:sz w:val="24"/>
          <w:szCs w:val="24"/>
        </w:rPr>
        <w:t>Table 2: Distributions of child characteristics by latent mediator profile</w:t>
      </w:r>
    </w:p>
    <w:p w14:paraId="3C064063" w14:textId="77777777" w:rsidR="00821ABC" w:rsidRDefault="00821ABC">
      <w:pPr>
        <w:spacing w:after="0" w:line="240" w:lineRule="auto"/>
        <w:rPr>
          <w:rFonts w:ascii="Calibri" w:hAnsi="Calibri" w:cs="Calibri"/>
          <w:b/>
          <w:bCs/>
          <w:sz w:val="24"/>
          <w:szCs w:val="24"/>
        </w:rPr>
      </w:pPr>
    </w:p>
    <w:tbl>
      <w:tblPr>
        <w:tblW w:w="9883" w:type="dxa"/>
        <w:tblLook w:val="04A0" w:firstRow="1" w:lastRow="0" w:firstColumn="1" w:lastColumn="0" w:noHBand="0" w:noVBand="1"/>
      </w:tblPr>
      <w:tblGrid>
        <w:gridCol w:w="4050"/>
        <w:gridCol w:w="1710"/>
        <w:gridCol w:w="1800"/>
        <w:gridCol w:w="1440"/>
        <w:gridCol w:w="883"/>
      </w:tblGrid>
      <w:tr w:rsidR="00821ABC" w:rsidRPr="00821ABC" w14:paraId="0C4DF5DB" w14:textId="77777777" w:rsidTr="00821ABC">
        <w:trPr>
          <w:trHeight w:val="1020"/>
        </w:trPr>
        <w:tc>
          <w:tcPr>
            <w:tcW w:w="4050" w:type="dxa"/>
            <w:tcBorders>
              <w:top w:val="nil"/>
              <w:left w:val="nil"/>
              <w:bottom w:val="single" w:sz="4" w:space="0" w:color="auto"/>
              <w:right w:val="nil"/>
            </w:tcBorders>
            <w:shd w:val="clear" w:color="auto" w:fill="auto"/>
            <w:noWrap/>
            <w:vAlign w:val="bottom"/>
            <w:hideMark/>
          </w:tcPr>
          <w:p w14:paraId="5F79E7B6"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Characteristic</w:t>
            </w:r>
          </w:p>
        </w:tc>
        <w:tc>
          <w:tcPr>
            <w:tcW w:w="1710" w:type="dxa"/>
            <w:tcBorders>
              <w:top w:val="nil"/>
              <w:left w:val="nil"/>
              <w:bottom w:val="single" w:sz="4" w:space="0" w:color="auto"/>
              <w:right w:val="nil"/>
            </w:tcBorders>
            <w:shd w:val="clear" w:color="auto" w:fill="auto"/>
            <w:vAlign w:val="bottom"/>
            <w:hideMark/>
          </w:tcPr>
          <w:p w14:paraId="62BB2A0D"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Profile1: Below average executive</w:t>
            </w:r>
          </w:p>
        </w:tc>
        <w:tc>
          <w:tcPr>
            <w:tcW w:w="1800" w:type="dxa"/>
            <w:tcBorders>
              <w:top w:val="nil"/>
              <w:left w:val="nil"/>
              <w:bottom w:val="single" w:sz="4" w:space="0" w:color="auto"/>
              <w:right w:val="nil"/>
            </w:tcBorders>
            <w:shd w:val="clear" w:color="auto" w:fill="auto"/>
            <w:vAlign w:val="bottom"/>
            <w:hideMark/>
          </w:tcPr>
          <w:p w14:paraId="41491501"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Profile 2: Below average </w:t>
            </w:r>
            <w:proofErr w:type="spellStart"/>
            <w:r w:rsidRPr="00821ABC">
              <w:rPr>
                <w:rFonts w:ascii="Calibri" w:eastAsia="Times New Roman" w:hAnsi="Calibri" w:cs="Calibri"/>
                <w:color w:val="000000"/>
                <w:sz w:val="24"/>
                <w:szCs w:val="24"/>
              </w:rPr>
              <w:t>ToM</w:t>
            </w:r>
            <w:proofErr w:type="spellEnd"/>
            <w:r w:rsidRPr="00821ABC">
              <w:rPr>
                <w:rFonts w:ascii="Calibri" w:eastAsia="Times New Roman" w:hAnsi="Calibri" w:cs="Calibri"/>
                <w:color w:val="000000"/>
                <w:sz w:val="24"/>
                <w:szCs w:val="24"/>
              </w:rPr>
              <w:t>, SCR</w:t>
            </w:r>
          </w:p>
        </w:tc>
        <w:tc>
          <w:tcPr>
            <w:tcW w:w="1440" w:type="dxa"/>
            <w:tcBorders>
              <w:top w:val="nil"/>
              <w:left w:val="nil"/>
              <w:bottom w:val="single" w:sz="4" w:space="0" w:color="auto"/>
              <w:right w:val="nil"/>
            </w:tcBorders>
            <w:shd w:val="clear" w:color="auto" w:fill="auto"/>
            <w:vAlign w:val="bottom"/>
            <w:hideMark/>
          </w:tcPr>
          <w:p w14:paraId="2BB7B0DD" w14:textId="7814A21E"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Profile 3: </w:t>
            </w:r>
            <w:r w:rsidR="00451D9A">
              <w:rPr>
                <w:rFonts w:ascii="Calibri" w:eastAsia="Times New Roman" w:hAnsi="Calibri" w:cs="Calibri"/>
                <w:color w:val="000000"/>
                <w:sz w:val="24"/>
                <w:szCs w:val="24"/>
              </w:rPr>
              <w:t>R</w:t>
            </w:r>
            <w:r w:rsidRPr="00821ABC">
              <w:rPr>
                <w:rFonts w:ascii="Calibri" w:eastAsia="Times New Roman" w:hAnsi="Calibri" w:cs="Calibri"/>
                <w:color w:val="000000"/>
                <w:sz w:val="24"/>
                <w:szCs w:val="24"/>
              </w:rPr>
              <w:t>eference</w:t>
            </w:r>
          </w:p>
        </w:tc>
        <w:tc>
          <w:tcPr>
            <w:tcW w:w="883" w:type="dxa"/>
            <w:tcBorders>
              <w:top w:val="nil"/>
              <w:left w:val="nil"/>
              <w:bottom w:val="single" w:sz="4" w:space="0" w:color="auto"/>
              <w:right w:val="nil"/>
            </w:tcBorders>
            <w:shd w:val="clear" w:color="auto" w:fill="auto"/>
            <w:noWrap/>
            <w:vAlign w:val="bottom"/>
            <w:hideMark/>
          </w:tcPr>
          <w:p w14:paraId="4108DE89"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p-value</w:t>
            </w:r>
          </w:p>
        </w:tc>
      </w:tr>
      <w:tr w:rsidR="00821ABC" w:rsidRPr="00821ABC" w14:paraId="1776A1E0" w14:textId="77777777" w:rsidTr="00821ABC">
        <w:trPr>
          <w:trHeight w:val="320"/>
        </w:trPr>
        <w:tc>
          <w:tcPr>
            <w:tcW w:w="4050" w:type="dxa"/>
            <w:tcBorders>
              <w:top w:val="nil"/>
              <w:left w:val="nil"/>
              <w:bottom w:val="nil"/>
              <w:right w:val="nil"/>
            </w:tcBorders>
            <w:shd w:val="clear" w:color="auto" w:fill="auto"/>
            <w:noWrap/>
            <w:vAlign w:val="bottom"/>
            <w:hideMark/>
          </w:tcPr>
          <w:p w14:paraId="25DD7BFF"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n</w:t>
            </w:r>
          </w:p>
        </w:tc>
        <w:tc>
          <w:tcPr>
            <w:tcW w:w="1710" w:type="dxa"/>
            <w:tcBorders>
              <w:top w:val="nil"/>
              <w:left w:val="nil"/>
              <w:bottom w:val="single" w:sz="4" w:space="0" w:color="auto"/>
              <w:right w:val="nil"/>
            </w:tcBorders>
            <w:shd w:val="clear" w:color="auto" w:fill="auto"/>
            <w:noWrap/>
            <w:vAlign w:val="bottom"/>
            <w:hideMark/>
          </w:tcPr>
          <w:p w14:paraId="3CEAAA46"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115</w:t>
            </w:r>
          </w:p>
        </w:tc>
        <w:tc>
          <w:tcPr>
            <w:tcW w:w="1800" w:type="dxa"/>
            <w:tcBorders>
              <w:top w:val="nil"/>
              <w:left w:val="nil"/>
              <w:bottom w:val="single" w:sz="4" w:space="0" w:color="auto"/>
              <w:right w:val="nil"/>
            </w:tcBorders>
            <w:shd w:val="clear" w:color="auto" w:fill="auto"/>
            <w:noWrap/>
            <w:vAlign w:val="bottom"/>
            <w:hideMark/>
          </w:tcPr>
          <w:p w14:paraId="11930198"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20</w:t>
            </w:r>
          </w:p>
        </w:tc>
        <w:tc>
          <w:tcPr>
            <w:tcW w:w="1440" w:type="dxa"/>
            <w:tcBorders>
              <w:top w:val="nil"/>
              <w:left w:val="nil"/>
              <w:bottom w:val="single" w:sz="4" w:space="0" w:color="auto"/>
              <w:right w:val="nil"/>
            </w:tcBorders>
            <w:shd w:val="clear" w:color="auto" w:fill="auto"/>
            <w:noWrap/>
            <w:vAlign w:val="bottom"/>
            <w:hideMark/>
          </w:tcPr>
          <w:p w14:paraId="4FB0E69B"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92</w:t>
            </w:r>
          </w:p>
        </w:tc>
        <w:tc>
          <w:tcPr>
            <w:tcW w:w="883" w:type="dxa"/>
            <w:tcBorders>
              <w:top w:val="nil"/>
              <w:left w:val="nil"/>
              <w:bottom w:val="nil"/>
              <w:right w:val="nil"/>
            </w:tcBorders>
            <w:shd w:val="clear" w:color="auto" w:fill="auto"/>
            <w:noWrap/>
            <w:vAlign w:val="bottom"/>
            <w:hideMark/>
          </w:tcPr>
          <w:p w14:paraId="508B9F99" w14:textId="77777777" w:rsidR="00821ABC" w:rsidRPr="00821ABC" w:rsidRDefault="00821ABC" w:rsidP="00821ABC">
            <w:pPr>
              <w:spacing w:after="0" w:line="240" w:lineRule="auto"/>
              <w:jc w:val="center"/>
              <w:rPr>
                <w:rFonts w:ascii="Calibri" w:eastAsia="Times New Roman" w:hAnsi="Calibri" w:cs="Calibri"/>
                <w:color w:val="000000"/>
                <w:sz w:val="24"/>
                <w:szCs w:val="24"/>
              </w:rPr>
            </w:pPr>
          </w:p>
        </w:tc>
      </w:tr>
      <w:tr w:rsidR="00821ABC" w:rsidRPr="00821ABC" w14:paraId="2B9FA708" w14:textId="77777777" w:rsidTr="00821ABC">
        <w:trPr>
          <w:trHeight w:val="320"/>
        </w:trPr>
        <w:tc>
          <w:tcPr>
            <w:tcW w:w="4050" w:type="dxa"/>
            <w:tcBorders>
              <w:top w:val="nil"/>
              <w:left w:val="nil"/>
              <w:bottom w:val="nil"/>
              <w:right w:val="nil"/>
            </w:tcBorders>
            <w:shd w:val="clear" w:color="auto" w:fill="auto"/>
            <w:noWrap/>
            <w:vAlign w:val="bottom"/>
            <w:hideMark/>
          </w:tcPr>
          <w:p w14:paraId="3D2CDA6D"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Age, baseline</w:t>
            </w:r>
          </w:p>
        </w:tc>
        <w:tc>
          <w:tcPr>
            <w:tcW w:w="1710" w:type="dxa"/>
            <w:tcBorders>
              <w:top w:val="nil"/>
              <w:left w:val="nil"/>
              <w:bottom w:val="nil"/>
              <w:right w:val="nil"/>
            </w:tcBorders>
            <w:shd w:val="clear" w:color="auto" w:fill="auto"/>
            <w:noWrap/>
            <w:vAlign w:val="bottom"/>
            <w:hideMark/>
          </w:tcPr>
          <w:p w14:paraId="7CC46F72"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11.47 (0.48)</w:t>
            </w:r>
          </w:p>
        </w:tc>
        <w:tc>
          <w:tcPr>
            <w:tcW w:w="1800" w:type="dxa"/>
            <w:tcBorders>
              <w:top w:val="nil"/>
              <w:left w:val="nil"/>
              <w:bottom w:val="nil"/>
              <w:right w:val="nil"/>
            </w:tcBorders>
            <w:shd w:val="clear" w:color="auto" w:fill="auto"/>
            <w:noWrap/>
            <w:vAlign w:val="bottom"/>
            <w:hideMark/>
          </w:tcPr>
          <w:p w14:paraId="16F45F2E"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11.28 (0.33)</w:t>
            </w:r>
          </w:p>
        </w:tc>
        <w:tc>
          <w:tcPr>
            <w:tcW w:w="1440" w:type="dxa"/>
            <w:tcBorders>
              <w:top w:val="nil"/>
              <w:left w:val="nil"/>
              <w:bottom w:val="nil"/>
              <w:right w:val="nil"/>
            </w:tcBorders>
            <w:shd w:val="clear" w:color="auto" w:fill="auto"/>
            <w:noWrap/>
            <w:vAlign w:val="bottom"/>
            <w:hideMark/>
          </w:tcPr>
          <w:p w14:paraId="37F41771"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11.51 (0.49)</w:t>
            </w:r>
          </w:p>
        </w:tc>
        <w:tc>
          <w:tcPr>
            <w:tcW w:w="883" w:type="dxa"/>
            <w:tcBorders>
              <w:top w:val="nil"/>
              <w:left w:val="nil"/>
              <w:bottom w:val="nil"/>
              <w:right w:val="nil"/>
            </w:tcBorders>
            <w:shd w:val="clear" w:color="auto" w:fill="auto"/>
            <w:noWrap/>
            <w:vAlign w:val="bottom"/>
            <w:hideMark/>
          </w:tcPr>
          <w:p w14:paraId="2A341894"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0.148</w:t>
            </w:r>
          </w:p>
        </w:tc>
      </w:tr>
      <w:tr w:rsidR="00821ABC" w:rsidRPr="00821ABC" w14:paraId="170E5B98" w14:textId="77777777" w:rsidTr="00821ABC">
        <w:trPr>
          <w:trHeight w:val="320"/>
        </w:trPr>
        <w:tc>
          <w:tcPr>
            <w:tcW w:w="4050" w:type="dxa"/>
            <w:tcBorders>
              <w:top w:val="nil"/>
              <w:left w:val="nil"/>
              <w:bottom w:val="nil"/>
              <w:right w:val="nil"/>
            </w:tcBorders>
            <w:shd w:val="clear" w:color="auto" w:fill="auto"/>
            <w:noWrap/>
            <w:vAlign w:val="bottom"/>
            <w:hideMark/>
          </w:tcPr>
          <w:p w14:paraId="26D79967"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 Female biological sex</w:t>
            </w:r>
          </w:p>
        </w:tc>
        <w:tc>
          <w:tcPr>
            <w:tcW w:w="1710" w:type="dxa"/>
            <w:tcBorders>
              <w:top w:val="nil"/>
              <w:left w:val="nil"/>
              <w:bottom w:val="nil"/>
              <w:right w:val="nil"/>
            </w:tcBorders>
            <w:shd w:val="clear" w:color="auto" w:fill="auto"/>
            <w:noWrap/>
            <w:vAlign w:val="bottom"/>
            <w:hideMark/>
          </w:tcPr>
          <w:p w14:paraId="3824C070"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0.50 (0.50)</w:t>
            </w:r>
          </w:p>
        </w:tc>
        <w:tc>
          <w:tcPr>
            <w:tcW w:w="1800" w:type="dxa"/>
            <w:tcBorders>
              <w:top w:val="nil"/>
              <w:left w:val="nil"/>
              <w:bottom w:val="nil"/>
              <w:right w:val="nil"/>
            </w:tcBorders>
            <w:shd w:val="clear" w:color="auto" w:fill="auto"/>
            <w:noWrap/>
            <w:vAlign w:val="bottom"/>
            <w:hideMark/>
          </w:tcPr>
          <w:p w14:paraId="74F74F1E"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0.20 (0.41)</w:t>
            </w:r>
          </w:p>
        </w:tc>
        <w:tc>
          <w:tcPr>
            <w:tcW w:w="1440" w:type="dxa"/>
            <w:tcBorders>
              <w:top w:val="nil"/>
              <w:left w:val="nil"/>
              <w:bottom w:val="nil"/>
              <w:right w:val="nil"/>
            </w:tcBorders>
            <w:shd w:val="clear" w:color="auto" w:fill="auto"/>
            <w:noWrap/>
            <w:vAlign w:val="bottom"/>
            <w:hideMark/>
          </w:tcPr>
          <w:p w14:paraId="4EA32836"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0.52 (0.50)</w:t>
            </w:r>
          </w:p>
        </w:tc>
        <w:tc>
          <w:tcPr>
            <w:tcW w:w="883" w:type="dxa"/>
            <w:tcBorders>
              <w:top w:val="nil"/>
              <w:left w:val="nil"/>
              <w:bottom w:val="nil"/>
              <w:right w:val="nil"/>
            </w:tcBorders>
            <w:shd w:val="clear" w:color="auto" w:fill="auto"/>
            <w:noWrap/>
            <w:vAlign w:val="bottom"/>
            <w:hideMark/>
          </w:tcPr>
          <w:p w14:paraId="644A7243"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0.027</w:t>
            </w:r>
          </w:p>
        </w:tc>
      </w:tr>
      <w:tr w:rsidR="00821ABC" w:rsidRPr="00821ABC" w14:paraId="61266662" w14:textId="77777777" w:rsidTr="00821ABC">
        <w:trPr>
          <w:trHeight w:val="320"/>
        </w:trPr>
        <w:tc>
          <w:tcPr>
            <w:tcW w:w="4050" w:type="dxa"/>
            <w:tcBorders>
              <w:top w:val="nil"/>
              <w:left w:val="nil"/>
              <w:bottom w:val="nil"/>
              <w:right w:val="nil"/>
            </w:tcBorders>
            <w:shd w:val="clear" w:color="auto" w:fill="auto"/>
            <w:noWrap/>
            <w:vAlign w:val="bottom"/>
            <w:hideMark/>
          </w:tcPr>
          <w:p w14:paraId="1CDC953C"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Maternal depression, early childhood</w:t>
            </w:r>
          </w:p>
        </w:tc>
        <w:tc>
          <w:tcPr>
            <w:tcW w:w="1710" w:type="dxa"/>
            <w:tcBorders>
              <w:top w:val="nil"/>
              <w:left w:val="nil"/>
              <w:bottom w:val="nil"/>
              <w:right w:val="nil"/>
            </w:tcBorders>
            <w:shd w:val="clear" w:color="auto" w:fill="auto"/>
            <w:noWrap/>
            <w:vAlign w:val="bottom"/>
            <w:hideMark/>
          </w:tcPr>
          <w:p w14:paraId="5555EF6B"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25.43 (7.96)</w:t>
            </w:r>
          </w:p>
        </w:tc>
        <w:tc>
          <w:tcPr>
            <w:tcW w:w="1800" w:type="dxa"/>
            <w:tcBorders>
              <w:top w:val="nil"/>
              <w:left w:val="nil"/>
              <w:bottom w:val="nil"/>
              <w:right w:val="nil"/>
            </w:tcBorders>
            <w:shd w:val="clear" w:color="auto" w:fill="auto"/>
            <w:noWrap/>
            <w:vAlign w:val="bottom"/>
            <w:hideMark/>
          </w:tcPr>
          <w:p w14:paraId="5CCEC6CB"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26.45 (10.78)</w:t>
            </w:r>
          </w:p>
        </w:tc>
        <w:tc>
          <w:tcPr>
            <w:tcW w:w="1440" w:type="dxa"/>
            <w:tcBorders>
              <w:top w:val="nil"/>
              <w:left w:val="nil"/>
              <w:bottom w:val="nil"/>
              <w:right w:val="nil"/>
            </w:tcBorders>
            <w:shd w:val="clear" w:color="auto" w:fill="auto"/>
            <w:noWrap/>
            <w:vAlign w:val="bottom"/>
            <w:hideMark/>
          </w:tcPr>
          <w:p w14:paraId="03AD3B4F"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21.53 (5.26)</w:t>
            </w:r>
          </w:p>
        </w:tc>
        <w:tc>
          <w:tcPr>
            <w:tcW w:w="883" w:type="dxa"/>
            <w:tcBorders>
              <w:top w:val="nil"/>
              <w:left w:val="nil"/>
              <w:bottom w:val="nil"/>
              <w:right w:val="nil"/>
            </w:tcBorders>
            <w:shd w:val="clear" w:color="auto" w:fill="auto"/>
            <w:noWrap/>
            <w:vAlign w:val="bottom"/>
            <w:hideMark/>
          </w:tcPr>
          <w:p w14:paraId="27C8E5D8"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&lt;0.001</w:t>
            </w:r>
          </w:p>
        </w:tc>
      </w:tr>
      <w:tr w:rsidR="00821ABC" w:rsidRPr="00821ABC" w14:paraId="48053AF0" w14:textId="77777777" w:rsidTr="00821ABC">
        <w:trPr>
          <w:trHeight w:val="320"/>
        </w:trPr>
        <w:tc>
          <w:tcPr>
            <w:tcW w:w="4050" w:type="dxa"/>
            <w:tcBorders>
              <w:top w:val="nil"/>
              <w:left w:val="nil"/>
              <w:bottom w:val="nil"/>
              <w:right w:val="nil"/>
            </w:tcBorders>
            <w:shd w:val="clear" w:color="auto" w:fill="auto"/>
            <w:noWrap/>
            <w:vAlign w:val="bottom"/>
            <w:hideMark/>
          </w:tcPr>
          <w:p w14:paraId="1932B26B"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Chronicity of poverty, early childhood</w:t>
            </w:r>
          </w:p>
        </w:tc>
        <w:tc>
          <w:tcPr>
            <w:tcW w:w="1710" w:type="dxa"/>
            <w:tcBorders>
              <w:top w:val="nil"/>
              <w:left w:val="nil"/>
              <w:bottom w:val="nil"/>
              <w:right w:val="nil"/>
            </w:tcBorders>
            <w:shd w:val="clear" w:color="auto" w:fill="auto"/>
            <w:noWrap/>
            <w:vAlign w:val="bottom"/>
            <w:hideMark/>
          </w:tcPr>
          <w:p w14:paraId="48F36D2A"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0.88 (1.39)</w:t>
            </w:r>
          </w:p>
        </w:tc>
        <w:tc>
          <w:tcPr>
            <w:tcW w:w="1800" w:type="dxa"/>
            <w:tcBorders>
              <w:top w:val="nil"/>
              <w:left w:val="nil"/>
              <w:bottom w:val="nil"/>
              <w:right w:val="nil"/>
            </w:tcBorders>
            <w:shd w:val="clear" w:color="auto" w:fill="auto"/>
            <w:noWrap/>
            <w:vAlign w:val="bottom"/>
            <w:hideMark/>
          </w:tcPr>
          <w:p w14:paraId="3DAFCA3C"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1.55 (1.70)</w:t>
            </w:r>
          </w:p>
        </w:tc>
        <w:tc>
          <w:tcPr>
            <w:tcW w:w="1440" w:type="dxa"/>
            <w:tcBorders>
              <w:top w:val="nil"/>
              <w:left w:val="nil"/>
              <w:bottom w:val="nil"/>
              <w:right w:val="nil"/>
            </w:tcBorders>
            <w:shd w:val="clear" w:color="auto" w:fill="auto"/>
            <w:noWrap/>
            <w:vAlign w:val="bottom"/>
            <w:hideMark/>
          </w:tcPr>
          <w:p w14:paraId="1BEE41CE"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0.83 (1.31)</w:t>
            </w:r>
          </w:p>
        </w:tc>
        <w:tc>
          <w:tcPr>
            <w:tcW w:w="883" w:type="dxa"/>
            <w:tcBorders>
              <w:top w:val="nil"/>
              <w:left w:val="nil"/>
              <w:bottom w:val="nil"/>
              <w:right w:val="nil"/>
            </w:tcBorders>
            <w:shd w:val="clear" w:color="auto" w:fill="auto"/>
            <w:noWrap/>
            <w:vAlign w:val="bottom"/>
            <w:hideMark/>
          </w:tcPr>
          <w:p w14:paraId="1E5F45CB"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0.100</w:t>
            </w:r>
          </w:p>
        </w:tc>
      </w:tr>
      <w:tr w:rsidR="00821ABC" w:rsidRPr="00821ABC" w14:paraId="25B763E7" w14:textId="77777777" w:rsidTr="00821ABC">
        <w:trPr>
          <w:trHeight w:val="320"/>
        </w:trPr>
        <w:tc>
          <w:tcPr>
            <w:tcW w:w="4050" w:type="dxa"/>
            <w:tcBorders>
              <w:top w:val="nil"/>
              <w:left w:val="nil"/>
              <w:bottom w:val="nil"/>
              <w:right w:val="nil"/>
            </w:tcBorders>
            <w:shd w:val="clear" w:color="auto" w:fill="auto"/>
            <w:noWrap/>
            <w:vAlign w:val="bottom"/>
            <w:hideMark/>
          </w:tcPr>
          <w:p w14:paraId="0BB2D9E4"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Income-to-needs ratio, baseline</w:t>
            </w:r>
          </w:p>
        </w:tc>
        <w:tc>
          <w:tcPr>
            <w:tcW w:w="1710" w:type="dxa"/>
            <w:tcBorders>
              <w:top w:val="nil"/>
              <w:left w:val="nil"/>
              <w:bottom w:val="nil"/>
              <w:right w:val="nil"/>
            </w:tcBorders>
            <w:shd w:val="clear" w:color="auto" w:fill="auto"/>
            <w:noWrap/>
            <w:vAlign w:val="bottom"/>
            <w:hideMark/>
          </w:tcPr>
          <w:p w14:paraId="675DA4FE"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3.43 (1.74)</w:t>
            </w:r>
          </w:p>
        </w:tc>
        <w:tc>
          <w:tcPr>
            <w:tcW w:w="1800" w:type="dxa"/>
            <w:tcBorders>
              <w:top w:val="nil"/>
              <w:left w:val="nil"/>
              <w:bottom w:val="nil"/>
              <w:right w:val="nil"/>
            </w:tcBorders>
            <w:shd w:val="clear" w:color="auto" w:fill="auto"/>
            <w:noWrap/>
            <w:vAlign w:val="bottom"/>
            <w:hideMark/>
          </w:tcPr>
          <w:p w14:paraId="0E8F81B6"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2.58 (1.62)</w:t>
            </w:r>
          </w:p>
        </w:tc>
        <w:tc>
          <w:tcPr>
            <w:tcW w:w="1440" w:type="dxa"/>
            <w:tcBorders>
              <w:top w:val="nil"/>
              <w:left w:val="nil"/>
              <w:bottom w:val="nil"/>
              <w:right w:val="nil"/>
            </w:tcBorders>
            <w:shd w:val="clear" w:color="auto" w:fill="auto"/>
            <w:noWrap/>
            <w:vAlign w:val="bottom"/>
            <w:hideMark/>
          </w:tcPr>
          <w:p w14:paraId="326FEA00"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3.98 (1.81)</w:t>
            </w:r>
          </w:p>
        </w:tc>
        <w:tc>
          <w:tcPr>
            <w:tcW w:w="883" w:type="dxa"/>
            <w:tcBorders>
              <w:top w:val="nil"/>
              <w:left w:val="nil"/>
              <w:bottom w:val="nil"/>
              <w:right w:val="nil"/>
            </w:tcBorders>
            <w:shd w:val="clear" w:color="auto" w:fill="auto"/>
            <w:noWrap/>
            <w:vAlign w:val="bottom"/>
            <w:hideMark/>
          </w:tcPr>
          <w:p w14:paraId="0A70D566"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0.003</w:t>
            </w:r>
          </w:p>
        </w:tc>
      </w:tr>
      <w:tr w:rsidR="00821ABC" w:rsidRPr="00821ABC" w14:paraId="2C4577A8" w14:textId="77777777" w:rsidTr="00821ABC">
        <w:trPr>
          <w:trHeight w:val="320"/>
        </w:trPr>
        <w:tc>
          <w:tcPr>
            <w:tcW w:w="4050" w:type="dxa"/>
            <w:tcBorders>
              <w:top w:val="nil"/>
              <w:left w:val="nil"/>
              <w:bottom w:val="nil"/>
              <w:right w:val="nil"/>
            </w:tcBorders>
            <w:shd w:val="clear" w:color="auto" w:fill="auto"/>
            <w:noWrap/>
            <w:vAlign w:val="bottom"/>
            <w:hideMark/>
          </w:tcPr>
          <w:p w14:paraId="07805117"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Threat experiences, standardized</w:t>
            </w:r>
          </w:p>
        </w:tc>
        <w:tc>
          <w:tcPr>
            <w:tcW w:w="1710" w:type="dxa"/>
            <w:tcBorders>
              <w:top w:val="nil"/>
              <w:left w:val="nil"/>
              <w:bottom w:val="nil"/>
              <w:right w:val="nil"/>
            </w:tcBorders>
            <w:shd w:val="clear" w:color="auto" w:fill="auto"/>
            <w:noWrap/>
            <w:vAlign w:val="bottom"/>
            <w:hideMark/>
          </w:tcPr>
          <w:p w14:paraId="60B38D5C"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0.12 (1.10)</w:t>
            </w:r>
          </w:p>
        </w:tc>
        <w:tc>
          <w:tcPr>
            <w:tcW w:w="1800" w:type="dxa"/>
            <w:tcBorders>
              <w:top w:val="nil"/>
              <w:left w:val="nil"/>
              <w:bottom w:val="nil"/>
              <w:right w:val="nil"/>
            </w:tcBorders>
            <w:shd w:val="clear" w:color="auto" w:fill="auto"/>
            <w:noWrap/>
            <w:vAlign w:val="bottom"/>
            <w:hideMark/>
          </w:tcPr>
          <w:p w14:paraId="6342F07D"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0.31 (1.03)</w:t>
            </w:r>
          </w:p>
        </w:tc>
        <w:tc>
          <w:tcPr>
            <w:tcW w:w="1440" w:type="dxa"/>
            <w:tcBorders>
              <w:top w:val="nil"/>
              <w:left w:val="nil"/>
              <w:bottom w:val="nil"/>
              <w:right w:val="nil"/>
            </w:tcBorders>
            <w:shd w:val="clear" w:color="auto" w:fill="auto"/>
            <w:noWrap/>
            <w:vAlign w:val="bottom"/>
            <w:hideMark/>
          </w:tcPr>
          <w:p w14:paraId="1A10E519"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-0.22 (0.81)</w:t>
            </w:r>
          </w:p>
        </w:tc>
        <w:tc>
          <w:tcPr>
            <w:tcW w:w="883" w:type="dxa"/>
            <w:tcBorders>
              <w:top w:val="nil"/>
              <w:left w:val="nil"/>
              <w:bottom w:val="nil"/>
              <w:right w:val="nil"/>
            </w:tcBorders>
            <w:shd w:val="clear" w:color="auto" w:fill="auto"/>
            <w:noWrap/>
            <w:vAlign w:val="bottom"/>
            <w:hideMark/>
          </w:tcPr>
          <w:p w14:paraId="1531A2F6"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0.016</w:t>
            </w:r>
          </w:p>
        </w:tc>
      </w:tr>
      <w:tr w:rsidR="00821ABC" w:rsidRPr="00821ABC" w14:paraId="12D403BF" w14:textId="77777777" w:rsidTr="00821ABC">
        <w:trPr>
          <w:trHeight w:val="320"/>
        </w:trPr>
        <w:tc>
          <w:tcPr>
            <w:tcW w:w="4050" w:type="dxa"/>
            <w:tcBorders>
              <w:top w:val="nil"/>
              <w:left w:val="nil"/>
              <w:bottom w:val="nil"/>
              <w:right w:val="nil"/>
            </w:tcBorders>
            <w:shd w:val="clear" w:color="auto" w:fill="auto"/>
            <w:noWrap/>
            <w:vAlign w:val="bottom"/>
            <w:hideMark/>
          </w:tcPr>
          <w:p w14:paraId="000C3C08"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Deprivation experiences, standardized</w:t>
            </w:r>
          </w:p>
        </w:tc>
        <w:tc>
          <w:tcPr>
            <w:tcW w:w="1710" w:type="dxa"/>
            <w:tcBorders>
              <w:top w:val="nil"/>
              <w:left w:val="nil"/>
              <w:bottom w:val="nil"/>
              <w:right w:val="nil"/>
            </w:tcBorders>
            <w:shd w:val="clear" w:color="auto" w:fill="auto"/>
            <w:noWrap/>
            <w:vAlign w:val="bottom"/>
            <w:hideMark/>
          </w:tcPr>
          <w:p w14:paraId="7067A3C5"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0.06 (0.98)</w:t>
            </w:r>
          </w:p>
        </w:tc>
        <w:tc>
          <w:tcPr>
            <w:tcW w:w="1800" w:type="dxa"/>
            <w:tcBorders>
              <w:top w:val="nil"/>
              <w:left w:val="nil"/>
              <w:bottom w:val="nil"/>
              <w:right w:val="nil"/>
            </w:tcBorders>
            <w:shd w:val="clear" w:color="auto" w:fill="auto"/>
            <w:noWrap/>
            <w:vAlign w:val="bottom"/>
            <w:hideMark/>
          </w:tcPr>
          <w:p w14:paraId="5302A47E"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 xml:space="preserve"> 0.45 (1.27)</w:t>
            </w:r>
          </w:p>
        </w:tc>
        <w:tc>
          <w:tcPr>
            <w:tcW w:w="1440" w:type="dxa"/>
            <w:tcBorders>
              <w:top w:val="nil"/>
              <w:left w:val="nil"/>
              <w:bottom w:val="nil"/>
              <w:right w:val="nil"/>
            </w:tcBorders>
            <w:shd w:val="clear" w:color="auto" w:fill="auto"/>
            <w:noWrap/>
            <w:vAlign w:val="bottom"/>
            <w:hideMark/>
          </w:tcPr>
          <w:p w14:paraId="276D5ADB"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-0.17 (0.93)</w:t>
            </w:r>
          </w:p>
        </w:tc>
        <w:tc>
          <w:tcPr>
            <w:tcW w:w="883" w:type="dxa"/>
            <w:tcBorders>
              <w:top w:val="nil"/>
              <w:left w:val="nil"/>
              <w:bottom w:val="nil"/>
              <w:right w:val="nil"/>
            </w:tcBorders>
            <w:shd w:val="clear" w:color="auto" w:fill="auto"/>
            <w:noWrap/>
            <w:vAlign w:val="bottom"/>
            <w:hideMark/>
          </w:tcPr>
          <w:p w14:paraId="2943384F"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0.025</w:t>
            </w:r>
          </w:p>
        </w:tc>
      </w:tr>
      <w:tr w:rsidR="00821ABC" w:rsidRPr="00821ABC" w14:paraId="6BF9F3FC" w14:textId="77777777" w:rsidTr="00821ABC">
        <w:trPr>
          <w:trHeight w:val="320"/>
        </w:trPr>
        <w:tc>
          <w:tcPr>
            <w:tcW w:w="4050" w:type="dxa"/>
            <w:tcBorders>
              <w:top w:val="nil"/>
              <w:left w:val="nil"/>
              <w:bottom w:val="nil"/>
              <w:right w:val="nil"/>
            </w:tcBorders>
            <w:shd w:val="clear" w:color="auto" w:fill="auto"/>
            <w:noWrap/>
            <w:vAlign w:val="bottom"/>
            <w:hideMark/>
          </w:tcPr>
          <w:p w14:paraId="6AA07014"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t>CBCL internalizing t-score</w:t>
            </w:r>
          </w:p>
        </w:tc>
        <w:tc>
          <w:tcPr>
            <w:tcW w:w="1710" w:type="dxa"/>
            <w:tcBorders>
              <w:top w:val="nil"/>
              <w:left w:val="nil"/>
              <w:bottom w:val="nil"/>
              <w:right w:val="nil"/>
            </w:tcBorders>
            <w:shd w:val="clear" w:color="auto" w:fill="auto"/>
            <w:noWrap/>
            <w:vAlign w:val="bottom"/>
            <w:hideMark/>
          </w:tcPr>
          <w:p w14:paraId="27F8AA3A"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52.02 (11.04)</w:t>
            </w:r>
          </w:p>
        </w:tc>
        <w:tc>
          <w:tcPr>
            <w:tcW w:w="1800" w:type="dxa"/>
            <w:tcBorders>
              <w:top w:val="nil"/>
              <w:left w:val="nil"/>
              <w:bottom w:val="nil"/>
              <w:right w:val="nil"/>
            </w:tcBorders>
            <w:shd w:val="clear" w:color="auto" w:fill="auto"/>
            <w:noWrap/>
            <w:vAlign w:val="bottom"/>
            <w:hideMark/>
          </w:tcPr>
          <w:p w14:paraId="09A72952"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52.55 (8.24)</w:t>
            </w:r>
          </w:p>
        </w:tc>
        <w:tc>
          <w:tcPr>
            <w:tcW w:w="1440" w:type="dxa"/>
            <w:tcBorders>
              <w:top w:val="nil"/>
              <w:left w:val="nil"/>
              <w:bottom w:val="nil"/>
              <w:right w:val="nil"/>
            </w:tcBorders>
            <w:shd w:val="clear" w:color="auto" w:fill="auto"/>
            <w:noWrap/>
            <w:vAlign w:val="bottom"/>
            <w:hideMark/>
          </w:tcPr>
          <w:p w14:paraId="6CE8F5BE"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49.70 (9.65)</w:t>
            </w:r>
          </w:p>
        </w:tc>
        <w:tc>
          <w:tcPr>
            <w:tcW w:w="883" w:type="dxa"/>
            <w:tcBorders>
              <w:top w:val="nil"/>
              <w:left w:val="nil"/>
              <w:bottom w:val="nil"/>
              <w:right w:val="nil"/>
            </w:tcBorders>
            <w:shd w:val="clear" w:color="auto" w:fill="auto"/>
            <w:noWrap/>
            <w:vAlign w:val="bottom"/>
            <w:hideMark/>
          </w:tcPr>
          <w:p w14:paraId="40287AC0"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0.222</w:t>
            </w:r>
          </w:p>
        </w:tc>
      </w:tr>
      <w:tr w:rsidR="00821ABC" w:rsidRPr="00821ABC" w14:paraId="161F53E1" w14:textId="77777777" w:rsidTr="00821ABC">
        <w:trPr>
          <w:trHeight w:val="320"/>
        </w:trPr>
        <w:tc>
          <w:tcPr>
            <w:tcW w:w="4050" w:type="dxa"/>
            <w:tcBorders>
              <w:top w:val="nil"/>
              <w:left w:val="nil"/>
              <w:bottom w:val="single" w:sz="4" w:space="0" w:color="auto"/>
              <w:right w:val="nil"/>
            </w:tcBorders>
            <w:shd w:val="clear" w:color="auto" w:fill="auto"/>
            <w:noWrap/>
            <w:vAlign w:val="bottom"/>
            <w:hideMark/>
          </w:tcPr>
          <w:p w14:paraId="6F11FB63" w14:textId="77777777" w:rsidR="00821ABC" w:rsidRPr="00821ABC" w:rsidRDefault="00821ABC" w:rsidP="00821ABC">
            <w:pPr>
              <w:spacing w:after="0" w:line="240" w:lineRule="auto"/>
              <w:rPr>
                <w:rFonts w:ascii="Calibri" w:eastAsia="Times New Roman" w:hAnsi="Calibri" w:cs="Calibri"/>
                <w:color w:val="000000"/>
                <w:sz w:val="24"/>
                <w:szCs w:val="24"/>
              </w:rPr>
            </w:pPr>
            <w:r w:rsidRPr="00821ABC">
              <w:rPr>
                <w:rFonts w:ascii="Calibri" w:eastAsia="Times New Roman" w:hAnsi="Calibri" w:cs="Calibri"/>
                <w:color w:val="000000"/>
                <w:sz w:val="24"/>
                <w:szCs w:val="24"/>
              </w:rPr>
              <w:lastRenderedPageBreak/>
              <w:t>CBCL externalizing t-score</w:t>
            </w:r>
          </w:p>
        </w:tc>
        <w:tc>
          <w:tcPr>
            <w:tcW w:w="1710" w:type="dxa"/>
            <w:tcBorders>
              <w:top w:val="nil"/>
              <w:left w:val="nil"/>
              <w:bottom w:val="single" w:sz="4" w:space="0" w:color="auto"/>
              <w:right w:val="nil"/>
            </w:tcBorders>
            <w:shd w:val="clear" w:color="auto" w:fill="auto"/>
            <w:noWrap/>
            <w:vAlign w:val="bottom"/>
            <w:hideMark/>
          </w:tcPr>
          <w:p w14:paraId="1FE5F416"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49.99 (8.83)</w:t>
            </w:r>
          </w:p>
        </w:tc>
        <w:tc>
          <w:tcPr>
            <w:tcW w:w="1800" w:type="dxa"/>
            <w:tcBorders>
              <w:top w:val="nil"/>
              <w:left w:val="nil"/>
              <w:bottom w:val="single" w:sz="4" w:space="0" w:color="auto"/>
              <w:right w:val="nil"/>
            </w:tcBorders>
            <w:shd w:val="clear" w:color="auto" w:fill="auto"/>
            <w:noWrap/>
            <w:vAlign w:val="bottom"/>
            <w:hideMark/>
          </w:tcPr>
          <w:p w14:paraId="53D1B1DA"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49.00 (9.29)</w:t>
            </w:r>
          </w:p>
        </w:tc>
        <w:tc>
          <w:tcPr>
            <w:tcW w:w="1440" w:type="dxa"/>
            <w:tcBorders>
              <w:top w:val="nil"/>
              <w:left w:val="nil"/>
              <w:bottom w:val="single" w:sz="4" w:space="0" w:color="auto"/>
              <w:right w:val="nil"/>
            </w:tcBorders>
            <w:shd w:val="clear" w:color="auto" w:fill="auto"/>
            <w:noWrap/>
            <w:vAlign w:val="bottom"/>
            <w:hideMark/>
          </w:tcPr>
          <w:p w14:paraId="2EA0EB70" w14:textId="77777777" w:rsidR="00821ABC" w:rsidRPr="00821ABC" w:rsidRDefault="00821ABC" w:rsidP="00821ABC">
            <w:pPr>
              <w:spacing w:after="0" w:line="240" w:lineRule="auto"/>
              <w:jc w:val="center"/>
              <w:rPr>
                <w:rFonts w:ascii="Calibri" w:eastAsia="Times New Roman" w:hAnsi="Calibri" w:cs="Calibri"/>
                <w:color w:val="000000"/>
                <w:sz w:val="24"/>
                <w:szCs w:val="24"/>
              </w:rPr>
            </w:pPr>
            <w:r w:rsidRPr="00821ABC">
              <w:rPr>
                <w:rFonts w:ascii="Calibri" w:eastAsia="Times New Roman" w:hAnsi="Calibri" w:cs="Calibri"/>
                <w:color w:val="000000"/>
                <w:sz w:val="24"/>
                <w:szCs w:val="24"/>
              </w:rPr>
              <w:t>46.83 (8.44)</w:t>
            </w:r>
          </w:p>
        </w:tc>
        <w:tc>
          <w:tcPr>
            <w:tcW w:w="883" w:type="dxa"/>
            <w:tcBorders>
              <w:top w:val="nil"/>
              <w:left w:val="nil"/>
              <w:bottom w:val="single" w:sz="4" w:space="0" w:color="auto"/>
              <w:right w:val="nil"/>
            </w:tcBorders>
            <w:shd w:val="clear" w:color="auto" w:fill="auto"/>
            <w:noWrap/>
            <w:vAlign w:val="bottom"/>
            <w:hideMark/>
          </w:tcPr>
          <w:p w14:paraId="6E74E919" w14:textId="77777777" w:rsidR="00821ABC" w:rsidRPr="00821ABC" w:rsidRDefault="00821ABC" w:rsidP="00821ABC">
            <w:pPr>
              <w:spacing w:after="0" w:line="240" w:lineRule="auto"/>
              <w:jc w:val="right"/>
              <w:rPr>
                <w:rFonts w:ascii="Calibri" w:eastAsia="Times New Roman" w:hAnsi="Calibri" w:cs="Calibri"/>
                <w:color w:val="000000"/>
                <w:sz w:val="24"/>
                <w:szCs w:val="24"/>
              </w:rPr>
            </w:pPr>
            <w:r w:rsidRPr="00821ABC">
              <w:rPr>
                <w:rFonts w:ascii="Calibri" w:eastAsia="Times New Roman" w:hAnsi="Calibri" w:cs="Calibri"/>
                <w:color w:val="000000"/>
                <w:sz w:val="24"/>
                <w:szCs w:val="24"/>
              </w:rPr>
              <w:t>0.035</w:t>
            </w:r>
          </w:p>
        </w:tc>
      </w:tr>
    </w:tbl>
    <w:p w14:paraId="61577E73" w14:textId="77777777" w:rsidR="00821ABC" w:rsidRDefault="00821ABC">
      <w:pPr>
        <w:spacing w:after="0" w:line="240" w:lineRule="auto"/>
        <w:rPr>
          <w:rFonts w:ascii="Calibri" w:hAnsi="Calibri" w:cs="Calibri"/>
          <w:b/>
          <w:bCs/>
          <w:sz w:val="24"/>
          <w:szCs w:val="24"/>
        </w:rPr>
      </w:pPr>
    </w:p>
    <w:p w14:paraId="2BA2467E" w14:textId="53363336" w:rsidR="00FB47D8" w:rsidRPr="00821ABC" w:rsidRDefault="00FB47D8">
      <w:pPr>
        <w:spacing w:after="0" w:line="240" w:lineRule="auto"/>
        <w:rPr>
          <w:rFonts w:ascii="Calibri" w:hAnsi="Calibri" w:cs="Calibri"/>
          <w:b/>
          <w:bCs/>
          <w:sz w:val="24"/>
          <w:szCs w:val="24"/>
        </w:rPr>
      </w:pPr>
      <w:r w:rsidRPr="00821ABC">
        <w:rPr>
          <w:rFonts w:ascii="Calibri" w:hAnsi="Calibri" w:cs="Calibri"/>
          <w:b/>
          <w:bCs/>
          <w:sz w:val="24"/>
          <w:szCs w:val="24"/>
        </w:rPr>
        <w:br w:type="page"/>
      </w:r>
    </w:p>
    <w:p w14:paraId="4B693026" w14:textId="4D946437" w:rsidR="003C124E" w:rsidRPr="00FB47D8" w:rsidRDefault="00FB47D8" w:rsidP="00E82A19">
      <w:pPr>
        <w:spacing w:line="360" w:lineRule="auto"/>
        <w:rPr>
          <w:rFonts w:ascii="Calibri" w:hAnsi="Calibri" w:cs="Calibri"/>
          <w:b/>
          <w:bCs/>
          <w:sz w:val="24"/>
          <w:szCs w:val="24"/>
          <w:u w:val="single"/>
        </w:rPr>
      </w:pPr>
      <w:r>
        <w:rPr>
          <w:rFonts w:ascii="Calibri" w:hAnsi="Calibri" w:cs="Calibri"/>
          <w:b/>
          <w:bCs/>
          <w:sz w:val="24"/>
          <w:szCs w:val="24"/>
          <w:u w:val="single"/>
        </w:rPr>
        <w:lastRenderedPageBreak/>
        <w:t>References</w:t>
      </w:r>
    </w:p>
    <w:p w14:paraId="1B00D64C" w14:textId="78B4FCD8" w:rsidR="0048669B" w:rsidRPr="0048669B" w:rsidRDefault="003C124E" w:rsidP="0048669B">
      <w:pPr>
        <w:pStyle w:val="EndNoteBibliography"/>
        <w:spacing w:after="0"/>
        <w:ind w:left="720" w:hanging="720"/>
        <w:rPr>
          <w:noProof/>
        </w:rPr>
      </w:pPr>
      <w:r w:rsidRPr="00FB47D8">
        <w:rPr>
          <w:rFonts w:ascii="Calibri" w:hAnsi="Calibri" w:cs="Calibri"/>
          <w:sz w:val="24"/>
          <w:szCs w:val="24"/>
        </w:rPr>
        <w:fldChar w:fldCharType="begin"/>
      </w:r>
      <w:r w:rsidRPr="00FB47D8">
        <w:rPr>
          <w:rFonts w:ascii="Calibri" w:hAnsi="Calibri" w:cs="Calibri"/>
          <w:sz w:val="24"/>
          <w:szCs w:val="24"/>
        </w:rPr>
        <w:instrText xml:space="preserve"> ADDIN EN.REFLIST </w:instrText>
      </w:r>
      <w:r w:rsidRPr="00FB47D8">
        <w:rPr>
          <w:rFonts w:ascii="Calibri" w:hAnsi="Calibri" w:cs="Calibri"/>
          <w:sz w:val="24"/>
          <w:szCs w:val="24"/>
        </w:rPr>
        <w:fldChar w:fldCharType="separate"/>
      </w:r>
      <w:r w:rsidR="0048669B" w:rsidRPr="0048669B">
        <w:rPr>
          <w:noProof/>
        </w:rPr>
        <w:t xml:space="preserve">Amin, Z., Todd Constable, R., &amp; Canli, T. (2004). Attentional bias for valenced stimuli as a function of personality in the dot-probe task. </w:t>
      </w:r>
      <w:r w:rsidR="0048669B" w:rsidRPr="0048669B">
        <w:rPr>
          <w:i/>
          <w:noProof/>
        </w:rPr>
        <w:t>Journal of research in personality</w:t>
      </w:r>
      <w:r w:rsidR="0048669B" w:rsidRPr="0048669B">
        <w:rPr>
          <w:noProof/>
        </w:rPr>
        <w:t>,</w:t>
      </w:r>
      <w:r w:rsidR="0048669B" w:rsidRPr="0048669B">
        <w:rPr>
          <w:i/>
          <w:noProof/>
        </w:rPr>
        <w:t xml:space="preserve"> 38</w:t>
      </w:r>
      <w:r w:rsidR="0048669B" w:rsidRPr="0048669B">
        <w:rPr>
          <w:noProof/>
        </w:rPr>
        <w:t xml:space="preserve">(1), 15-23. </w:t>
      </w:r>
      <w:hyperlink r:id="rId6" w:history="1">
        <w:r w:rsidR="0048669B" w:rsidRPr="0048669B">
          <w:rPr>
            <w:rStyle w:val="Hyperlink"/>
            <w:noProof/>
          </w:rPr>
          <w:t>https://doi.org/10.1016/j.jrp.2003.09.011</w:t>
        </w:r>
      </w:hyperlink>
      <w:r w:rsidR="0048669B" w:rsidRPr="0048669B">
        <w:rPr>
          <w:noProof/>
        </w:rPr>
        <w:t xml:space="preserve"> </w:t>
      </w:r>
    </w:p>
    <w:p w14:paraId="5118670C" w14:textId="50DE327E" w:rsidR="0048669B" w:rsidRPr="0048669B" w:rsidRDefault="0048669B" w:rsidP="0048669B">
      <w:pPr>
        <w:pStyle w:val="EndNoteBibliography"/>
        <w:spacing w:after="0"/>
        <w:ind w:left="720" w:hanging="720"/>
        <w:rPr>
          <w:noProof/>
        </w:rPr>
      </w:pPr>
      <w:r w:rsidRPr="0048669B">
        <w:rPr>
          <w:noProof/>
        </w:rPr>
        <w:t xml:space="preserve">Ben-Haim, M. S., Williams, P., Howard, Z., Mama, Y., Eidels, A., &amp; Algom, D. (2016). The Emotional Stroop Task: Assessing Cognitive Performance under Exposure to Emotional Content. </w:t>
      </w:r>
      <w:r w:rsidRPr="0048669B">
        <w:rPr>
          <w:i/>
          <w:noProof/>
        </w:rPr>
        <w:t>Journal of Visualized Experiments</w:t>
      </w:r>
      <w:r w:rsidRPr="0048669B">
        <w:rPr>
          <w:noProof/>
        </w:rPr>
        <w:t xml:space="preserve">(112). </w:t>
      </w:r>
      <w:hyperlink r:id="rId7" w:history="1">
        <w:r w:rsidRPr="0048669B">
          <w:rPr>
            <w:rStyle w:val="Hyperlink"/>
            <w:noProof/>
          </w:rPr>
          <w:t>https://doi.org/10.3791/53720</w:t>
        </w:r>
      </w:hyperlink>
      <w:r w:rsidRPr="0048669B">
        <w:rPr>
          <w:noProof/>
        </w:rPr>
        <w:t xml:space="preserve"> </w:t>
      </w:r>
    </w:p>
    <w:p w14:paraId="182F8D54" w14:textId="77777777" w:rsidR="0048669B" w:rsidRPr="0048669B" w:rsidRDefault="0048669B" w:rsidP="0048669B">
      <w:pPr>
        <w:pStyle w:val="EndNoteBibliography"/>
        <w:spacing w:after="0"/>
        <w:ind w:left="720" w:hanging="720"/>
        <w:rPr>
          <w:noProof/>
        </w:rPr>
      </w:pPr>
      <w:r w:rsidRPr="0048669B">
        <w:rPr>
          <w:noProof/>
        </w:rPr>
        <w:t xml:space="preserve">Bernstein, D. P., Ahluvalia, T., Pogge, D., &amp; Handelsman, L. (1997). Validity of the Childhood Trauma Questionnaire in an adolescent psychiatric population. </w:t>
      </w:r>
      <w:r w:rsidRPr="0048669B">
        <w:rPr>
          <w:i/>
          <w:noProof/>
        </w:rPr>
        <w:t>Journal of the American Academy of Child &amp; Adolescent Psychiatry</w:t>
      </w:r>
      <w:r w:rsidRPr="0048669B">
        <w:rPr>
          <w:noProof/>
        </w:rPr>
        <w:t>,</w:t>
      </w:r>
      <w:r w:rsidRPr="0048669B">
        <w:rPr>
          <w:i/>
          <w:noProof/>
        </w:rPr>
        <w:t xml:space="preserve"> 36</w:t>
      </w:r>
      <w:r w:rsidRPr="0048669B">
        <w:rPr>
          <w:noProof/>
        </w:rPr>
        <w:t xml:space="preserve">(3), 340-348. </w:t>
      </w:r>
    </w:p>
    <w:p w14:paraId="520D0960" w14:textId="77777777" w:rsidR="0048669B" w:rsidRPr="0048669B" w:rsidRDefault="0048669B" w:rsidP="0048669B">
      <w:pPr>
        <w:pStyle w:val="EndNoteBibliography"/>
        <w:spacing w:after="0"/>
        <w:ind w:left="720" w:hanging="720"/>
        <w:rPr>
          <w:noProof/>
        </w:rPr>
      </w:pPr>
      <w:r w:rsidRPr="0048669B">
        <w:rPr>
          <w:noProof/>
        </w:rPr>
        <w:t xml:space="preserve">Bifulco, A., Brown, G. W., &amp; Harris, T. O. (1994). Childhood Experience of Care and Abuse (CECA): a retrospective interview measure. </w:t>
      </w:r>
      <w:r w:rsidRPr="0048669B">
        <w:rPr>
          <w:i/>
          <w:noProof/>
        </w:rPr>
        <w:t>Journal of Child Psychology and Psychiatry</w:t>
      </w:r>
      <w:r w:rsidRPr="0048669B">
        <w:rPr>
          <w:noProof/>
        </w:rPr>
        <w:t>,</w:t>
      </w:r>
      <w:r w:rsidRPr="0048669B">
        <w:rPr>
          <w:i/>
          <w:noProof/>
        </w:rPr>
        <w:t xml:space="preserve"> 35</w:t>
      </w:r>
      <w:r w:rsidRPr="0048669B">
        <w:rPr>
          <w:noProof/>
        </w:rPr>
        <w:t xml:space="preserve">(8), 1419-1435. </w:t>
      </w:r>
    </w:p>
    <w:p w14:paraId="200D1446" w14:textId="75D148B0" w:rsidR="0048669B" w:rsidRPr="0048669B" w:rsidRDefault="0048669B" w:rsidP="0048669B">
      <w:pPr>
        <w:pStyle w:val="EndNoteBibliography"/>
        <w:spacing w:after="0"/>
        <w:ind w:left="720" w:hanging="720"/>
        <w:rPr>
          <w:noProof/>
        </w:rPr>
      </w:pPr>
      <w:r w:rsidRPr="0048669B">
        <w:rPr>
          <w:noProof/>
        </w:rPr>
        <w:t xml:space="preserve">Brooks, B. L., Sherman, E. M. S., &amp; Strauss, E. (2009). NEPSY-II: A Developmental Neuropsychological Assessment, Second Edition. </w:t>
      </w:r>
      <w:r w:rsidRPr="0048669B">
        <w:rPr>
          <w:i/>
          <w:noProof/>
        </w:rPr>
        <w:t>Child neuropsychology</w:t>
      </w:r>
      <w:r w:rsidRPr="0048669B">
        <w:rPr>
          <w:noProof/>
        </w:rPr>
        <w:t>,</w:t>
      </w:r>
      <w:r w:rsidRPr="0048669B">
        <w:rPr>
          <w:i/>
          <w:noProof/>
        </w:rPr>
        <w:t xml:space="preserve"> 16</w:t>
      </w:r>
      <w:r w:rsidRPr="0048669B">
        <w:rPr>
          <w:noProof/>
        </w:rPr>
        <w:t xml:space="preserve">(1), 80-101. </w:t>
      </w:r>
      <w:hyperlink r:id="rId8" w:history="1">
        <w:r w:rsidRPr="0048669B">
          <w:rPr>
            <w:rStyle w:val="Hyperlink"/>
            <w:noProof/>
          </w:rPr>
          <w:t>https://doi.org/10.1080/09297040903146966</w:t>
        </w:r>
      </w:hyperlink>
      <w:r w:rsidRPr="0048669B">
        <w:rPr>
          <w:noProof/>
        </w:rPr>
        <w:t xml:space="preserve"> </w:t>
      </w:r>
    </w:p>
    <w:p w14:paraId="4FC7D482" w14:textId="3A3B5849" w:rsidR="0048669B" w:rsidRPr="0048669B" w:rsidRDefault="0048669B" w:rsidP="0048669B">
      <w:pPr>
        <w:pStyle w:val="EndNoteBibliography"/>
        <w:spacing w:after="0"/>
        <w:ind w:left="720" w:hanging="720"/>
        <w:rPr>
          <w:noProof/>
        </w:rPr>
      </w:pPr>
      <w:r w:rsidRPr="0048669B">
        <w:rPr>
          <w:noProof/>
        </w:rPr>
        <w:t xml:space="preserve">Helfinstein, S. M., Kirwan, M. L., Benson, B. E., Hardin, M. G., Pine, D. S., Ernst, M., &amp; Fox, N. A. (2013). Validation of a child-friendly version of the monetary incentive delay task. </w:t>
      </w:r>
      <w:r w:rsidRPr="0048669B">
        <w:rPr>
          <w:i/>
          <w:noProof/>
        </w:rPr>
        <w:t>Social cognitive and affective neuroscience</w:t>
      </w:r>
      <w:r w:rsidRPr="0048669B">
        <w:rPr>
          <w:noProof/>
        </w:rPr>
        <w:t>,</w:t>
      </w:r>
      <w:r w:rsidRPr="0048669B">
        <w:rPr>
          <w:i/>
          <w:noProof/>
        </w:rPr>
        <w:t xml:space="preserve"> 8</w:t>
      </w:r>
      <w:r w:rsidRPr="0048669B">
        <w:rPr>
          <w:noProof/>
        </w:rPr>
        <w:t xml:space="preserve">(6), 720-726. </w:t>
      </w:r>
      <w:hyperlink r:id="rId9" w:history="1">
        <w:r w:rsidRPr="0048669B">
          <w:rPr>
            <w:rStyle w:val="Hyperlink"/>
            <w:noProof/>
          </w:rPr>
          <w:t>https://doi.org/10.1093/scan/nss057</w:t>
        </w:r>
      </w:hyperlink>
      <w:r w:rsidRPr="0048669B">
        <w:rPr>
          <w:noProof/>
        </w:rPr>
        <w:t xml:space="preserve"> </w:t>
      </w:r>
    </w:p>
    <w:p w14:paraId="073F6684" w14:textId="77777777" w:rsidR="0048669B" w:rsidRPr="0048669B" w:rsidRDefault="0048669B" w:rsidP="0048669B">
      <w:pPr>
        <w:pStyle w:val="EndNoteBibliography"/>
        <w:spacing w:after="0"/>
        <w:ind w:left="720" w:hanging="720"/>
        <w:rPr>
          <w:noProof/>
        </w:rPr>
      </w:pPr>
      <w:r w:rsidRPr="0048669B">
        <w:rPr>
          <w:noProof/>
        </w:rPr>
        <w:t xml:space="preserve">Kaufman Kantor, G., Holt, M., Mebert, C., Straus, M., Drach, K., Ricci, L., MacAllum, C., &amp; Brown, W. (2004). Development and psychometric properties of the Child Self-report multidimensional neglectful behavior scale (MNBS-CR). </w:t>
      </w:r>
      <w:r w:rsidRPr="0048669B">
        <w:rPr>
          <w:i/>
          <w:noProof/>
        </w:rPr>
        <w:t>Child Maltreatment</w:t>
      </w:r>
      <w:r w:rsidRPr="0048669B">
        <w:rPr>
          <w:noProof/>
        </w:rPr>
        <w:t>,</w:t>
      </w:r>
      <w:r w:rsidRPr="0048669B">
        <w:rPr>
          <w:i/>
          <w:noProof/>
        </w:rPr>
        <w:t xml:space="preserve"> 9</w:t>
      </w:r>
      <w:r w:rsidRPr="0048669B">
        <w:rPr>
          <w:noProof/>
        </w:rPr>
        <w:t xml:space="preserve">(4), 409-429. </w:t>
      </w:r>
    </w:p>
    <w:p w14:paraId="028FF4B0" w14:textId="3DCC06DE" w:rsidR="0048669B" w:rsidRPr="0048669B" w:rsidRDefault="0048669B" w:rsidP="0048669B">
      <w:pPr>
        <w:pStyle w:val="EndNoteBibliography"/>
        <w:spacing w:after="0"/>
        <w:ind w:left="720" w:hanging="720"/>
        <w:rPr>
          <w:noProof/>
        </w:rPr>
      </w:pPr>
      <w:r w:rsidRPr="0048669B">
        <w:rPr>
          <w:noProof/>
        </w:rPr>
        <w:t xml:space="preserve">Kim, S. G., Weissman, D. G., Sheridan, M. A., &amp; McLaughlin, K. A. (2021). Child abuse and automatic emotion regulation in children and adolescents. </w:t>
      </w:r>
      <w:r w:rsidRPr="0048669B">
        <w:rPr>
          <w:i/>
          <w:noProof/>
        </w:rPr>
        <w:t>Dev Psychopathol</w:t>
      </w:r>
      <w:r w:rsidRPr="0048669B">
        <w:rPr>
          <w:noProof/>
        </w:rPr>
        <w:t xml:space="preserve">, 1-11. </w:t>
      </w:r>
      <w:hyperlink r:id="rId10" w:history="1">
        <w:r w:rsidRPr="0048669B">
          <w:rPr>
            <w:rStyle w:val="Hyperlink"/>
            <w:noProof/>
          </w:rPr>
          <w:t>https://doi.org/10.1017/S0954579421000663</w:t>
        </w:r>
      </w:hyperlink>
      <w:r w:rsidRPr="0048669B">
        <w:rPr>
          <w:noProof/>
        </w:rPr>
        <w:t xml:space="preserve"> </w:t>
      </w:r>
    </w:p>
    <w:p w14:paraId="6F70773D" w14:textId="64ED4588" w:rsidR="0048669B" w:rsidRPr="0048669B" w:rsidRDefault="0048669B" w:rsidP="0048669B">
      <w:pPr>
        <w:pStyle w:val="EndNoteBibliography"/>
        <w:spacing w:after="0"/>
        <w:ind w:left="720" w:hanging="720"/>
        <w:rPr>
          <w:noProof/>
        </w:rPr>
      </w:pPr>
      <w:r w:rsidRPr="0048669B">
        <w:rPr>
          <w:noProof/>
        </w:rPr>
        <w:t xml:space="preserve">McLaughlin, K. A., Colich, N. L., Rodman, A. M., &amp; Weissman, D. G. (2020). Mechanisms linking childhood trauma exposure and psychopathology: a transdiagnostic model of risk and resilience. </w:t>
      </w:r>
      <w:r w:rsidRPr="0048669B">
        <w:rPr>
          <w:i/>
          <w:noProof/>
        </w:rPr>
        <w:t>BMC Med</w:t>
      </w:r>
      <w:r w:rsidRPr="0048669B">
        <w:rPr>
          <w:noProof/>
        </w:rPr>
        <w:t>,</w:t>
      </w:r>
      <w:r w:rsidRPr="0048669B">
        <w:rPr>
          <w:i/>
          <w:noProof/>
        </w:rPr>
        <w:t xml:space="preserve"> 18</w:t>
      </w:r>
      <w:r w:rsidRPr="0048669B">
        <w:rPr>
          <w:noProof/>
        </w:rPr>
        <w:t xml:space="preserve">(1), 96. </w:t>
      </w:r>
      <w:hyperlink r:id="rId11" w:history="1">
        <w:r w:rsidRPr="0048669B">
          <w:rPr>
            <w:rStyle w:val="Hyperlink"/>
            <w:noProof/>
          </w:rPr>
          <w:t>https://doi.org/10.1186/s12916-020-01561-6</w:t>
        </w:r>
      </w:hyperlink>
      <w:r w:rsidRPr="0048669B">
        <w:rPr>
          <w:noProof/>
        </w:rPr>
        <w:t xml:space="preserve"> </w:t>
      </w:r>
    </w:p>
    <w:p w14:paraId="72E37FC8" w14:textId="7257E80F" w:rsidR="0048669B" w:rsidRPr="0048669B" w:rsidRDefault="0048669B" w:rsidP="0048669B">
      <w:pPr>
        <w:pStyle w:val="EndNoteBibliography"/>
        <w:spacing w:after="0"/>
        <w:ind w:left="720" w:hanging="720"/>
        <w:rPr>
          <w:noProof/>
        </w:rPr>
      </w:pPr>
      <w:r w:rsidRPr="0048669B">
        <w:rPr>
          <w:noProof/>
        </w:rPr>
        <w:t xml:space="preserve">McLaughlin, K. A., DeCross, S. N., Jovanovic, T., &amp; Tottenham, N. (2019). Mechanisms linking childhood adversity with psychopathology: Learning as an intervention target. </w:t>
      </w:r>
      <w:r w:rsidRPr="0048669B">
        <w:rPr>
          <w:i/>
          <w:noProof/>
        </w:rPr>
        <w:t>Behav Res Ther</w:t>
      </w:r>
      <w:r w:rsidRPr="0048669B">
        <w:rPr>
          <w:noProof/>
        </w:rPr>
        <w:t>,</w:t>
      </w:r>
      <w:r w:rsidRPr="0048669B">
        <w:rPr>
          <w:i/>
          <w:noProof/>
        </w:rPr>
        <w:t xml:space="preserve"> 118</w:t>
      </w:r>
      <w:r w:rsidRPr="0048669B">
        <w:rPr>
          <w:noProof/>
        </w:rPr>
        <w:t xml:space="preserve">, 101-109. </w:t>
      </w:r>
      <w:hyperlink r:id="rId12" w:history="1">
        <w:r w:rsidRPr="0048669B">
          <w:rPr>
            <w:rStyle w:val="Hyperlink"/>
            <w:noProof/>
          </w:rPr>
          <w:t>https://doi.org/10.1016/j.brat.2019.04.008</w:t>
        </w:r>
      </w:hyperlink>
      <w:r w:rsidRPr="0048669B">
        <w:rPr>
          <w:noProof/>
        </w:rPr>
        <w:t xml:space="preserve"> </w:t>
      </w:r>
    </w:p>
    <w:p w14:paraId="65DAACE1" w14:textId="77777777" w:rsidR="0048669B" w:rsidRPr="0048669B" w:rsidRDefault="0048669B" w:rsidP="0048669B">
      <w:pPr>
        <w:pStyle w:val="EndNoteBibliography"/>
        <w:spacing w:after="0"/>
        <w:ind w:left="720" w:hanging="720"/>
        <w:rPr>
          <w:noProof/>
        </w:rPr>
      </w:pPr>
      <w:r w:rsidRPr="0048669B">
        <w:rPr>
          <w:noProof/>
        </w:rPr>
        <w:t xml:space="preserve">Mott, F. L. (2004). The utility of the HOME-SF scale for child development research in a large national longitudinal survey: the National Longitudinal Survey of Youth 1979 cohort. </w:t>
      </w:r>
      <w:r w:rsidRPr="0048669B">
        <w:rPr>
          <w:i/>
          <w:noProof/>
        </w:rPr>
        <w:t>Parenting</w:t>
      </w:r>
      <w:r w:rsidRPr="0048669B">
        <w:rPr>
          <w:noProof/>
        </w:rPr>
        <w:t>,</w:t>
      </w:r>
      <w:r w:rsidRPr="0048669B">
        <w:rPr>
          <w:i/>
          <w:noProof/>
        </w:rPr>
        <w:t xml:space="preserve"> 4</w:t>
      </w:r>
      <w:r w:rsidRPr="0048669B">
        <w:rPr>
          <w:noProof/>
        </w:rPr>
        <w:t xml:space="preserve">(2-3), 259-270. </w:t>
      </w:r>
    </w:p>
    <w:p w14:paraId="22F8B02A" w14:textId="77777777" w:rsidR="0048669B" w:rsidRPr="0048669B" w:rsidRDefault="0048669B" w:rsidP="0048669B">
      <w:pPr>
        <w:pStyle w:val="EndNoteBibliography"/>
        <w:spacing w:after="0"/>
        <w:ind w:left="720" w:hanging="720"/>
        <w:rPr>
          <w:noProof/>
        </w:rPr>
      </w:pPr>
      <w:r w:rsidRPr="0048669B">
        <w:rPr>
          <w:noProof/>
        </w:rPr>
        <w:t xml:space="preserve">Ono, M., &amp; Miller, H. P. (1969). </w:t>
      </w:r>
      <w:r w:rsidRPr="0048669B">
        <w:rPr>
          <w:i/>
          <w:noProof/>
        </w:rPr>
        <w:t>Income nonresponses in the current population survey</w:t>
      </w:r>
      <w:r w:rsidRPr="0048669B">
        <w:rPr>
          <w:noProof/>
        </w:rPr>
        <w:t xml:space="preserve">. US Bureau of the Census. </w:t>
      </w:r>
    </w:p>
    <w:p w14:paraId="5C62C824" w14:textId="77777777" w:rsidR="0048669B" w:rsidRPr="0048669B" w:rsidRDefault="0048669B" w:rsidP="0048669B">
      <w:pPr>
        <w:pStyle w:val="EndNoteBibliography"/>
        <w:spacing w:after="0"/>
        <w:ind w:left="720" w:hanging="720"/>
        <w:rPr>
          <w:noProof/>
        </w:rPr>
      </w:pPr>
      <w:r w:rsidRPr="0048669B">
        <w:rPr>
          <w:noProof/>
        </w:rPr>
        <w:t xml:space="preserve">Raviv, A., Raviv, A., Shimoni, H., Fox, N. A., &amp; Leavitt, L. A. (1999). Children's self-report of exposure to violence and its relation to emotional distress. </w:t>
      </w:r>
      <w:r w:rsidRPr="0048669B">
        <w:rPr>
          <w:i/>
          <w:noProof/>
        </w:rPr>
        <w:t>Journal of Applied Developmental Psychology</w:t>
      </w:r>
      <w:r w:rsidRPr="0048669B">
        <w:rPr>
          <w:noProof/>
        </w:rPr>
        <w:t>,</w:t>
      </w:r>
      <w:r w:rsidRPr="0048669B">
        <w:rPr>
          <w:i/>
          <w:noProof/>
        </w:rPr>
        <w:t xml:space="preserve"> 20</w:t>
      </w:r>
      <w:r w:rsidRPr="0048669B">
        <w:rPr>
          <w:noProof/>
        </w:rPr>
        <w:t xml:space="preserve">(2), 337-353. </w:t>
      </w:r>
    </w:p>
    <w:p w14:paraId="114031A1" w14:textId="5128AE8F" w:rsidR="0048669B" w:rsidRPr="0048669B" w:rsidRDefault="0048669B" w:rsidP="0048669B">
      <w:pPr>
        <w:pStyle w:val="EndNoteBibliography"/>
        <w:spacing w:after="0"/>
        <w:ind w:left="720" w:hanging="720"/>
        <w:rPr>
          <w:noProof/>
        </w:rPr>
      </w:pPr>
      <w:r w:rsidRPr="0048669B">
        <w:rPr>
          <w:noProof/>
        </w:rPr>
        <w:t xml:space="preserve">Scrucca, L., Fop, M., Murphy, T. B., &amp; Raftery, A. E. (2016). mclust 5: Clustering, Classification and Density Estimation Using Gaussian Finite Mixture Models. </w:t>
      </w:r>
      <w:r w:rsidRPr="0048669B">
        <w:rPr>
          <w:i/>
          <w:noProof/>
        </w:rPr>
        <w:t>The R journal</w:t>
      </w:r>
      <w:r w:rsidRPr="0048669B">
        <w:rPr>
          <w:noProof/>
        </w:rPr>
        <w:t>,</w:t>
      </w:r>
      <w:r w:rsidRPr="0048669B">
        <w:rPr>
          <w:i/>
          <w:noProof/>
        </w:rPr>
        <w:t xml:space="preserve"> 8</w:t>
      </w:r>
      <w:r w:rsidRPr="0048669B">
        <w:rPr>
          <w:noProof/>
        </w:rPr>
        <w:t xml:space="preserve">(1), 289-317. </w:t>
      </w:r>
      <w:hyperlink r:id="rId13" w:history="1">
        <w:r w:rsidRPr="0048669B">
          <w:rPr>
            <w:rStyle w:val="Hyperlink"/>
            <w:noProof/>
          </w:rPr>
          <w:t>https://doi.org/10.32614/RJ-2016-021</w:t>
        </w:r>
      </w:hyperlink>
      <w:r w:rsidRPr="0048669B">
        <w:rPr>
          <w:noProof/>
        </w:rPr>
        <w:t xml:space="preserve"> </w:t>
      </w:r>
    </w:p>
    <w:p w14:paraId="204198EF" w14:textId="76E77B3C" w:rsidR="0048669B" w:rsidRPr="0048669B" w:rsidRDefault="0048669B" w:rsidP="0048669B">
      <w:pPr>
        <w:pStyle w:val="EndNoteBibliography"/>
        <w:spacing w:after="0"/>
        <w:ind w:left="720" w:hanging="720"/>
        <w:rPr>
          <w:noProof/>
        </w:rPr>
      </w:pPr>
      <w:r w:rsidRPr="0048669B">
        <w:rPr>
          <w:noProof/>
        </w:rPr>
        <w:t xml:space="preserve">Sheridan, M. A., &amp; McLaughlin, K. A. (2020). Neurodevelopmental mechanisms linking ACEs with psychopathology. In </w:t>
      </w:r>
      <w:r w:rsidRPr="0048669B">
        <w:rPr>
          <w:i/>
          <w:noProof/>
        </w:rPr>
        <w:t>Adverse childhood experiences: Using evidence to advance research, practice, policy, and prevention.</w:t>
      </w:r>
      <w:r w:rsidRPr="0048669B">
        <w:rPr>
          <w:noProof/>
        </w:rPr>
        <w:t xml:space="preserve"> (pp. 265-285). Elsevier Academic Press. </w:t>
      </w:r>
      <w:hyperlink r:id="rId14" w:history="1">
        <w:r w:rsidRPr="0048669B">
          <w:rPr>
            <w:rStyle w:val="Hyperlink"/>
            <w:noProof/>
          </w:rPr>
          <w:t>https://doi.org/10.1016/B978-0-12-816065-7.00013-6</w:t>
        </w:r>
      </w:hyperlink>
      <w:r w:rsidRPr="0048669B">
        <w:rPr>
          <w:noProof/>
        </w:rPr>
        <w:t xml:space="preserve"> </w:t>
      </w:r>
    </w:p>
    <w:p w14:paraId="508CDED0" w14:textId="6BF345D4" w:rsidR="0048669B" w:rsidRPr="0048669B" w:rsidRDefault="0048669B" w:rsidP="0048669B">
      <w:pPr>
        <w:pStyle w:val="EndNoteBibliography"/>
        <w:spacing w:after="0"/>
        <w:ind w:left="720" w:hanging="720"/>
        <w:rPr>
          <w:noProof/>
        </w:rPr>
      </w:pPr>
      <w:r w:rsidRPr="0048669B">
        <w:rPr>
          <w:noProof/>
        </w:rPr>
        <w:t xml:space="preserve">Steinberg, A. M., Brymer, M. J., Decker, K. B., &amp; Pynoos, R. S. (2004). The University of California at Los Angeles Post-traumatic Stress Disorder Reaction Index. </w:t>
      </w:r>
      <w:r w:rsidRPr="0048669B">
        <w:rPr>
          <w:i/>
          <w:noProof/>
        </w:rPr>
        <w:t>Curr Psychiatry Rep</w:t>
      </w:r>
      <w:r w:rsidRPr="0048669B">
        <w:rPr>
          <w:noProof/>
        </w:rPr>
        <w:t>,</w:t>
      </w:r>
      <w:r w:rsidRPr="0048669B">
        <w:rPr>
          <w:i/>
          <w:noProof/>
        </w:rPr>
        <w:t xml:space="preserve"> 6</w:t>
      </w:r>
      <w:r w:rsidRPr="0048669B">
        <w:rPr>
          <w:noProof/>
        </w:rPr>
        <w:t xml:space="preserve">(2), 96-100. </w:t>
      </w:r>
      <w:hyperlink r:id="rId15" w:history="1">
        <w:r w:rsidRPr="0048669B">
          <w:rPr>
            <w:rStyle w:val="Hyperlink"/>
            <w:noProof/>
          </w:rPr>
          <w:t>https://doi.org/10.1007/s11920-004-0048-2</w:t>
        </w:r>
      </w:hyperlink>
      <w:r w:rsidRPr="0048669B">
        <w:rPr>
          <w:noProof/>
        </w:rPr>
        <w:t xml:space="preserve"> </w:t>
      </w:r>
    </w:p>
    <w:p w14:paraId="1CA8D90E" w14:textId="77777777" w:rsidR="0048669B" w:rsidRPr="0048669B" w:rsidRDefault="0048669B" w:rsidP="0048669B">
      <w:pPr>
        <w:pStyle w:val="EndNoteBibliography"/>
        <w:spacing w:after="0"/>
        <w:ind w:left="720" w:hanging="720"/>
        <w:rPr>
          <w:noProof/>
        </w:rPr>
      </w:pPr>
      <w:r w:rsidRPr="0048669B">
        <w:rPr>
          <w:noProof/>
        </w:rPr>
        <w:lastRenderedPageBreak/>
        <w:t xml:space="preserve">Stroop, J. R. (1935). </w:t>
      </w:r>
      <w:r w:rsidRPr="0048669B">
        <w:rPr>
          <w:i/>
          <w:noProof/>
        </w:rPr>
        <w:t>Studies of interference in serial verbal reactions</w:t>
      </w:r>
      <w:r w:rsidRPr="0048669B">
        <w:rPr>
          <w:noProof/>
        </w:rPr>
        <w:t xml:space="preserve"> George Peabody College for Teachers]. Nashville, Tenn. </w:t>
      </w:r>
    </w:p>
    <w:p w14:paraId="63A86C62" w14:textId="6309732B" w:rsidR="0048669B" w:rsidRPr="0048669B" w:rsidRDefault="0048669B" w:rsidP="0048669B">
      <w:pPr>
        <w:pStyle w:val="EndNoteBibliography"/>
        <w:spacing w:after="0"/>
        <w:ind w:left="720" w:hanging="720"/>
        <w:rPr>
          <w:noProof/>
        </w:rPr>
      </w:pPr>
      <w:r w:rsidRPr="0048669B">
        <w:rPr>
          <w:noProof/>
        </w:rPr>
        <w:t xml:space="preserve">Verbruggen, F., &amp; Logan, G. D. (2008). Automatic and Controlled Response Inhibition: Associative Learning in the Go/No-Go and Stop-Signal Paradigms. </w:t>
      </w:r>
      <w:r w:rsidRPr="0048669B">
        <w:rPr>
          <w:i/>
          <w:noProof/>
        </w:rPr>
        <w:t>Journal of experimental psychology. General</w:t>
      </w:r>
      <w:r w:rsidRPr="0048669B">
        <w:rPr>
          <w:noProof/>
        </w:rPr>
        <w:t>,</w:t>
      </w:r>
      <w:r w:rsidRPr="0048669B">
        <w:rPr>
          <w:i/>
          <w:noProof/>
        </w:rPr>
        <w:t xml:space="preserve"> 137</w:t>
      </w:r>
      <w:r w:rsidRPr="0048669B">
        <w:rPr>
          <w:noProof/>
        </w:rPr>
        <w:t xml:space="preserve">(4), 649-672. </w:t>
      </w:r>
      <w:hyperlink r:id="rId16" w:history="1">
        <w:r w:rsidRPr="0048669B">
          <w:rPr>
            <w:rStyle w:val="Hyperlink"/>
            <w:noProof/>
          </w:rPr>
          <w:t>https://doi.org/10.1037/a0013170</w:t>
        </w:r>
      </w:hyperlink>
      <w:r w:rsidRPr="0048669B">
        <w:rPr>
          <w:noProof/>
        </w:rPr>
        <w:t xml:space="preserve"> </w:t>
      </w:r>
    </w:p>
    <w:p w14:paraId="39EDFDDD" w14:textId="77777777" w:rsidR="0048669B" w:rsidRPr="0048669B" w:rsidRDefault="0048669B" w:rsidP="0048669B">
      <w:pPr>
        <w:pStyle w:val="EndNoteBibliography"/>
        <w:spacing w:after="0"/>
        <w:ind w:left="720" w:hanging="720"/>
        <w:rPr>
          <w:noProof/>
        </w:rPr>
      </w:pPr>
      <w:r w:rsidRPr="0048669B">
        <w:rPr>
          <w:noProof/>
        </w:rPr>
        <w:t xml:space="preserve">Wechsler, D. (1999). Wechsler abbreviated scale of intelligence. </w:t>
      </w:r>
    </w:p>
    <w:p w14:paraId="10E951FF" w14:textId="68853B03" w:rsidR="0048669B" w:rsidRPr="0048669B" w:rsidRDefault="0048669B" w:rsidP="0048669B">
      <w:pPr>
        <w:pStyle w:val="EndNoteBibliography"/>
        <w:ind w:left="720" w:hanging="720"/>
        <w:rPr>
          <w:noProof/>
        </w:rPr>
      </w:pPr>
      <w:r w:rsidRPr="0048669B">
        <w:rPr>
          <w:noProof/>
        </w:rPr>
        <w:t xml:space="preserve">Zalewski, M., Lengua, L. J., Kiff, C. J., &amp; Fisher, P. A. (2012). Understanding the Relation of Low Income to HPA-Axis Functioning in Preschool Children: Cumulative Family Risk and Parenting As Pathways to Disruptions in Cortisol. </w:t>
      </w:r>
      <w:r w:rsidRPr="0048669B">
        <w:rPr>
          <w:i/>
          <w:noProof/>
        </w:rPr>
        <w:t>Child psychiatry and human development</w:t>
      </w:r>
      <w:r w:rsidRPr="0048669B">
        <w:rPr>
          <w:noProof/>
        </w:rPr>
        <w:t>,</w:t>
      </w:r>
      <w:r w:rsidRPr="0048669B">
        <w:rPr>
          <w:i/>
          <w:noProof/>
        </w:rPr>
        <w:t xml:space="preserve"> 43</w:t>
      </w:r>
      <w:r w:rsidRPr="0048669B">
        <w:rPr>
          <w:noProof/>
        </w:rPr>
        <w:t xml:space="preserve">(6), 924-942. </w:t>
      </w:r>
      <w:hyperlink r:id="rId17" w:history="1">
        <w:r w:rsidRPr="0048669B">
          <w:rPr>
            <w:rStyle w:val="Hyperlink"/>
            <w:noProof/>
          </w:rPr>
          <w:t>https://doi.org/10.1007/s10578-012-0304-3</w:t>
        </w:r>
      </w:hyperlink>
      <w:r w:rsidRPr="0048669B">
        <w:rPr>
          <w:noProof/>
        </w:rPr>
        <w:t xml:space="preserve"> </w:t>
      </w:r>
    </w:p>
    <w:p w14:paraId="4A36EB99" w14:textId="3FB8001E" w:rsidR="00E82A19" w:rsidRPr="00FB47D8" w:rsidRDefault="003C124E" w:rsidP="00E82A19">
      <w:pPr>
        <w:spacing w:line="360" w:lineRule="auto"/>
        <w:rPr>
          <w:rFonts w:ascii="Calibri" w:hAnsi="Calibri" w:cs="Calibri"/>
          <w:sz w:val="24"/>
          <w:szCs w:val="24"/>
        </w:rPr>
      </w:pPr>
      <w:r w:rsidRPr="00FB47D8">
        <w:rPr>
          <w:rFonts w:ascii="Calibri" w:hAnsi="Calibri" w:cs="Calibri"/>
          <w:sz w:val="24"/>
          <w:szCs w:val="24"/>
        </w:rPr>
        <w:fldChar w:fldCharType="end"/>
      </w:r>
    </w:p>
    <w:sectPr w:rsidR="00E82A19" w:rsidRPr="00FB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33&lt;/item&gt;&lt;item&gt;38&lt;/item&gt;&lt;item&gt;39&lt;/item&gt;&lt;item&gt;40&lt;/item&gt;&lt;item&gt;41&lt;/item&gt;&lt;item&gt;42&lt;/item&gt;&lt;item&gt;43&lt;/item&gt;&lt;item&gt;44&lt;/item&gt;&lt;item&gt;52&lt;/item&gt;&lt;item&gt;53&lt;/item&gt;&lt;item&gt;54&lt;/item&gt;&lt;item&gt;105&lt;/item&gt;&lt;item&gt;115&lt;/item&gt;&lt;item&gt;116&lt;/item&gt;&lt;item&gt;117&lt;/item&gt;&lt;item&gt;118&lt;/item&gt;&lt;item&gt;119&lt;/item&gt;&lt;item&gt;120&lt;/item&gt;&lt;item&gt;121&lt;/item&gt;&lt;item&gt;122&lt;/item&gt;&lt;/record-ids&gt;&lt;/item&gt;&lt;/Libraries&gt;"/>
  </w:docVars>
  <w:rsids>
    <w:rsidRoot w:val="00E82A19"/>
    <w:rsid w:val="00061F22"/>
    <w:rsid w:val="00080A6C"/>
    <w:rsid w:val="001155C3"/>
    <w:rsid w:val="00177EFD"/>
    <w:rsid w:val="00260DE2"/>
    <w:rsid w:val="003A76AB"/>
    <w:rsid w:val="003C124E"/>
    <w:rsid w:val="00407397"/>
    <w:rsid w:val="00450EB0"/>
    <w:rsid w:val="00451D9A"/>
    <w:rsid w:val="00461BEF"/>
    <w:rsid w:val="0048669B"/>
    <w:rsid w:val="004941D3"/>
    <w:rsid w:val="00505C0F"/>
    <w:rsid w:val="00563BCE"/>
    <w:rsid w:val="006E59C0"/>
    <w:rsid w:val="00737124"/>
    <w:rsid w:val="007541FC"/>
    <w:rsid w:val="00775EE3"/>
    <w:rsid w:val="00795B74"/>
    <w:rsid w:val="0082087A"/>
    <w:rsid w:val="00821ABC"/>
    <w:rsid w:val="00884FCD"/>
    <w:rsid w:val="009248CB"/>
    <w:rsid w:val="00936580"/>
    <w:rsid w:val="00983974"/>
    <w:rsid w:val="009937F4"/>
    <w:rsid w:val="00A23142"/>
    <w:rsid w:val="00A737B0"/>
    <w:rsid w:val="00AF50FE"/>
    <w:rsid w:val="00B83015"/>
    <w:rsid w:val="00CC01F5"/>
    <w:rsid w:val="00D46153"/>
    <w:rsid w:val="00D561AE"/>
    <w:rsid w:val="00DC256E"/>
    <w:rsid w:val="00E82A19"/>
    <w:rsid w:val="00F52BF8"/>
    <w:rsid w:val="00FB47D8"/>
    <w:rsid w:val="00FF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BF4D"/>
  <w15:chartTrackingRefBased/>
  <w15:docId w15:val="{7B609542-2DE2-3340-B6C4-7376BB0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19"/>
    <w:pPr>
      <w:spacing w:after="160" w:line="259" w:lineRule="auto"/>
    </w:pPr>
    <w:rPr>
      <w:rFonts w:ascii="Times New Roman" w:hAnsi="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2A19"/>
    <w:rPr>
      <w:sz w:val="16"/>
      <w:szCs w:val="16"/>
    </w:rPr>
  </w:style>
  <w:style w:type="paragraph" w:styleId="CommentText">
    <w:name w:val="annotation text"/>
    <w:basedOn w:val="Normal"/>
    <w:link w:val="CommentTextChar"/>
    <w:uiPriority w:val="99"/>
    <w:unhideWhenUsed/>
    <w:rsid w:val="00E82A19"/>
    <w:pPr>
      <w:spacing w:line="240" w:lineRule="auto"/>
    </w:pPr>
    <w:rPr>
      <w:sz w:val="20"/>
      <w:szCs w:val="20"/>
    </w:rPr>
  </w:style>
  <w:style w:type="character" w:customStyle="1" w:styleId="CommentTextChar">
    <w:name w:val="Comment Text Char"/>
    <w:basedOn w:val="DefaultParagraphFont"/>
    <w:link w:val="CommentText"/>
    <w:uiPriority w:val="99"/>
    <w:rsid w:val="00E82A19"/>
    <w:rPr>
      <w:rFonts w:ascii="Times New Roman" w:hAnsi="Times New Roman"/>
      <w:sz w:val="20"/>
      <w:szCs w:val="20"/>
    </w:rPr>
  </w:style>
  <w:style w:type="character" w:styleId="Hyperlink">
    <w:name w:val="Hyperlink"/>
    <w:basedOn w:val="DefaultParagraphFont"/>
    <w:uiPriority w:val="99"/>
    <w:unhideWhenUsed/>
    <w:rsid w:val="00884FCD"/>
    <w:rPr>
      <w:color w:val="0563C1" w:themeColor="hyperlink"/>
      <w:u w:val="single"/>
    </w:rPr>
  </w:style>
  <w:style w:type="paragraph" w:customStyle="1" w:styleId="EndNoteBibliographyTitle">
    <w:name w:val="EndNote Bibliography Title"/>
    <w:basedOn w:val="Normal"/>
    <w:link w:val="EndNoteBibliographyTitleChar"/>
    <w:rsid w:val="003C124E"/>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3C124E"/>
    <w:rPr>
      <w:rFonts w:ascii="Times New Roman" w:hAnsi="Times New Roman" w:cs="Times New Roman"/>
      <w:sz w:val="22"/>
      <w:szCs w:val="22"/>
    </w:rPr>
  </w:style>
  <w:style w:type="paragraph" w:customStyle="1" w:styleId="EndNoteBibliography">
    <w:name w:val="EndNote Bibliography"/>
    <w:basedOn w:val="Normal"/>
    <w:link w:val="EndNoteBibliographyChar"/>
    <w:rsid w:val="003C124E"/>
    <w:pPr>
      <w:spacing w:line="240" w:lineRule="auto"/>
    </w:pPr>
    <w:rPr>
      <w:rFonts w:cs="Times New Roman"/>
    </w:rPr>
  </w:style>
  <w:style w:type="character" w:customStyle="1" w:styleId="EndNoteBibliographyChar">
    <w:name w:val="EndNote Bibliography Char"/>
    <w:basedOn w:val="DefaultParagraphFont"/>
    <w:link w:val="EndNoteBibliography"/>
    <w:rsid w:val="003C124E"/>
    <w:rPr>
      <w:rFonts w:ascii="Times New Roman" w:hAnsi="Times New Roman" w:cs="Times New Roman"/>
      <w:sz w:val="22"/>
      <w:szCs w:val="22"/>
    </w:rPr>
  </w:style>
  <w:style w:type="character" w:styleId="UnresolvedMention">
    <w:name w:val="Unresolved Mention"/>
    <w:basedOn w:val="DefaultParagraphFont"/>
    <w:uiPriority w:val="99"/>
    <w:semiHidden/>
    <w:unhideWhenUsed/>
    <w:rsid w:val="003C124E"/>
    <w:rPr>
      <w:color w:val="605E5C"/>
      <w:shd w:val="clear" w:color="auto" w:fill="E1DFDD"/>
    </w:rPr>
  </w:style>
  <w:style w:type="character" w:styleId="FollowedHyperlink">
    <w:name w:val="FollowedHyperlink"/>
    <w:basedOn w:val="DefaultParagraphFont"/>
    <w:uiPriority w:val="99"/>
    <w:semiHidden/>
    <w:unhideWhenUsed/>
    <w:rsid w:val="00754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058">
      <w:bodyDiv w:val="1"/>
      <w:marLeft w:val="0"/>
      <w:marRight w:val="0"/>
      <w:marTop w:val="0"/>
      <w:marBottom w:val="0"/>
      <w:divBdr>
        <w:top w:val="none" w:sz="0" w:space="0" w:color="auto"/>
        <w:left w:val="none" w:sz="0" w:space="0" w:color="auto"/>
        <w:bottom w:val="none" w:sz="0" w:space="0" w:color="auto"/>
        <w:right w:val="none" w:sz="0" w:space="0" w:color="auto"/>
      </w:divBdr>
    </w:div>
    <w:div w:id="130054157">
      <w:bodyDiv w:val="1"/>
      <w:marLeft w:val="0"/>
      <w:marRight w:val="0"/>
      <w:marTop w:val="0"/>
      <w:marBottom w:val="0"/>
      <w:divBdr>
        <w:top w:val="none" w:sz="0" w:space="0" w:color="auto"/>
        <w:left w:val="none" w:sz="0" w:space="0" w:color="auto"/>
        <w:bottom w:val="none" w:sz="0" w:space="0" w:color="auto"/>
        <w:right w:val="none" w:sz="0" w:space="0" w:color="auto"/>
      </w:divBdr>
    </w:div>
    <w:div w:id="281544917">
      <w:bodyDiv w:val="1"/>
      <w:marLeft w:val="0"/>
      <w:marRight w:val="0"/>
      <w:marTop w:val="0"/>
      <w:marBottom w:val="0"/>
      <w:divBdr>
        <w:top w:val="none" w:sz="0" w:space="0" w:color="auto"/>
        <w:left w:val="none" w:sz="0" w:space="0" w:color="auto"/>
        <w:bottom w:val="none" w:sz="0" w:space="0" w:color="auto"/>
        <w:right w:val="none" w:sz="0" w:space="0" w:color="auto"/>
      </w:divBdr>
    </w:div>
    <w:div w:id="1321620066">
      <w:bodyDiv w:val="1"/>
      <w:marLeft w:val="0"/>
      <w:marRight w:val="0"/>
      <w:marTop w:val="0"/>
      <w:marBottom w:val="0"/>
      <w:divBdr>
        <w:top w:val="none" w:sz="0" w:space="0" w:color="auto"/>
        <w:left w:val="none" w:sz="0" w:space="0" w:color="auto"/>
        <w:bottom w:val="none" w:sz="0" w:space="0" w:color="auto"/>
        <w:right w:val="none" w:sz="0" w:space="0" w:color="auto"/>
      </w:divBdr>
    </w:div>
    <w:div w:id="18333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297040903146966" TargetMode="External"/><Relationship Id="rId13" Type="http://schemas.openxmlformats.org/officeDocument/2006/relationships/hyperlink" Target="https://doi.org/10.32614/RJ-2016-02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3791/53720" TargetMode="External"/><Relationship Id="rId12" Type="http://schemas.openxmlformats.org/officeDocument/2006/relationships/hyperlink" Target="https://doi.org/10.1016/j.brat.2019.04.008" TargetMode="External"/><Relationship Id="rId17" Type="http://schemas.openxmlformats.org/officeDocument/2006/relationships/hyperlink" Target="https://doi.org/10.1007/s10578-012-0304-3" TargetMode="External"/><Relationship Id="rId2" Type="http://schemas.openxmlformats.org/officeDocument/2006/relationships/settings" Target="settings.xml"/><Relationship Id="rId16" Type="http://schemas.openxmlformats.org/officeDocument/2006/relationships/hyperlink" Target="https://doi.org/10.1037/a0013170" TargetMode="External"/><Relationship Id="rId1" Type="http://schemas.openxmlformats.org/officeDocument/2006/relationships/styles" Target="styles.xml"/><Relationship Id="rId6" Type="http://schemas.openxmlformats.org/officeDocument/2006/relationships/hyperlink" Target="https://doi.org/10.1016/j.jrp.2003.09.011" TargetMode="External"/><Relationship Id="rId11" Type="http://schemas.openxmlformats.org/officeDocument/2006/relationships/hyperlink" Target="https://doi.org/10.1186/s12916-020-01561-6" TargetMode="External"/><Relationship Id="rId5" Type="http://schemas.openxmlformats.org/officeDocument/2006/relationships/image" Target="media/image1.png"/><Relationship Id="rId15" Type="http://schemas.openxmlformats.org/officeDocument/2006/relationships/hyperlink" Target="https://doi.org/10.1007/s11920-004-0048-2" TargetMode="External"/><Relationship Id="rId10" Type="http://schemas.openxmlformats.org/officeDocument/2006/relationships/hyperlink" Target="https://doi.org/10.1017/S0954579421000663" TargetMode="External"/><Relationship Id="rId19" Type="http://schemas.openxmlformats.org/officeDocument/2006/relationships/theme" Target="theme/theme1.xml"/><Relationship Id="rId4" Type="http://schemas.openxmlformats.org/officeDocument/2006/relationships/hyperlink" Target="https://osf.io/6yf4p/" TargetMode="External"/><Relationship Id="rId9" Type="http://schemas.openxmlformats.org/officeDocument/2006/relationships/hyperlink" Target="https://doi.org/10.1093/scan/nss057" TargetMode="External"/><Relationship Id="rId14" Type="http://schemas.openxmlformats.org/officeDocument/2006/relationships/hyperlink" Target="https://doi.org/10.1016/B978-0-12-816065-7.000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5781</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5</cp:revision>
  <dcterms:created xsi:type="dcterms:W3CDTF">2023-01-17T03:46:00Z</dcterms:created>
  <dcterms:modified xsi:type="dcterms:W3CDTF">2023-01-20T21:02:00Z</dcterms:modified>
</cp:coreProperties>
</file>