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3EA3C613" w:rsidR="00CD6B59" w:rsidRPr="0074250E" w:rsidRDefault="00CD6B59" w:rsidP="00CD6B59">
      <w:pPr>
        <w:spacing w:after="240" w:line="360" w:lineRule="auto"/>
        <w:rPr>
          <w:rFonts w:ascii="Calibri" w:hAnsi="Calibri" w:cs="Calibri"/>
          <w:b/>
          <w:bCs/>
          <w:u w:val="single"/>
        </w:rPr>
      </w:pPr>
      <w:r w:rsidRPr="0074250E">
        <w:rPr>
          <w:rFonts w:ascii="Calibri" w:hAnsi="Calibri" w:cs="Calibri"/>
          <w:b/>
          <w:bCs/>
          <w:u w:val="single"/>
        </w:rPr>
        <w:t>A</w:t>
      </w:r>
      <w:r>
        <w:rPr>
          <w:rFonts w:ascii="Calibri" w:hAnsi="Calibri" w:cs="Calibri"/>
          <w:b/>
          <w:bCs/>
          <w:u w:val="single"/>
        </w:rPr>
        <w:t>n</w:t>
      </w:r>
      <w:r w:rsidRPr="0074250E">
        <w:rPr>
          <w:rFonts w:ascii="Calibri" w:hAnsi="Calibri" w:cs="Calibri"/>
          <w:b/>
          <w:bCs/>
          <w:u w:val="single"/>
        </w:rPr>
        <w:t xml:space="preserve"> empirical </w:t>
      </w:r>
      <w:r w:rsidR="00D441A1">
        <w:rPr>
          <w:rFonts w:ascii="Calibri" w:hAnsi="Calibri" w:cs="Calibri"/>
          <w:b/>
          <w:bCs/>
          <w:u w:val="single"/>
        </w:rPr>
        <w:t>assessment</w:t>
      </w:r>
      <w:r w:rsidRPr="0074250E">
        <w:rPr>
          <w:rFonts w:ascii="Calibri" w:hAnsi="Calibri" w:cs="Calibri"/>
          <w:b/>
          <w:bCs/>
          <w:u w:val="single"/>
        </w:rPr>
        <w:t xml:space="preserve"> o</w:t>
      </w:r>
      <w:r>
        <w:rPr>
          <w:rFonts w:ascii="Calibri" w:hAnsi="Calibri" w:cs="Calibri"/>
          <w:b/>
          <w:bCs/>
          <w:u w:val="single"/>
        </w:rPr>
        <w:t>f</w:t>
      </w:r>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056F3998" w:rsidR="00CD6B59" w:rsidRDefault="00CD6B59" w:rsidP="00B92064">
      <w:pPr>
        <w:spacing w:line="360" w:lineRule="auto"/>
        <w:rPr>
          <w:rFonts w:asciiTheme="minorHAnsi" w:hAnsiTheme="minorHAnsi" w:cstheme="minorHAnsi"/>
        </w:rPr>
      </w:pPr>
      <w:r>
        <w:rPr>
          <w:rFonts w:asciiTheme="minorHAnsi" w:hAnsiTheme="minorHAnsi" w:cstheme="minorHAnsi"/>
        </w:rPr>
        <w:t>Early life adversity is a major predictor of psychiatric dysregulation over the lifecourse, but the mechanisms are likely complex and differential depending on the specific adversity experiences. This analysis strives to empirically determine the most salient mediating phenotypes connecting childhood threat and deprivation experiences to internalizing and externalizing symptoms in adolescence. Candidate mediating phenotypes considered cover domains of attention bias to threat, emotion regulation, theory of mind, fear conditioning,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High-dimensional mediation analysis (HIMA), combining minimax concave penalty and joint significance testing, was used to identify phenotypes linking deprivation and threat to psychopathology. </w:t>
      </w:r>
      <w:r w:rsidR="00B92064">
        <w:rPr>
          <w:rFonts w:asciiTheme="minorHAnsi" w:hAnsiTheme="minorHAnsi" w:cstheme="minorHAnsi"/>
        </w:rPr>
        <w:t xml:space="preserve">Reward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r w:rsidR="00705B12">
        <w:rPr>
          <w:rFonts w:asciiTheme="minorHAnsi" w:hAnsiTheme="minorHAnsi" w:cstheme="minorHAnsi"/>
        </w:rPr>
        <w:t>R</w:t>
      </w:r>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threat’s total effect after controlling for pubertal timing. While deprivation was a strong independent predictor of both internalizing and externalizing psychopathology, none of the cognitive, affective, and developmental phenotypes considered mediated its effect. </w:t>
      </w:r>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77777777"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 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330AF566" w:rsidR="00D773C8" w:rsidRDefault="00705B12" w:rsidP="00705B12">
      <w:pPr>
        <w:spacing w:after="240" w:line="360" w:lineRule="auto"/>
        <w:rPr>
          <w:rFonts w:ascii="Calibri" w:hAnsi="Calibri" w:cs="Calibri"/>
        </w:rPr>
      </w:pPr>
      <w:r>
        <w:rPr>
          <w:rFonts w:ascii="Calibri" w:hAnsi="Calibri" w:cs="Calibri"/>
        </w:rPr>
        <w:t xml:space="preserve">Mechanisms by which early life adversity impacts 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w:t>
      </w:r>
      <w:r w:rsidR="003A4EEE">
        <w:rPr>
          <w:rFonts w:ascii="Calibri" w:hAnsi="Calibri" w:cs="Calibri"/>
        </w:rPr>
        <w:t>,</w:t>
      </w:r>
      <w:r w:rsidR="003A4EEE">
        <w:rPr>
          <w:rFonts w:ascii="Calibri" w:hAnsi="Calibri" w:cs="Calibri"/>
        </w:rPr>
        <w:t xml:space="preserve">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as precursors to psychopathology in response to adverse circumstances in early life</w:t>
      </w:r>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deprivation and threat affect psychiatric wellbeing </w:t>
      </w:r>
      <w:r w:rsidR="000A7DF4">
        <w:rPr>
          <w:rFonts w:ascii="Calibri" w:hAnsi="Calibri" w:cs="Calibri"/>
        </w:rPr>
        <w:t>via</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r>
        <w:rPr>
          <w:rFonts w:ascii="Calibri" w:hAnsi="Calibri" w:cs="Calibri"/>
        </w:rPr>
        <w:t>Executive functioning</w:t>
      </w:r>
      <w:r>
        <w:rPr>
          <w:rFonts w:ascii="Calibri" w:hAnsi="Calibri" w:cs="Calibri"/>
        </w:rPr>
        <w:t xml:space="preserve">, a </w:t>
      </w:r>
      <w:r>
        <w:rPr>
          <w:rFonts w:ascii="Calibri" w:hAnsi="Calibri" w:cs="Calibri"/>
        </w:rPr>
        <w:t>complex domain that includes language ability, reasoning ability, memory, and inhibitory control</w:t>
      </w:r>
      <w:r>
        <w:rPr>
          <w:rFonts w:ascii="Calibri" w:hAnsi="Calibri" w:cs="Calibri"/>
        </w:rPr>
        <w:t xml:space="preserve">,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w:t>
      </w:r>
      <w:r>
        <w:rPr>
          <w:rFonts w:ascii="Calibri" w:hAnsi="Calibri" w:cs="Calibri"/>
        </w:rPr>
        <w:t xml:space="preserve">. Significant indirect effects of </w:t>
      </w:r>
      <w:r>
        <w:rPr>
          <w:rFonts w:ascii="Calibri" w:hAnsi="Calibri" w:cs="Calibri"/>
        </w:rPr>
        <w:t>i</w:t>
      </w:r>
      <w:r>
        <w:rPr>
          <w:rFonts w:ascii="Calibri" w:hAnsi="Calibri" w:cs="Calibri"/>
        </w:rPr>
        <w:t>nstitutional rearing</w:t>
      </w:r>
      <w:r w:rsidR="00D773C8">
        <w:rPr>
          <w:rFonts w:ascii="Calibri" w:hAnsi="Calibri" w:cs="Calibri"/>
        </w:rPr>
        <w:t>, parental neglect, caregiver change, and financial difficulties</w:t>
      </w:r>
      <w:r>
        <w:rPr>
          <w:rFonts w:ascii="Calibri" w:hAnsi="Calibri" w:cs="Calibri"/>
        </w:rPr>
        <w:t xml:space="preserve"> </w:t>
      </w:r>
      <w:r>
        <w:rPr>
          <w:rFonts w:ascii="Calibri" w:hAnsi="Calibri" w:cs="Calibri"/>
        </w:rPr>
        <w:t xml:space="preserve">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language ability were found in several large longitudinal samples to mediate deprivation’s </w:t>
      </w:r>
      <w:r>
        <w:rPr>
          <w:rFonts w:ascii="Calibri" w:hAnsi="Calibri" w:cs="Calibri"/>
        </w:rPr>
        <w:lastRenderedPageBreak/>
        <w:t xml:space="preserve">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w:t>
      </w:r>
      <w:r w:rsidR="00D02C6E">
        <w:rPr>
          <w:rFonts w:ascii="Calibri" w:hAnsi="Calibri" w:cs="Calibri"/>
        </w:rPr>
        <w:t xml:space="preserve">hreatening experiences early in life </w:t>
      </w:r>
      <w:r w:rsidR="00D02C6E">
        <w:rPr>
          <w:rFonts w:ascii="Calibri" w:hAnsi="Calibri" w:cs="Calibri"/>
        </w:rPr>
        <w:t>have been shown to</w:t>
      </w:r>
      <w:r w:rsidR="00D02C6E">
        <w:rPr>
          <w:rFonts w:ascii="Calibri" w:hAnsi="Calibri" w:cs="Calibri"/>
        </w:rPr>
        <w:t xml:space="preserve"> accelerate</w:t>
      </w:r>
      <w:r w:rsidR="00D02C6E">
        <w:rPr>
          <w:rFonts w:ascii="Calibri" w:hAnsi="Calibri" w:cs="Calibri"/>
        </w:rPr>
        <w:t xml:space="preserve"> </w:t>
      </w:r>
      <w:r w:rsidR="00D02C6E">
        <w:rPr>
          <w:rFonts w:ascii="Calibri" w:hAnsi="Calibri" w:cs="Calibri"/>
        </w:rPr>
        <w:t xml:space="preserve">pubertal timing, </w:t>
      </w:r>
      <w:r w:rsidR="00D02C6E">
        <w:rPr>
          <w:rFonts w:ascii="Calibri" w:hAnsi="Calibri" w:cs="Calibri"/>
        </w:rPr>
        <w:t xml:space="preserve">exacerbating </w:t>
      </w:r>
      <w:r w:rsidR="00D02C6E">
        <w:rPr>
          <w:rFonts w:ascii="Calibri" w:hAnsi="Calibri" w:cs="Calibri"/>
        </w:rPr>
        <w:t xml:space="preserve">externalizing symptoms </w:t>
      </w:r>
      <w:r w:rsidR="00D02C6E">
        <w:rPr>
          <w:rFonts w:ascii="Calibri" w:hAnsi="Calibri" w:cs="Calibri"/>
        </w:rPr>
        <w:t>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0476A594"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w:t>
      </w:r>
      <w:r>
        <w:rPr>
          <w:rFonts w:ascii="Calibri" w:hAnsi="Calibri" w:cs="Calibri"/>
        </w:rPr>
        <w:lastRenderedPageBreak/>
        <w:t xml:space="preserve">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Exposure to threat, but not deprivation, predicts 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sharpen emotional reactivity. Experiences of deprivation, but not threat, are associated with the volume and function of frontoparietal cortical regions, suggesting deprivation’s likely effects on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Findings about the relationships between early life adversity and striatal reward circuits are less clear but suggest that deprivation and threat may impact reward sensitivity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r>
        <w:rPr>
          <w:rFonts w:ascii="Calibri" w:hAnsi="Calibri" w:cs="Calibri"/>
        </w:rPr>
        <w:t>.</w:t>
      </w:r>
    </w:p>
    <w:p w14:paraId="466CAA14" w14:textId="45AB4D21" w:rsidR="00705B12" w:rsidRPr="0074250E" w:rsidRDefault="00705B12" w:rsidP="00705B12">
      <w:pPr>
        <w:spacing w:after="240" w:line="360" w:lineRule="auto"/>
        <w:rPr>
          <w:rFonts w:ascii="Calibri" w:hAnsi="Calibri" w:cs="Calibri"/>
        </w:rPr>
      </w:pPr>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We hypothesize that threat and deprivation have at least partially distinct mechanisms of impact with respect to adolescent psychopathology. Learning about such mechanisms can help</w:t>
      </w:r>
      <w:r w:rsidR="00EF6A69">
        <w:rPr>
          <w:rFonts w:ascii="Calibri" w:hAnsi="Calibri" w:cs="Calibri"/>
        </w:rPr>
        <w:t xml:space="preserve"> </w:t>
      </w:r>
      <w:r w:rsidR="007F488A">
        <w:rPr>
          <w:rFonts w:ascii="Calibri" w:hAnsi="Calibri" w:cs="Calibri"/>
        </w:rPr>
        <w:t>epidemiologic efforts</w:t>
      </w:r>
      <w:r w:rsidR="00EF6A69">
        <w:rPr>
          <w:rFonts w:ascii="Calibri" w:hAnsi="Calibri" w:cs="Calibri"/>
        </w:rPr>
        <w:t xml:space="preserve"> to measure early signs of psychiatric dysregulation on a broader scale and</w:t>
      </w:r>
      <w:r>
        <w:rPr>
          <w:rFonts w:ascii="Calibri" w:hAnsi="Calibri" w:cs="Calibri"/>
        </w:rPr>
        <w:t xml:space="preserve"> inform </w:t>
      </w:r>
      <w:r w:rsidR="007F488A">
        <w:rPr>
          <w:rFonts w:ascii="Calibri" w:hAnsi="Calibri" w:cs="Calibri"/>
        </w:rPr>
        <w:t>strategies</w:t>
      </w:r>
      <w:r>
        <w:rPr>
          <w:rFonts w:ascii="Calibri" w:hAnsi="Calibri" w:cs="Calibri"/>
        </w:rPr>
        <w:t xml:space="preserve"> to prevent </w:t>
      </w:r>
      <w:r w:rsidR="003A4EEE">
        <w:rPr>
          <w:rFonts w:ascii="Calibri" w:hAnsi="Calibri" w:cs="Calibri"/>
        </w:rPr>
        <w:t xml:space="preserve">onset of </w:t>
      </w:r>
      <w:r>
        <w:rPr>
          <w:rFonts w:ascii="Calibri" w:hAnsi="Calibri" w:cs="Calibri"/>
        </w:rPr>
        <w:t>psychiatric disorders.</w:t>
      </w:r>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43FD960C"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Data for this analysis was sourced from a longitudinal cohort study </w:t>
      </w:r>
      <w:r w:rsidR="00776857">
        <w:rPr>
          <w:rFonts w:ascii="Calibri" w:hAnsi="Calibri" w:cs="Calibri"/>
        </w:rPr>
        <w:t xml:space="preserve">- </w:t>
      </w:r>
      <w:r w:rsidR="00954AB2">
        <w:rPr>
          <w:rFonts w:ascii="Calibri" w:hAnsi="Calibri" w:cs="Calibri"/>
        </w:rPr>
        <w:t xml:space="preserve">the Deprivation and Threat </w:t>
      </w:r>
      <w:r w:rsidR="00776857">
        <w:rPr>
          <w:rFonts w:ascii="Calibri" w:hAnsi="Calibri" w:cs="Calibri"/>
        </w:rPr>
        <w:t>(</w:t>
      </w:r>
      <w:r w:rsidR="00954AB2">
        <w:rPr>
          <w:rFonts w:ascii="Calibri" w:hAnsi="Calibri" w:cs="Calibri"/>
        </w:rPr>
        <w:t>DT</w:t>
      </w:r>
      <w:r w:rsidR="00776857">
        <w:rPr>
          <w:rFonts w:ascii="Calibri" w:hAnsi="Calibri" w:cs="Calibri"/>
        </w:rPr>
        <w:t>)</w:t>
      </w:r>
      <w:r w:rsidR="00954AB2">
        <w:rPr>
          <w:rFonts w:ascii="Calibri" w:hAnsi="Calibri" w:cs="Calibri"/>
        </w:rPr>
        <w:t xml:space="preserve"> study</w:t>
      </w:r>
      <w:r w:rsidR="00776857">
        <w:rPr>
          <w:rFonts w:ascii="Calibri" w:hAnsi="Calibri" w:cs="Calibri"/>
        </w:rPr>
        <w:t>.</w:t>
      </w:r>
      <w:r w:rsidR="00954AB2">
        <w:rPr>
          <w:rFonts w:ascii="Calibri" w:hAnsi="Calibri" w:cs="Calibri"/>
        </w:rPr>
        <w:t xml:space="preserve"> </w:t>
      </w:r>
      <w:r w:rsidR="00776857">
        <w:rPr>
          <w:rFonts w:ascii="Calibri" w:hAnsi="Calibri" w:cs="Calibri"/>
        </w:rPr>
        <w:t>DT</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The aim of DT was</w:t>
      </w:r>
      <w:r w:rsidRPr="00FB47D8">
        <w:rPr>
          <w:rFonts w:ascii="Calibri" w:hAnsi="Calibri" w:cs="Calibri"/>
        </w:rPr>
        <w:t xml:space="preserve">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Pr>
          <w:rFonts w:ascii="Calibri" w:hAnsi="Calibri" w:cs="Calibri"/>
        </w:rPr>
        <w:t>between 10.9 and 13 years of age</w:t>
      </w:r>
      <w:r w:rsidRPr="00FB47D8">
        <w:rPr>
          <w:rFonts w:ascii="Calibri" w:hAnsi="Calibri" w:cs="Calibri"/>
        </w:rPr>
        <w:t>. 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t>
      </w:r>
    </w:p>
    <w:p w14:paraId="583F96B5" w14:textId="77777777" w:rsidR="00705B12" w:rsidRPr="00FB47D8" w:rsidRDefault="00705B12" w:rsidP="00705B12">
      <w:pPr>
        <w:spacing w:after="240" w:line="360" w:lineRule="auto"/>
        <w:rPr>
          <w:rFonts w:ascii="Calibri" w:hAnsi="Calibri" w:cs="Calibri"/>
          <w:u w:val="single"/>
        </w:rPr>
      </w:pPr>
      <w:r>
        <w:rPr>
          <w:rFonts w:ascii="Calibri" w:hAnsi="Calibri" w:cs="Calibri"/>
        </w:rPr>
        <w:t>Chronicity of poverty and reports of the mother’s depressed mood were captured from 4 early childhood assessments (between ages 3 and 6) to control for confounding of the relationships between adversity and subsequent outcomes. 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At the baseline assessment of the second phase of data collection, participating children and their mothers provided retrospective 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outcomes were collected at a follow-up assessment </w:t>
      </w:r>
      <w:r w:rsidRPr="00FB47D8">
        <w:rPr>
          <w:rFonts w:ascii="Calibri" w:hAnsi="Calibri" w:cs="Calibri"/>
        </w:rPr>
        <w:t xml:space="preserve">conducted approximately 2 years post-baseline. </w:t>
      </w:r>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77777777" w:rsidR="00705B12" w:rsidRPr="00FB47D8" w:rsidRDefault="00705B12" w:rsidP="00705B12">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r w:rsidRPr="00FB47D8">
        <w:rPr>
          <w:rFonts w:ascii="Calibri" w:hAnsi="Calibri" w:cs="Calibri"/>
        </w:rPr>
        <w:t>The 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w:t>
      </w:r>
      <w:r w:rsidRPr="00FB47D8">
        <w:rPr>
          <w:rFonts w:ascii="Calibri" w:hAnsi="Calibri" w:cs="Calibri"/>
        </w:rPr>
        <w:lastRenderedPageBreak/>
        <w:t>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77777777"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7777777" w:rsidR="00705B12" w:rsidRPr="004D457C" w:rsidRDefault="00705B12" w:rsidP="00705B12">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Pr="00FB47D8">
          <w:rPr>
            <w:rStyle w:val="Hyperlink"/>
            <w:rFonts w:ascii="Calibri" w:hAnsi="Calibri" w:cs="Calibri"/>
          </w:rPr>
          <w:t>https://osf.io/6yf4p/</w:t>
        </w:r>
      </w:hyperlink>
      <w:r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1BA0E571" w:rsidR="00705B12" w:rsidRPr="00FB47D8" w:rsidRDefault="00705B12" w:rsidP="00705B12">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 xml:space="preserve">(McLaughlin et al., </w:t>
      </w:r>
      <w:r w:rsidRPr="00FB47D8">
        <w:rPr>
          <w:rFonts w:ascii="Calibri" w:hAnsi="Calibri" w:cs="Calibri"/>
          <w:noProof/>
        </w:rPr>
        <w:lastRenderedPageBreak/>
        <w:t>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comprehensively 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77777777" w:rsidR="00705B12" w:rsidRPr="00FB47D8" w:rsidRDefault="00705B12" w:rsidP="00705B12">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p>
    <w:p w14:paraId="7AC8BA72" w14:textId="77777777" w:rsidR="00705B12" w:rsidRPr="00FB47D8" w:rsidRDefault="00705B12" w:rsidP="00705B12">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Pr>
          <w:rFonts w:ascii="Calibri" w:hAnsi="Calibri" w:cs="Calibri"/>
        </w:rPr>
        <w:fldChar w:fldCharType="separate"/>
      </w:r>
      <w:r>
        <w:rPr>
          <w:rFonts w:ascii="Calibri" w:hAnsi="Calibri" w:cs="Calibri"/>
          <w:noProof/>
        </w:rPr>
        <w:t>(Ben-Haim et al., 2016)</w:t>
      </w:r>
      <w:r>
        <w:rPr>
          <w:rFonts w:ascii="Calibri" w:hAnsi="Calibri" w:cs="Calibri"/>
        </w:rPr>
        <w:fldChar w:fldCharType="end"/>
      </w:r>
      <w:r>
        <w:rPr>
          <w:rFonts w:ascii="Calibri" w:hAnsi="Calibri" w:cs="Calibri"/>
        </w:rPr>
        <w:t>.</w:t>
      </w:r>
      <w:r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Pr>
          <w:rFonts w:ascii="Calibri" w:hAnsi="Calibri" w:cs="Calibri"/>
        </w:rPr>
        <w:t xml:space="preserve"> </w:t>
      </w:r>
      <w:r w:rsidRPr="00FB47D8">
        <w:rPr>
          <w:rFonts w:ascii="Calibri" w:hAnsi="Calibri" w:cs="Calibri"/>
        </w:rPr>
        <w:t>incongruent vs congruent trials with fearful faces and happy faces</w:t>
      </w:r>
      <w:r>
        <w:rPr>
          <w:rFonts w:ascii="Calibri" w:hAnsi="Calibri" w:cs="Calibri"/>
        </w:rPr>
        <w:t xml:space="preserve"> (correct trials only)</w:t>
      </w:r>
      <w:r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Pr>
          <w:rFonts w:ascii="Calibri" w:hAnsi="Calibri" w:cs="Calibri"/>
        </w:rPr>
        <w:t>in</w:t>
      </w:r>
      <w:r w:rsidRPr="00FB47D8">
        <w:rPr>
          <w:rFonts w:ascii="Calibri" w:hAnsi="Calibri" w:cs="Calibri"/>
        </w:rPr>
        <w:t>congruent trials</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Pr>
          <w:rFonts w:ascii="Calibri" w:hAnsi="Calibri" w:cs="Calibri"/>
        </w:rPr>
        <w:fldChar w:fldCharType="separate"/>
      </w:r>
      <w:r>
        <w:rPr>
          <w:rFonts w:ascii="Calibri" w:hAnsi="Calibri" w:cs="Calibri"/>
          <w:noProof/>
        </w:rPr>
        <w:t>(Kim et al., 2021)</w:t>
      </w:r>
      <w:r>
        <w:rPr>
          <w:rFonts w:ascii="Calibri" w:hAnsi="Calibri" w:cs="Calibri"/>
        </w:rPr>
        <w:fldChar w:fldCharType="end"/>
      </w:r>
      <w:r>
        <w:rPr>
          <w:rFonts w:ascii="Calibri" w:hAnsi="Calibri" w:cs="Calibri"/>
        </w:rPr>
        <w:t>.</w:t>
      </w:r>
      <w:r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2"/>
      <w:r w:rsidRPr="00FB47D8">
        <w:rPr>
          <w:rFonts w:ascii="Calibri" w:hAnsi="Calibri" w:cs="Calibri"/>
          <w:highlight w:val="magenta"/>
        </w:rPr>
        <w:t>CITE</w:t>
      </w:r>
      <w:commentRangeEnd w:id="2"/>
      <w:r w:rsidR="00954AB2">
        <w:rPr>
          <w:rStyle w:val="CommentReference"/>
        </w:rPr>
        <w:commentReference w:id="2"/>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w:t>
      </w:r>
      <w:r w:rsidRPr="00FB47D8">
        <w:rPr>
          <w:rFonts w:ascii="Calibri" w:hAnsi="Calibri" w:cs="Calibri"/>
        </w:rPr>
        <w:lastRenderedPageBreak/>
        <w:t xml:space="preserve">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r w:rsidRPr="00FB47D8">
        <w:rPr>
          <w:rFonts w:ascii="Calibri" w:hAnsi="Calibri" w:cs="Calibri"/>
        </w:rPr>
        <w:t xml:space="preserve">Fear conditioning 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77777777"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Lastly,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7777777"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Psychopathology outcomes</w:t>
      </w:r>
      <w:r w:rsidRPr="00761205">
        <w:rPr>
          <w:rFonts w:asciiTheme="minorHAnsi" w:hAnsiTheme="minorHAnsi" w:cstheme="minorHAnsi"/>
        </w:rPr>
        <w:t>:</w:t>
      </w:r>
    </w:p>
    <w:p w14:paraId="54914D3B" w14:textId="558C6D66"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by Weissman et al</w:t>
      </w:r>
      <w:r>
        <w:rPr>
          <w:rFonts w:asciiTheme="minorHAnsi" w:hAnsiTheme="minorHAnsi" w:cstheme="minorHAnsi"/>
        </w:rPr>
        <w:t xml:space="preserve"> </w:t>
      </w:r>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lastRenderedPageBreak/>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 84 is far greater than the number of mediators considered</w:t>
      </w:r>
      <w:r>
        <w:rPr>
          <w:rFonts w:ascii="Calibri" w:hAnsi="Calibri" w:cs="Calibri"/>
        </w:rPr>
        <w:t xml:space="preserve"> (19)</w:t>
      </w:r>
      <w:r>
        <w:rPr>
          <w:rFonts w:ascii="Calibri" w:hAnsi="Calibri" w:cs="Calibri"/>
        </w:rPr>
        <w:t>.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16A898BF"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Pr>
          <w:rFonts w:ascii="Calibri" w:hAnsi="Calibri" w:cs="Calibri"/>
        </w:rPr>
        <w:t xml:space="preserve">effects 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w:t>
      </w:r>
      <w:r w:rsidR="00776857">
        <w:rPr>
          <w:rFonts w:ascii="Calibri" w:hAnsi="Calibri" w:cs="Calibri"/>
        </w:rPr>
        <w:t xml:space="preserve">exposure </w:t>
      </w:r>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73376521"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natural indirect effect</w:t>
      </w:r>
      <w:r w:rsidR="00893243">
        <w:rPr>
          <w:rFonts w:ascii="Calibri" w:hAnsi="Calibri" w:cs="Calibri"/>
        </w:rPr>
        <w:t xml:space="preserve"> on the outcome, quantifying the impact of increasing the mediator phenotype to the level it would naturally take </w:t>
      </w:r>
      <w:r w:rsidR="00893243">
        <w:rPr>
          <w:rFonts w:ascii="Calibri" w:hAnsi="Calibri" w:cs="Calibri"/>
        </w:rPr>
        <w:lastRenderedPageBreak/>
        <w:t xml:space="preserve">on if the aversity exposure is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r w:rsidRPr="00FB47D8">
        <w:rPr>
          <w:rFonts w:ascii="Calibri" w:hAnsi="Calibri" w:cs="Calibri"/>
          <w:b/>
          <w:bCs/>
          <w:u w:val="single"/>
        </w:rPr>
        <w:t>Results</w:t>
      </w:r>
    </w:p>
    <w:p w14:paraId="341FBD5D" w14:textId="2F2F9F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Pr>
          <w:rStyle w:val="CommentReference"/>
        </w:rPr>
        <w:commentReference w:id="3"/>
      </w:r>
      <w:r>
        <w:rPr>
          <w:rFonts w:ascii="Calibri" w:hAnsi="Calibri" w:cs="Calibri"/>
        </w:rPr>
        <w:t xml:space="preserve">. The sample was 48.5% female, with 38.1% having experienced poverty at some point in childhood. Early childhood maternal CES-D depression symptom scores ranged from 12 to 56 (mean=23.94, SD=7.55). Approximately 84% reported having threatening experiences, while all children had at least some deprivation experiences. </w:t>
      </w:r>
    </w:p>
    <w:p w14:paraId="5C002634" w14:textId="6CB01DB3"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w:t>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Reactivity 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w:t>
      </w:r>
      <w:r w:rsidR="00793B24">
        <w:rPr>
          <w:rFonts w:ascii="Calibri" w:hAnsi="Calibri" w:cs="Calibri"/>
        </w:rPr>
        <w:t xml:space="preserve">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w:t>
      </w:r>
      <w:r w:rsidR="00793B24">
        <w:rPr>
          <w:rFonts w:ascii="Calibri" w:hAnsi="Calibri" w:cs="Calibri"/>
        </w:rPr>
        <w:t xml:space="preserve">Tanner stage, reward sensitivity, and theory of mind metrics </w:t>
      </w:r>
      <w:r w:rsidR="00793B24">
        <w:rPr>
          <w:rFonts w:ascii="Calibri" w:hAnsi="Calibri" w:cs="Calibri"/>
        </w:rPr>
        <w:t>were estimated</w:t>
      </w:r>
      <w:r w:rsidR="00793B24">
        <w:rPr>
          <w:rFonts w:ascii="Calibri" w:hAnsi="Calibri" w:cs="Calibri"/>
        </w:rPr>
        <w:t xml:space="preserve"> to have the strongest crude relationships with the adolescent </w:t>
      </w:r>
      <w:r w:rsidR="00793B24">
        <w:rPr>
          <w:rFonts w:ascii="Calibri" w:hAnsi="Calibri" w:cs="Calibri"/>
        </w:rPr>
        <w:lastRenderedPageBreak/>
        <w:t>psychopathology outcomes</w:t>
      </w:r>
      <w:r w:rsidR="00793B24">
        <w:rPr>
          <w:rFonts w:ascii="Calibri" w:hAnsi="Calibri" w:cs="Calibri"/>
        </w:rPr>
        <w:t xml:space="preserve">, but </w:t>
      </w:r>
      <w:r>
        <w:rPr>
          <w:rFonts w:ascii="Calibri" w:hAnsi="Calibri" w:cs="Calibri"/>
        </w:rPr>
        <w:t xml:space="preserve">there were few notable </w:t>
      </w:r>
      <w:r w:rsidR="00793B24">
        <w:rPr>
          <w:rFonts w:ascii="Calibri" w:hAnsi="Calibri" w:cs="Calibri"/>
        </w:rPr>
        <w:t xml:space="preserve">correlations between candidate mediators and outcomes. </w:t>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impact 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w:t>
      </w:r>
      <w:r w:rsidR="0078765D">
        <w:rPr>
          <w:rFonts w:ascii="Calibri" w:hAnsi="Calibri" w:cs="Calibri"/>
        </w:rPr>
        <w:t>1</w:t>
      </w:r>
      <w:r w:rsidR="0078765D">
        <w:rPr>
          <w:rFonts w:ascii="Calibri" w:hAnsi="Calibri" w:cs="Calibri"/>
        </w:rPr>
        <w:t>, 95% CI (0.</w:t>
      </w:r>
      <w:r w:rsidR="0078765D">
        <w:rPr>
          <w:rFonts w:ascii="Calibri" w:hAnsi="Calibri" w:cs="Calibri"/>
        </w:rPr>
        <w:t>18</w:t>
      </w:r>
      <w:r w:rsidR="0078765D">
        <w:rPr>
          <w:rFonts w:ascii="Calibri" w:hAnsi="Calibri" w:cs="Calibri"/>
        </w:rPr>
        <w:t>,0.4</w:t>
      </w:r>
      <w:r w:rsidR="0078765D">
        <w:rPr>
          <w:rFonts w:ascii="Calibri" w:hAnsi="Calibri" w:cs="Calibri"/>
        </w:rPr>
        <w:t>4</w:t>
      </w:r>
      <w:r w:rsidR="0078765D">
        <w:rPr>
          <w:rFonts w:ascii="Calibri" w:hAnsi="Calibri" w:cs="Calibri"/>
        </w:rPr>
        <w:t>)</w:t>
      </w:r>
      <w:r w:rsidR="0078765D">
        <w:rPr>
          <w:rFonts w:ascii="Calibri" w:hAnsi="Calibri" w:cs="Calibri"/>
        </w:rPr>
        <w:t>).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w:t>
      </w:r>
      <w:r w:rsidR="0078765D">
        <w:rPr>
          <w:rFonts w:ascii="Calibri" w:hAnsi="Calibri" w:cs="Calibri"/>
        </w:rPr>
        <w:t>-0.15</w:t>
      </w:r>
      <w:r w:rsidR="0078765D">
        <w:rPr>
          <w:rFonts w:ascii="Calibri" w:hAnsi="Calibri" w:cs="Calibri"/>
        </w:rPr>
        <w:t>, 95% CI (</w:t>
      </w:r>
      <w:r w:rsidR="0078765D">
        <w:rPr>
          <w:rFonts w:ascii="Calibri" w:hAnsi="Calibri" w:cs="Calibri"/>
        </w:rPr>
        <w:t>-0.27,-0.03</w:t>
      </w:r>
      <w:r w:rsidR="0078765D">
        <w:rPr>
          <w:rFonts w:ascii="Calibri" w:hAnsi="Calibri" w:cs="Calibri"/>
        </w:rPr>
        <w:t>)</w:t>
      </w:r>
      <w:r w:rsidR="0078765D">
        <w:rPr>
          <w:rFonts w:ascii="Calibri" w:hAnsi="Calibri" w:cs="Calibri"/>
        </w:rPr>
        <w:t>),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w:t>
      </w:r>
      <w:r w:rsidR="0078765D">
        <w:rPr>
          <w:rFonts w:ascii="Calibri" w:hAnsi="Calibri" w:cs="Calibri"/>
        </w:rPr>
        <w:t>19</w:t>
      </w:r>
      <w:r w:rsidR="0078765D">
        <w:rPr>
          <w:rFonts w:ascii="Calibri" w:hAnsi="Calibri" w:cs="Calibri"/>
        </w:rPr>
        <w:t>, 95% CI (0.</w:t>
      </w:r>
      <w:r w:rsidR="0078765D">
        <w:rPr>
          <w:rFonts w:ascii="Calibri" w:hAnsi="Calibri" w:cs="Calibri"/>
        </w:rPr>
        <w:t>06</w:t>
      </w:r>
      <w:r w:rsidR="0078765D">
        <w:rPr>
          <w:rFonts w:ascii="Calibri" w:hAnsi="Calibri" w:cs="Calibri"/>
        </w:rPr>
        <w:t>,0.</w:t>
      </w:r>
      <w:r w:rsidR="0078765D">
        <w:rPr>
          <w:rFonts w:ascii="Calibri" w:hAnsi="Calibri" w:cs="Calibri"/>
        </w:rPr>
        <w:t>32</w:t>
      </w:r>
      <w:r w:rsidR="0078765D">
        <w:rPr>
          <w:rFonts w:ascii="Calibri" w:hAnsi="Calibri" w:cs="Calibri"/>
        </w:rPr>
        <w:t>)</w:t>
      </w:r>
      <w:r w:rsidR="0078765D">
        <w:rPr>
          <w:rFonts w:ascii="Calibri" w:hAnsi="Calibri" w:cs="Calibri"/>
        </w:rPr>
        <w:t xml:space="preserve">).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w:t>
      </w:r>
      <w:r w:rsidR="0078765D">
        <w:rPr>
          <w:rFonts w:ascii="Calibri" w:hAnsi="Calibri" w:cs="Calibri"/>
        </w:rPr>
        <w:t>(95%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w:t>
      </w:r>
      <w:r>
        <w:rPr>
          <w:rFonts w:ascii="Calibri" w:hAnsi="Calibri" w:cs="Calibri"/>
        </w:rPr>
        <w:t>21</w:t>
      </w:r>
      <w:r>
        <w:rPr>
          <w:rFonts w:ascii="Calibri" w:hAnsi="Calibri" w:cs="Calibri"/>
        </w:rPr>
        <w:t>, 95% CI (0.</w:t>
      </w:r>
      <w:r>
        <w:rPr>
          <w:rFonts w:ascii="Calibri" w:hAnsi="Calibri" w:cs="Calibri"/>
        </w:rPr>
        <w:t>08</w:t>
      </w:r>
      <w:r>
        <w:rPr>
          <w:rFonts w:ascii="Calibri" w:hAnsi="Calibri" w:cs="Calibri"/>
        </w:rPr>
        <w:t>,0.</w:t>
      </w:r>
      <w:r>
        <w:rPr>
          <w:rFonts w:ascii="Calibri" w:hAnsi="Calibri" w:cs="Calibri"/>
        </w:rPr>
        <w:t>34</w:t>
      </w:r>
      <w:r>
        <w:rPr>
          <w:rFonts w:ascii="Calibri" w:hAnsi="Calibri" w:cs="Calibri"/>
        </w:rPr>
        <w:t>)</w:t>
      </w:r>
      <w:r>
        <w:rPr>
          <w:rFonts w:ascii="Calibri" w:hAnsi="Calibri" w:cs="Calibri"/>
        </w:rPr>
        <w:t>), and greater 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w:t>
      </w:r>
      <w:r>
        <w:rPr>
          <w:rFonts w:ascii="Calibri" w:hAnsi="Calibri" w:cs="Calibri"/>
        </w:rPr>
        <w:t>-</w:t>
      </w:r>
      <w:r>
        <w:rPr>
          <w:rFonts w:ascii="Calibri" w:hAnsi="Calibri" w:cs="Calibri"/>
        </w:rPr>
        <w:t>0.</w:t>
      </w:r>
      <w:r>
        <w:rPr>
          <w:rFonts w:ascii="Calibri" w:hAnsi="Calibri" w:cs="Calibri"/>
        </w:rPr>
        <w:t>14</w:t>
      </w:r>
      <w:r>
        <w:rPr>
          <w:rFonts w:ascii="Calibri" w:hAnsi="Calibri" w:cs="Calibri"/>
        </w:rPr>
        <w:t>, 95% CI (</w:t>
      </w:r>
      <w:r>
        <w:rPr>
          <w:rFonts w:ascii="Calibri" w:hAnsi="Calibri" w:cs="Calibri"/>
        </w:rPr>
        <w:t>-</w:t>
      </w:r>
      <w:r>
        <w:rPr>
          <w:rFonts w:ascii="Calibri" w:hAnsi="Calibri" w:cs="Calibri"/>
        </w:rPr>
        <w:t>0.2</w:t>
      </w:r>
      <w:r>
        <w:rPr>
          <w:rFonts w:ascii="Calibri" w:hAnsi="Calibri" w:cs="Calibri"/>
        </w:rPr>
        <w:t>6</w:t>
      </w:r>
      <w:r>
        <w:rPr>
          <w:rFonts w:ascii="Calibri" w:hAnsi="Calibri" w:cs="Calibri"/>
        </w:rPr>
        <w:t>,</w:t>
      </w:r>
      <w:r>
        <w:rPr>
          <w:rFonts w:ascii="Calibri" w:hAnsi="Calibri" w:cs="Calibri"/>
        </w:rPr>
        <w:t>-</w:t>
      </w:r>
      <w:r>
        <w:rPr>
          <w:rFonts w:ascii="Calibri" w:hAnsi="Calibri" w:cs="Calibri"/>
        </w:rPr>
        <w:t>0.</w:t>
      </w:r>
      <w:r>
        <w:rPr>
          <w:rFonts w:ascii="Calibri" w:hAnsi="Calibri" w:cs="Calibri"/>
        </w:rPr>
        <w:t>02</w:t>
      </w:r>
      <w:r>
        <w:rPr>
          <w:rFonts w:ascii="Calibri" w:hAnsi="Calibri" w:cs="Calibri"/>
        </w:rPr>
        <w:t>)</w:t>
      </w:r>
      <w:r>
        <w:rPr>
          <w:rFonts w:ascii="Calibri" w:hAnsi="Calibri" w:cs="Calibri"/>
        </w:rPr>
        <w:t xml:space="preserve">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w:t>
      </w:r>
      <w:r>
        <w:rPr>
          <w:rFonts w:ascii="Calibri" w:hAnsi="Calibri" w:cs="Calibri"/>
        </w:rPr>
        <w:t>-0.19</w:t>
      </w:r>
      <w:r>
        <w:rPr>
          <w:rFonts w:ascii="Calibri" w:hAnsi="Calibri" w:cs="Calibri"/>
        </w:rPr>
        <w:t>, 95% CI (</w:t>
      </w:r>
      <w:r>
        <w:rPr>
          <w:rFonts w:ascii="Calibri" w:hAnsi="Calibri" w:cs="Calibri"/>
        </w:rPr>
        <w:t>-</w:t>
      </w:r>
      <w:r>
        <w:rPr>
          <w:rFonts w:ascii="Calibri" w:hAnsi="Calibri" w:cs="Calibri"/>
        </w:rPr>
        <w:t>0.</w:t>
      </w:r>
      <w:r>
        <w:rPr>
          <w:rFonts w:ascii="Calibri" w:hAnsi="Calibri" w:cs="Calibri"/>
        </w:rPr>
        <w:t>31</w:t>
      </w:r>
      <w:r>
        <w:rPr>
          <w:rFonts w:ascii="Calibri" w:hAnsi="Calibri" w:cs="Calibri"/>
        </w:rPr>
        <w:t>,</w:t>
      </w:r>
      <w:r>
        <w:rPr>
          <w:rFonts w:ascii="Calibri" w:hAnsi="Calibri" w:cs="Calibri"/>
        </w:rPr>
        <w:t>-</w:t>
      </w:r>
      <w:r>
        <w:rPr>
          <w:rFonts w:ascii="Calibri" w:hAnsi="Calibri" w:cs="Calibri"/>
        </w:rPr>
        <w:t>0.</w:t>
      </w:r>
      <w:r>
        <w:rPr>
          <w:rFonts w:ascii="Calibri" w:hAnsi="Calibri" w:cs="Calibri"/>
        </w:rPr>
        <w:t>07</w:t>
      </w:r>
      <w:r>
        <w:rPr>
          <w:rFonts w:ascii="Calibri" w:hAnsi="Calibri" w:cs="Calibri"/>
        </w:rPr>
        <w:t>)</w:t>
      </w:r>
      <w:r>
        <w:rPr>
          <w:rFonts w:ascii="Calibri" w:hAnsi="Calibri" w:cs="Calibri"/>
        </w:rPr>
        <w:t>,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09C892C2" w:rsidR="00F44E03" w:rsidRDefault="00F44E03" w:rsidP="00B35261">
      <w:pPr>
        <w:spacing w:after="240" w:line="360" w:lineRule="auto"/>
        <w:rPr>
          <w:rFonts w:ascii="Calibri" w:hAnsi="Calibri" w:cs="Calibri"/>
        </w:rPr>
      </w:pPr>
      <w:r>
        <w:rPr>
          <w:rFonts w:ascii="Calibri" w:hAnsi="Calibri" w:cs="Calibri"/>
        </w:rPr>
        <w:lastRenderedPageBreak/>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r w:rsidR="00973A47">
        <w:rPr>
          <w:rFonts w:ascii="Calibri" w:hAnsi="Calibri" w:cs="Calibri"/>
          <w:b/>
          <w:bCs/>
          <w:highlight w:val="green"/>
        </w:rPr>
        <w:t>a and</w:t>
      </w:r>
      <w:r w:rsidR="00A11B29" w:rsidRPr="00A11B29">
        <w:rPr>
          <w:rFonts w:ascii="Calibri" w:hAnsi="Calibri" w:cs="Calibri"/>
          <w:b/>
          <w:bCs/>
          <w:highlight w:val="green"/>
        </w:rPr>
        <w:t xml:space="preserve"> A.</w:t>
      </w:r>
      <w:r w:rsidR="007D6714">
        <w:rPr>
          <w:rFonts w:ascii="Calibri" w:hAnsi="Calibri" w:cs="Calibri"/>
          <w:b/>
          <w:bCs/>
          <w:highlight w:val="green"/>
        </w:rPr>
        <w:t>3</w:t>
      </w:r>
      <w:r w:rsidR="00973A47">
        <w:rPr>
          <w:rFonts w:ascii="Calibri" w:hAnsi="Calibri" w:cs="Calibri"/>
          <w:b/>
          <w:bCs/>
          <w:highlight w:val="green"/>
        </w:rPr>
        <w:t>b</w:t>
      </w:r>
      <w:r w:rsidR="00A11B29" w:rsidRPr="00A11B29">
        <w:rPr>
          <w:rFonts w:ascii="Calibri" w:hAnsi="Calibri" w:cs="Calibri"/>
          <w:b/>
          <w:bCs/>
          <w:highlight w:val="green"/>
        </w:rPr>
        <w:t xml:space="preserve"> in the Appendix</w:t>
      </w:r>
      <w:r w:rsidR="00A11B29">
        <w:rPr>
          <w:rFonts w:ascii="Calibri" w:hAnsi="Calibri" w:cs="Calibri"/>
        </w:rPr>
        <w:t xml:space="preserve"> for a comprehensive comparison of results with and without 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Pr>
          <w:rFonts w:ascii="Calibri" w:hAnsi="Calibri" w:cs="Calibri"/>
        </w:rPr>
        <w:t>Figure 1 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w:t>
      </w:r>
      <w:r>
        <w:rPr>
          <w:rFonts w:ascii="Calibri" w:hAnsi="Calibri" w:cs="Calibri"/>
        </w:rPr>
        <w:lastRenderedPageBreak/>
        <w:t xml:space="preserve">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642E9544"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findings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Accuracy on “No-Go” trials</w:t>
      </w:r>
      <w:r>
        <w:rPr>
          <w:rFonts w:ascii="Calibri" w:hAnsi="Calibri" w:cs="Calibri"/>
        </w:rPr>
        <w:t>, a metric that was retained as a significant predictor of externalizing psychopathology,</w:t>
      </w:r>
      <w:r>
        <w:rPr>
          <w:rFonts w:ascii="Calibri" w:hAnsi="Calibri" w:cs="Calibri"/>
        </w:rPr>
        <w:t xml:space="preserve"> was </w:t>
      </w:r>
      <w:r>
        <w:rPr>
          <w:rFonts w:ascii="Calibri" w:hAnsi="Calibri" w:cs="Calibri"/>
        </w:rPr>
        <w:t xml:space="preserve">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w:t>
      </w:r>
      <w:r w:rsidR="00C1650C">
        <w:rPr>
          <w:rFonts w:ascii="Calibri" w:hAnsi="Calibri" w:cs="Calibri"/>
        </w:rPr>
        <w:lastRenderedPageBreak/>
        <w:t>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742EFF49"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cD0iMTY3NzUzMTQ5MCI+MTcwPC9rZXk+PC9mb3JlaWduLWtleXM+PHJlZi10eXBlIG5hbWU9Ikpv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NjU3NTk2IiBndWlkPSIyODVjYmE3ZC0zMzlhLTQ3ZWItYjc5Ni0yYjNiNjE2NDkwNmIiPjg8L2tl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</w:fldData>
        </w:fldChar>
      </w:r>
      <w:r w:rsidR="00C604ED">
        <w:rPr>
          <w:rFonts w:ascii="Calibri" w:hAnsi="Calibri" w:cs="Calibri"/>
        </w:rPr>
        <w:instrText xml:space="preserve"> ADDIN EN.CITE </w:instrText>
      </w:r>
      <w:r w:rsidR="00C604ED">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cD0iMTY3NzUzMTQ5MCI+MTcwPC9rZXk+PC9mb3JlaWduLWtleXM+PHJlZi10eXBlIG5hbWU9Ikpv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NjU3NTk2IiBndWlkPSIyODVjYmE3ZC0zMzlhLTQ3ZWItYjc5Ni0yYjNiNjE2NDkwNmIiPjg8L2tl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</w:fldData>
        </w:fldChar>
      </w:r>
      <w:r w:rsidR="00C604ED">
        <w:rPr>
          <w:rFonts w:ascii="Calibri" w:hAnsi="Calibri" w:cs="Calibri"/>
        </w:rPr>
        <w:instrText xml:space="preserve"> ADDIN EN.CITE.DATA </w:instrText>
      </w:r>
      <w:r w:rsidR="00C604ED">
        <w:rPr>
          <w:rFonts w:ascii="Calibri" w:hAnsi="Calibri" w:cs="Calibri"/>
        </w:rPr>
      </w:r>
      <w:r w:rsidR="00C604ED">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vs female adolescents is 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w:t>
      </w:r>
      <w:r w:rsidR="002757CB">
        <w:rPr>
          <w:rFonts w:ascii="Calibri" w:hAnsi="Calibri" w:cs="Calibri"/>
        </w:rPr>
        <w:lastRenderedPageBreak/>
        <w:t xml:space="preserve">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w:t>
      </w:r>
      <w:r w:rsidR="00E1320F">
        <w:rPr>
          <w:rFonts w:ascii="Calibri" w:hAnsi="Calibri" w:cs="Calibri"/>
        </w:rPr>
        <w:lastRenderedPageBreak/>
        <w:t xml:space="preserve">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 xml:space="preserve">Candidate mediator constructs and how they </w:t>
      </w:r>
      <w:r>
        <w:rPr>
          <w:rFonts w:ascii="Calibri" w:hAnsi="Calibri" w:cs="Calibri"/>
          <w:u w:val="single"/>
        </w:rPr>
        <w:t>we</w:t>
      </w:r>
      <w:r>
        <w:rPr>
          <w:rFonts w:ascii="Calibri" w:hAnsi="Calibri" w:cs="Calibri"/>
          <w:u w:val="single"/>
        </w:rPr>
        <w:t>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commentRangeStart w:id="4"/>
      <w:r>
        <w:rPr>
          <w:rFonts w:asciiTheme="minorHAnsi" w:hAnsiTheme="minorHAnsi" w:cstheme="minorHAnsi"/>
          <w:u w:val="single"/>
        </w:rPr>
        <w:lastRenderedPageBreak/>
        <w:t xml:space="preserve">Table 3: </w:t>
      </w:r>
      <w:commentRangeEnd w:id="4"/>
      <w:r w:rsidR="005B4A9C">
        <w:rPr>
          <w:rStyle w:val="CommentReference"/>
        </w:rPr>
        <w:commentReference w:id="4"/>
      </w:r>
      <w:r>
        <w:rPr>
          <w:rFonts w:asciiTheme="minorHAnsi" w:hAnsiTheme="minorHAnsi" w:cstheme="minorHAnsi"/>
          <w:u w:val="single"/>
        </w:rPr>
        <w:t>HIMA results</w:t>
      </w:r>
    </w:p>
    <w:p w14:paraId="44DDD2FC" w14:textId="77777777" w:rsidR="00571AB9" w:rsidRDefault="00571AB9">
      <w:pPr>
        <w:rPr>
          <w:rFonts w:asciiTheme="minorHAnsi" w:hAnsiTheme="minorHAnsi" w:cstheme="minorHAnsi"/>
        </w:rPr>
      </w:pPr>
    </w:p>
    <w:tbl>
      <w:tblPr>
        <w:tblW w:w="8370" w:type="dxa"/>
        <w:tblLook w:val="04A0" w:firstRow="1" w:lastRow="0" w:firstColumn="1" w:lastColumn="0" w:noHBand="0" w:noVBand="1"/>
      </w:tblPr>
      <w:tblGrid>
        <w:gridCol w:w="630"/>
        <w:gridCol w:w="5040"/>
        <w:gridCol w:w="2700"/>
      </w:tblGrid>
      <w:tr w:rsidR="00571AB9" w14:paraId="231B0D83" w14:textId="77777777" w:rsidTr="00AB7091">
        <w:trPr>
          <w:trHeight w:val="320"/>
        </w:trPr>
        <w:tc>
          <w:tcPr>
            <w:tcW w:w="630" w:type="dxa"/>
            <w:tcBorders>
              <w:top w:val="nil"/>
              <w:left w:val="nil"/>
              <w:bottom w:val="single" w:sz="4" w:space="0" w:color="auto"/>
              <w:right w:val="nil"/>
            </w:tcBorders>
            <w:shd w:val="clear" w:color="auto" w:fill="auto"/>
            <w:noWrap/>
            <w:vAlign w:val="bottom"/>
            <w:hideMark/>
          </w:tcPr>
          <w:p w14:paraId="389D4163" w14:textId="687D674B"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03E24CBC" w14:textId="77777777" w:rsidR="00571AB9" w:rsidRDefault="00571AB9">
            <w:pPr>
              <w:rPr>
                <w:rFonts w:ascii="Calibri" w:hAnsi="Calibri" w:cs="Calibri"/>
                <w:color w:val="000000"/>
              </w:rPr>
            </w:pPr>
            <w:r>
              <w:rPr>
                <w:rFonts w:ascii="Calibri" w:hAnsi="Calibri" w:cs="Calibri"/>
                <w:color w:val="000000"/>
              </w:rPr>
              <w:t>Pathway</w:t>
            </w:r>
          </w:p>
        </w:tc>
        <w:tc>
          <w:tcPr>
            <w:tcW w:w="2700" w:type="dxa"/>
            <w:tcBorders>
              <w:top w:val="nil"/>
              <w:left w:val="nil"/>
              <w:bottom w:val="single" w:sz="4" w:space="0" w:color="auto"/>
              <w:right w:val="nil"/>
            </w:tcBorders>
            <w:shd w:val="clear" w:color="auto" w:fill="auto"/>
            <w:noWrap/>
            <w:vAlign w:val="bottom"/>
            <w:hideMark/>
          </w:tcPr>
          <w:p w14:paraId="552CF6CB" w14:textId="4800DAD9" w:rsidR="00571AB9" w:rsidRDefault="00571AB9">
            <w:pPr>
              <w:jc w:val="center"/>
              <w:rPr>
                <w:rFonts w:ascii="Calibri" w:hAnsi="Calibri" w:cs="Calibri"/>
                <w:color w:val="000000"/>
              </w:rPr>
            </w:pPr>
            <w:r>
              <w:rPr>
                <w:rFonts w:ascii="Calibri" w:hAnsi="Calibri" w:cs="Calibri"/>
                <w:color w:val="000000"/>
              </w:rPr>
              <w:t xml:space="preserve">Standardized </w:t>
            </w:r>
            <w:r w:rsidR="0078765D">
              <w:rPr>
                <w:rFonts w:ascii="Calibri" w:hAnsi="Calibri" w:cs="Calibri"/>
              </w:rPr>
              <w:sym w:font="Symbol" w:char="F062"/>
            </w:r>
          </w:p>
          <w:p w14:paraId="1BA66CA4" w14:textId="31A320A4" w:rsidR="00571AB9" w:rsidRDefault="00571AB9">
            <w:pPr>
              <w:jc w:val="center"/>
              <w:rPr>
                <w:rFonts w:ascii="Calibri" w:hAnsi="Calibri" w:cs="Calibri"/>
                <w:color w:val="000000"/>
              </w:rPr>
            </w:pPr>
            <w:r>
              <w:rPr>
                <w:rFonts w:ascii="Calibri" w:hAnsi="Calibri" w:cs="Calibri"/>
                <w:color w:val="000000"/>
              </w:rPr>
              <w:t>(95% CI)</w:t>
            </w:r>
          </w:p>
        </w:tc>
      </w:tr>
      <w:tr w:rsidR="00571AB9" w14:paraId="66BF6636" w14:textId="77777777" w:rsidTr="00AB7091">
        <w:trPr>
          <w:trHeight w:val="320"/>
        </w:trPr>
        <w:tc>
          <w:tcPr>
            <w:tcW w:w="630" w:type="dxa"/>
            <w:vMerge w:val="restart"/>
            <w:tcBorders>
              <w:top w:val="nil"/>
              <w:left w:val="nil"/>
              <w:bottom w:val="nil"/>
              <w:right w:val="nil"/>
            </w:tcBorders>
            <w:shd w:val="clear" w:color="auto" w:fill="auto"/>
            <w:textDirection w:val="btLr"/>
            <w:hideMark/>
          </w:tcPr>
          <w:p w14:paraId="5FE214CF" w14:textId="42A9201E" w:rsidR="00571AB9" w:rsidRDefault="00571AB9" w:rsidP="00AB7091">
            <w:pPr>
              <w:ind w:left="113" w:right="113"/>
              <w:jc w:val="center"/>
              <w:rPr>
                <w:rFonts w:ascii="Calibri" w:hAnsi="Calibri" w:cs="Calibri"/>
                <w:color w:val="000000"/>
              </w:rPr>
            </w:pPr>
            <w:r>
              <w:rPr>
                <w:rFonts w:ascii="Calibri" w:hAnsi="Calibri" w:cs="Calibri"/>
                <w:color w:val="000000"/>
              </w:rPr>
              <w:t>Internalizing</w:t>
            </w:r>
          </w:p>
        </w:tc>
        <w:tc>
          <w:tcPr>
            <w:tcW w:w="5040" w:type="dxa"/>
            <w:tcBorders>
              <w:top w:val="nil"/>
              <w:left w:val="nil"/>
              <w:bottom w:val="nil"/>
              <w:right w:val="nil"/>
            </w:tcBorders>
            <w:shd w:val="clear" w:color="auto" w:fill="auto"/>
            <w:noWrap/>
            <w:vAlign w:val="bottom"/>
            <w:hideMark/>
          </w:tcPr>
          <w:p w14:paraId="7F452834" w14:textId="61BE0A75" w:rsidR="00571AB9" w:rsidRDefault="00571AB9">
            <w:pPr>
              <w:rPr>
                <w:rFonts w:ascii="Calibri" w:hAnsi="Calibri" w:cs="Calibri"/>
                <w:color w:val="000000"/>
              </w:rPr>
            </w:pPr>
            <w:r>
              <w:rPr>
                <w:rFonts w:ascii="Calibri" w:hAnsi="Calibri" w:cs="Calibri"/>
                <w:color w:val="000000"/>
              </w:rPr>
              <w:t xml:space="preserve">Threat -&gt; </w:t>
            </w:r>
            <w:r>
              <w:rPr>
                <w:rFonts w:ascii="Calibri" w:hAnsi="Calibri" w:cs="Calibri"/>
                <w:color w:val="000000"/>
              </w:rPr>
              <w:t xml:space="preserve">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B245F62" w14:textId="77777777" w:rsidR="00571AB9" w:rsidRDefault="00571AB9">
            <w:pPr>
              <w:jc w:val="center"/>
              <w:rPr>
                <w:rFonts w:ascii="Calibri" w:hAnsi="Calibri" w:cs="Calibri"/>
                <w:color w:val="000000"/>
              </w:rPr>
            </w:pPr>
            <w:r>
              <w:rPr>
                <w:rFonts w:ascii="Calibri" w:hAnsi="Calibri" w:cs="Calibri"/>
                <w:color w:val="000000"/>
              </w:rPr>
              <w:t>0.22(0.09,0.35)*</w:t>
            </w:r>
          </w:p>
        </w:tc>
      </w:tr>
      <w:tr w:rsidR="00571AB9" w14:paraId="4D650B29" w14:textId="77777777" w:rsidTr="00AB7091">
        <w:trPr>
          <w:trHeight w:val="320"/>
        </w:trPr>
        <w:tc>
          <w:tcPr>
            <w:tcW w:w="630" w:type="dxa"/>
            <w:vMerge/>
            <w:tcBorders>
              <w:top w:val="nil"/>
              <w:left w:val="nil"/>
              <w:bottom w:val="nil"/>
              <w:right w:val="nil"/>
            </w:tcBorders>
            <w:textDirection w:val="btLr"/>
            <w:hideMark/>
          </w:tcPr>
          <w:p w14:paraId="57C1160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5763640" w14:textId="4C7BCAB8" w:rsidR="00571AB9" w:rsidRDefault="00571AB9">
            <w:pPr>
              <w:rPr>
                <w:rFonts w:ascii="Calibri" w:hAnsi="Calibri" w:cs="Calibri"/>
                <w:color w:val="000000"/>
              </w:rPr>
            </w:pPr>
            <w:r>
              <w:rPr>
                <w:rFonts w:ascii="Calibri" w:hAnsi="Calibri" w:cs="Calibri"/>
                <w:color w:val="000000"/>
              </w:rPr>
              <w:t>Threat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430C01D4"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5F3BFAC2" w14:textId="77777777" w:rsidTr="00AB7091">
        <w:trPr>
          <w:trHeight w:val="320"/>
        </w:trPr>
        <w:tc>
          <w:tcPr>
            <w:tcW w:w="630" w:type="dxa"/>
            <w:vMerge/>
            <w:tcBorders>
              <w:top w:val="nil"/>
              <w:left w:val="nil"/>
              <w:bottom w:val="nil"/>
              <w:right w:val="nil"/>
            </w:tcBorders>
            <w:textDirection w:val="btLr"/>
            <w:hideMark/>
          </w:tcPr>
          <w:p w14:paraId="3869F92A"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54888EDB" w14:textId="1E43777E" w:rsidR="00571AB9" w:rsidRDefault="00571AB9">
            <w:pPr>
              <w:rPr>
                <w:rFonts w:ascii="Calibri" w:hAnsi="Calibri" w:cs="Calibri"/>
                <w:color w:val="000000"/>
              </w:rPr>
            </w:pPr>
            <w:r>
              <w:rPr>
                <w:rFonts w:ascii="Calibri" w:hAnsi="Calibri" w:cs="Calibri"/>
                <w:color w:val="000000"/>
              </w:rPr>
              <w:t>Threat -&gt; Reward Sensitivity</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5DD5628" w14:textId="77777777" w:rsidR="00571AB9" w:rsidRDefault="00571AB9">
            <w:pPr>
              <w:jc w:val="center"/>
              <w:rPr>
                <w:rFonts w:ascii="Calibri" w:hAnsi="Calibri" w:cs="Calibri"/>
                <w:color w:val="000000"/>
              </w:rPr>
            </w:pPr>
            <w:r>
              <w:rPr>
                <w:rFonts w:ascii="Calibri" w:hAnsi="Calibri" w:cs="Calibri"/>
                <w:color w:val="000000"/>
              </w:rPr>
              <w:t>-0.20(-0.33,-0.07)*</w:t>
            </w:r>
          </w:p>
        </w:tc>
      </w:tr>
      <w:tr w:rsidR="00571AB9" w14:paraId="611E15D1" w14:textId="77777777" w:rsidTr="00AB7091">
        <w:trPr>
          <w:trHeight w:val="320"/>
        </w:trPr>
        <w:tc>
          <w:tcPr>
            <w:tcW w:w="630" w:type="dxa"/>
            <w:vMerge/>
            <w:tcBorders>
              <w:top w:val="nil"/>
              <w:left w:val="nil"/>
              <w:bottom w:val="nil"/>
              <w:right w:val="nil"/>
            </w:tcBorders>
            <w:textDirection w:val="btLr"/>
            <w:hideMark/>
          </w:tcPr>
          <w:p w14:paraId="1B0FC64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35AD64" w14:textId="4D339B54" w:rsidR="00571AB9" w:rsidRDefault="00571AB9">
            <w:pPr>
              <w:rPr>
                <w:rFonts w:ascii="Calibri" w:hAnsi="Calibri" w:cs="Calibri"/>
                <w:color w:val="000000"/>
              </w:rPr>
            </w:pPr>
            <w:r>
              <w:rPr>
                <w:rFonts w:ascii="Calibri" w:hAnsi="Calibri" w:cs="Calibri"/>
                <w:color w:val="000000"/>
              </w:rPr>
              <w:t xml:space="preserve">Deprivation -&gt; Internalizing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1499FE1" w14:textId="77777777" w:rsidR="00571AB9" w:rsidRDefault="00571AB9">
            <w:pPr>
              <w:jc w:val="center"/>
              <w:rPr>
                <w:rFonts w:ascii="Calibri" w:hAnsi="Calibri" w:cs="Calibri"/>
                <w:color w:val="000000"/>
              </w:rPr>
            </w:pPr>
            <w:r>
              <w:rPr>
                <w:rFonts w:ascii="Calibri" w:hAnsi="Calibri" w:cs="Calibri"/>
                <w:color w:val="000000"/>
              </w:rPr>
              <w:t>0.34(0.20,0.48)*</w:t>
            </w:r>
          </w:p>
        </w:tc>
      </w:tr>
      <w:tr w:rsidR="00571AB9" w14:paraId="3C2BCD89" w14:textId="77777777" w:rsidTr="00AB7091">
        <w:trPr>
          <w:trHeight w:val="320"/>
        </w:trPr>
        <w:tc>
          <w:tcPr>
            <w:tcW w:w="630" w:type="dxa"/>
            <w:vMerge/>
            <w:tcBorders>
              <w:top w:val="nil"/>
              <w:left w:val="nil"/>
              <w:bottom w:val="nil"/>
              <w:right w:val="nil"/>
            </w:tcBorders>
            <w:textDirection w:val="btLr"/>
            <w:hideMark/>
          </w:tcPr>
          <w:p w14:paraId="5A37D24F"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A8C034E" w14:textId="16D272D6" w:rsidR="00571AB9" w:rsidRDefault="00571AB9">
            <w:pPr>
              <w:rPr>
                <w:rFonts w:ascii="Calibri" w:hAnsi="Calibri" w:cs="Calibri"/>
                <w:color w:val="000000"/>
              </w:rPr>
            </w:pPr>
            <w:r>
              <w:rPr>
                <w:rFonts w:ascii="Calibri" w:hAnsi="Calibri" w:cs="Calibri"/>
                <w:color w:val="000000"/>
              </w:rPr>
              <w:t>Deprivation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867A2AC"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EC64A73" w14:textId="77777777" w:rsidTr="00AB7091">
        <w:trPr>
          <w:trHeight w:val="320"/>
        </w:trPr>
        <w:tc>
          <w:tcPr>
            <w:tcW w:w="630" w:type="dxa"/>
            <w:vMerge/>
            <w:tcBorders>
              <w:top w:val="nil"/>
              <w:left w:val="nil"/>
              <w:bottom w:val="nil"/>
              <w:right w:val="nil"/>
            </w:tcBorders>
            <w:textDirection w:val="btLr"/>
            <w:hideMark/>
          </w:tcPr>
          <w:p w14:paraId="7778D2D0"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713C802D" w14:textId="76CE4B15" w:rsidR="00571AB9" w:rsidRDefault="00571AB9">
            <w:pPr>
              <w:rPr>
                <w:rFonts w:ascii="Calibri" w:hAnsi="Calibri" w:cs="Calibri"/>
                <w:color w:val="000000"/>
              </w:rPr>
            </w:pPr>
            <w:r>
              <w:rPr>
                <w:rFonts w:ascii="Calibri" w:hAnsi="Calibri" w:cs="Calibri"/>
                <w:color w:val="000000"/>
              </w:rPr>
              <w:t>Deprivation -&gt; Reward Sensitivity</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390E400D" w14:textId="77777777" w:rsidR="00571AB9" w:rsidRDefault="00571AB9">
            <w:pPr>
              <w:jc w:val="center"/>
              <w:rPr>
                <w:rFonts w:ascii="Calibri" w:hAnsi="Calibri" w:cs="Calibri"/>
                <w:color w:val="000000"/>
              </w:rPr>
            </w:pPr>
            <w:r>
              <w:rPr>
                <w:rFonts w:ascii="Calibri" w:hAnsi="Calibri" w:cs="Calibri"/>
                <w:color w:val="000000"/>
              </w:rPr>
              <w:t>-0.12(-0.26,0.02)</w:t>
            </w:r>
          </w:p>
        </w:tc>
      </w:tr>
      <w:tr w:rsidR="00571AB9" w14:paraId="68B2E206" w14:textId="77777777" w:rsidTr="00AB7091">
        <w:trPr>
          <w:trHeight w:val="320"/>
        </w:trPr>
        <w:tc>
          <w:tcPr>
            <w:tcW w:w="630" w:type="dxa"/>
            <w:vMerge/>
            <w:tcBorders>
              <w:top w:val="nil"/>
              <w:left w:val="nil"/>
              <w:bottom w:val="nil"/>
              <w:right w:val="nil"/>
            </w:tcBorders>
            <w:textDirection w:val="btLr"/>
            <w:hideMark/>
          </w:tcPr>
          <w:p w14:paraId="4822FE23"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17C4EF9" w14:textId="189DB8B2" w:rsidR="00571AB9" w:rsidRDefault="00571AB9">
            <w:pPr>
              <w:rPr>
                <w:rFonts w:ascii="Calibri" w:hAnsi="Calibri" w:cs="Calibri"/>
                <w:color w:val="000000"/>
              </w:rPr>
            </w:pPr>
            <w:r>
              <w:rPr>
                <w:rFonts w:ascii="Calibri" w:hAnsi="Calibri" w:cs="Calibri"/>
                <w:color w:val="000000"/>
              </w:rPr>
              <w:t xml:space="preserve">Tanner Stage -&gt; Internalizing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18EE5A29" w14:textId="77777777" w:rsidR="00571AB9" w:rsidRDefault="00571AB9">
            <w:pPr>
              <w:jc w:val="center"/>
              <w:rPr>
                <w:rFonts w:ascii="Calibri" w:hAnsi="Calibri" w:cs="Calibri"/>
                <w:color w:val="000000"/>
              </w:rPr>
            </w:pPr>
            <w:r>
              <w:rPr>
                <w:rFonts w:ascii="Calibri" w:hAnsi="Calibri" w:cs="Calibri"/>
                <w:color w:val="000000"/>
              </w:rPr>
              <w:t>0.19(0.06,0.32)*</w:t>
            </w:r>
          </w:p>
        </w:tc>
      </w:tr>
      <w:tr w:rsidR="00571AB9" w14:paraId="017E2B53" w14:textId="77777777" w:rsidTr="00AB7091">
        <w:trPr>
          <w:trHeight w:val="320"/>
        </w:trPr>
        <w:tc>
          <w:tcPr>
            <w:tcW w:w="630" w:type="dxa"/>
            <w:vMerge/>
            <w:tcBorders>
              <w:top w:val="nil"/>
              <w:left w:val="nil"/>
              <w:bottom w:val="nil"/>
              <w:right w:val="nil"/>
            </w:tcBorders>
            <w:textDirection w:val="btLr"/>
            <w:hideMark/>
          </w:tcPr>
          <w:p w14:paraId="3195E842" w14:textId="77777777" w:rsidR="00571AB9" w:rsidRDefault="00571AB9" w:rsidP="00AB7091">
            <w:pPr>
              <w:ind w:left="113" w:right="113"/>
              <w:jc w:val="cente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5EFBEAEA" w14:textId="5E7E410A" w:rsidR="00571AB9" w:rsidRDefault="00571AB9">
            <w:pPr>
              <w:rPr>
                <w:rFonts w:ascii="Calibri" w:hAnsi="Calibri" w:cs="Calibri"/>
                <w:color w:val="000000"/>
              </w:rPr>
            </w:pPr>
            <w:r>
              <w:rPr>
                <w:rFonts w:ascii="Calibri" w:hAnsi="Calibri" w:cs="Calibri"/>
                <w:color w:val="000000"/>
              </w:rPr>
              <w:t xml:space="preserve">Reward Sensitivity -&gt; Internalizing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01700308" w14:textId="77777777" w:rsidR="00571AB9" w:rsidRDefault="00571AB9">
            <w:pPr>
              <w:jc w:val="center"/>
              <w:rPr>
                <w:rFonts w:ascii="Calibri" w:hAnsi="Calibri" w:cs="Calibri"/>
                <w:color w:val="000000"/>
              </w:rPr>
            </w:pPr>
            <w:r>
              <w:rPr>
                <w:rFonts w:ascii="Calibri" w:hAnsi="Calibri" w:cs="Calibri"/>
                <w:color w:val="000000"/>
              </w:rPr>
              <w:t>-0.15(-0.27,-0.03)*</w:t>
            </w:r>
          </w:p>
        </w:tc>
      </w:tr>
      <w:tr w:rsidR="00571AB9" w14:paraId="75A0119F" w14:textId="77777777" w:rsidTr="00AB7091">
        <w:trPr>
          <w:trHeight w:val="320"/>
        </w:trPr>
        <w:tc>
          <w:tcPr>
            <w:tcW w:w="630" w:type="dxa"/>
            <w:vMerge w:val="restart"/>
            <w:tcBorders>
              <w:top w:val="single" w:sz="4" w:space="0" w:color="auto"/>
              <w:left w:val="nil"/>
              <w:bottom w:val="single" w:sz="4" w:space="0" w:color="000000"/>
              <w:right w:val="nil"/>
            </w:tcBorders>
            <w:shd w:val="clear" w:color="auto" w:fill="auto"/>
            <w:textDirection w:val="btLr"/>
            <w:hideMark/>
          </w:tcPr>
          <w:p w14:paraId="6050CC4B" w14:textId="2D12BB53" w:rsidR="00571AB9" w:rsidRDefault="00571AB9" w:rsidP="00AB7091">
            <w:pPr>
              <w:ind w:left="113" w:right="113"/>
              <w:jc w:val="center"/>
              <w:rPr>
                <w:rFonts w:ascii="Calibri" w:hAnsi="Calibri" w:cs="Calibri"/>
                <w:color w:val="000000"/>
              </w:rPr>
            </w:pPr>
            <w:r>
              <w:rPr>
                <w:rFonts w:ascii="Calibri" w:hAnsi="Calibri" w:cs="Calibri"/>
                <w:color w:val="000000"/>
              </w:rPr>
              <w:t>Externalizing</w:t>
            </w:r>
          </w:p>
        </w:tc>
        <w:tc>
          <w:tcPr>
            <w:tcW w:w="5040" w:type="dxa"/>
            <w:tcBorders>
              <w:top w:val="nil"/>
              <w:left w:val="nil"/>
              <w:bottom w:val="nil"/>
              <w:right w:val="nil"/>
            </w:tcBorders>
            <w:shd w:val="clear" w:color="auto" w:fill="auto"/>
            <w:noWrap/>
            <w:vAlign w:val="bottom"/>
            <w:hideMark/>
          </w:tcPr>
          <w:p w14:paraId="16BA3B7B" w14:textId="1465B67D" w:rsidR="00571AB9" w:rsidRDefault="00571AB9">
            <w:pPr>
              <w:rPr>
                <w:rFonts w:ascii="Calibri" w:hAnsi="Calibri" w:cs="Calibri"/>
                <w:color w:val="000000"/>
              </w:rPr>
            </w:pPr>
            <w:r>
              <w:rPr>
                <w:rFonts w:ascii="Calibri" w:hAnsi="Calibri" w:cs="Calibri"/>
                <w:color w:val="000000"/>
              </w:rPr>
              <w:t xml:space="preserve">Threat -&gt; </w:t>
            </w:r>
            <w:r>
              <w:rPr>
                <w:rFonts w:ascii="Calibri" w:hAnsi="Calibri" w:cs="Calibri"/>
                <w:color w:val="000000"/>
              </w:rPr>
              <w:t xml:space="preserve">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0188A1A6" w14:textId="77777777" w:rsidR="00571AB9" w:rsidRDefault="00571AB9">
            <w:pPr>
              <w:jc w:val="center"/>
              <w:rPr>
                <w:rFonts w:ascii="Calibri" w:hAnsi="Calibri" w:cs="Calibri"/>
                <w:color w:val="000000"/>
              </w:rPr>
            </w:pPr>
            <w:r>
              <w:rPr>
                <w:rFonts w:ascii="Calibri" w:hAnsi="Calibri" w:cs="Calibri"/>
                <w:color w:val="000000"/>
              </w:rPr>
              <w:t>0.31(0.18,0.44)*</w:t>
            </w:r>
          </w:p>
        </w:tc>
      </w:tr>
      <w:tr w:rsidR="00571AB9" w14:paraId="24364CF7"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18D0F14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22C61095" w14:textId="47824C28" w:rsidR="00571AB9" w:rsidRDefault="00571AB9">
            <w:pPr>
              <w:rPr>
                <w:rFonts w:ascii="Calibri" w:hAnsi="Calibri" w:cs="Calibri"/>
                <w:color w:val="000000"/>
              </w:rPr>
            </w:pPr>
            <w:r>
              <w:rPr>
                <w:rFonts w:ascii="Calibri" w:hAnsi="Calibri" w:cs="Calibri"/>
                <w:color w:val="000000"/>
              </w:rPr>
              <w:t>Threat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2376F667" w14:textId="77777777" w:rsidR="00571AB9" w:rsidRDefault="00571AB9">
            <w:pPr>
              <w:jc w:val="center"/>
              <w:rPr>
                <w:rFonts w:ascii="Calibri" w:hAnsi="Calibri" w:cs="Calibri"/>
                <w:color w:val="000000"/>
              </w:rPr>
            </w:pPr>
            <w:r>
              <w:rPr>
                <w:rFonts w:ascii="Calibri" w:hAnsi="Calibri" w:cs="Calibri"/>
                <w:color w:val="000000"/>
              </w:rPr>
              <w:t>-0.01(-0.13,0.11)</w:t>
            </w:r>
          </w:p>
        </w:tc>
      </w:tr>
      <w:tr w:rsidR="00571AB9" w14:paraId="1BF3EAC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23375E6"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B3ECE0D" w14:textId="46CF44CE" w:rsidR="00571AB9" w:rsidRDefault="00571AB9">
            <w:pPr>
              <w:rPr>
                <w:rFonts w:ascii="Calibri" w:hAnsi="Calibri" w:cs="Calibri"/>
                <w:color w:val="000000"/>
              </w:rPr>
            </w:pPr>
            <w:r>
              <w:rPr>
                <w:rFonts w:ascii="Calibri" w:hAnsi="Calibri" w:cs="Calibri"/>
                <w:color w:val="000000"/>
              </w:rPr>
              <w:t>Threat -&gt; Inhibitory Control (No-Go)</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37385DD" w14:textId="77777777" w:rsidR="00571AB9" w:rsidRDefault="00571AB9">
            <w:pPr>
              <w:jc w:val="center"/>
              <w:rPr>
                <w:rFonts w:ascii="Calibri" w:hAnsi="Calibri" w:cs="Calibri"/>
                <w:color w:val="000000"/>
              </w:rPr>
            </w:pPr>
            <w:r>
              <w:rPr>
                <w:rFonts w:ascii="Calibri" w:hAnsi="Calibri" w:cs="Calibri"/>
                <w:color w:val="000000"/>
              </w:rPr>
              <w:t>0.11(-0.02,0.24)</w:t>
            </w:r>
          </w:p>
        </w:tc>
      </w:tr>
      <w:tr w:rsidR="00571AB9" w14:paraId="6BBF9B2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7781BFEF"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7AD1B26" w14:textId="53EF5BFF" w:rsidR="00571AB9" w:rsidRDefault="00571AB9">
            <w:pPr>
              <w:rPr>
                <w:rFonts w:ascii="Calibri" w:hAnsi="Calibri" w:cs="Calibri"/>
                <w:color w:val="000000"/>
              </w:rPr>
            </w:pPr>
            <w:r>
              <w:rPr>
                <w:rFonts w:ascii="Calibri" w:hAnsi="Calibri" w:cs="Calibri"/>
                <w:color w:val="000000"/>
              </w:rPr>
              <w:t>Threat -&gt; Reward Sensitivity (Total stars)</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6F76D3A" w14:textId="77777777" w:rsidR="00571AB9" w:rsidRDefault="00571AB9">
            <w:pPr>
              <w:jc w:val="center"/>
              <w:rPr>
                <w:rFonts w:ascii="Calibri" w:hAnsi="Calibri" w:cs="Calibri"/>
                <w:color w:val="000000"/>
              </w:rPr>
            </w:pPr>
            <w:r>
              <w:rPr>
                <w:rFonts w:ascii="Calibri" w:hAnsi="Calibri" w:cs="Calibri"/>
                <w:color w:val="000000"/>
              </w:rPr>
              <w:t>-0.02(-0.15,0.11)</w:t>
            </w:r>
          </w:p>
        </w:tc>
      </w:tr>
      <w:tr w:rsidR="00571AB9" w14:paraId="5894452B"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0B135CA"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19694673" w14:textId="1FC8E920" w:rsidR="00571AB9" w:rsidRDefault="00571AB9">
            <w:pPr>
              <w:rPr>
                <w:rFonts w:ascii="Calibri" w:hAnsi="Calibri" w:cs="Calibri"/>
                <w:color w:val="000000"/>
              </w:rPr>
            </w:pPr>
            <w:r>
              <w:rPr>
                <w:rFonts w:ascii="Calibri" w:hAnsi="Calibri" w:cs="Calibri"/>
                <w:color w:val="000000"/>
              </w:rPr>
              <w:t xml:space="preserve">Deprivation -&gt; Externalizing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6C068DD" w14:textId="77777777" w:rsidR="00571AB9" w:rsidRDefault="00571AB9">
            <w:pPr>
              <w:jc w:val="center"/>
              <w:rPr>
                <w:rFonts w:ascii="Calibri" w:hAnsi="Calibri" w:cs="Calibri"/>
                <w:color w:val="000000"/>
              </w:rPr>
            </w:pPr>
            <w:r>
              <w:rPr>
                <w:rFonts w:ascii="Calibri" w:hAnsi="Calibri" w:cs="Calibri"/>
                <w:color w:val="000000"/>
              </w:rPr>
              <w:t>0.28(0.14,0.42)*</w:t>
            </w:r>
          </w:p>
        </w:tc>
      </w:tr>
      <w:tr w:rsidR="00571AB9" w14:paraId="4E19F006"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4B2E67D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4E52D8E2" w14:textId="5E30E486" w:rsidR="00571AB9" w:rsidRDefault="00571AB9">
            <w:pPr>
              <w:rPr>
                <w:rFonts w:ascii="Calibri" w:hAnsi="Calibri" w:cs="Calibri"/>
                <w:color w:val="000000"/>
              </w:rPr>
            </w:pPr>
            <w:r>
              <w:rPr>
                <w:rFonts w:ascii="Calibri" w:hAnsi="Calibri" w:cs="Calibri"/>
                <w:color w:val="000000"/>
              </w:rPr>
              <w:t>Deprivation -&gt; Tanner Stage</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5B5722E7" w14:textId="77777777" w:rsidR="00571AB9" w:rsidRDefault="00571AB9">
            <w:pPr>
              <w:jc w:val="center"/>
              <w:rPr>
                <w:rFonts w:ascii="Calibri" w:hAnsi="Calibri" w:cs="Calibri"/>
                <w:color w:val="000000"/>
              </w:rPr>
            </w:pPr>
            <w:r>
              <w:rPr>
                <w:rFonts w:ascii="Calibri" w:hAnsi="Calibri" w:cs="Calibri"/>
                <w:color w:val="000000"/>
              </w:rPr>
              <w:t>-0.12(-0.25,0.01)</w:t>
            </w:r>
          </w:p>
        </w:tc>
      </w:tr>
      <w:tr w:rsidR="00571AB9" w14:paraId="6AAA6071"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541A0765"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59A9924" w14:textId="03C3073D" w:rsidR="00571AB9" w:rsidRDefault="00571AB9">
            <w:pPr>
              <w:rPr>
                <w:rFonts w:ascii="Calibri" w:hAnsi="Calibri" w:cs="Calibri"/>
                <w:color w:val="000000"/>
              </w:rPr>
            </w:pPr>
            <w:r>
              <w:rPr>
                <w:rFonts w:ascii="Calibri" w:hAnsi="Calibri" w:cs="Calibri"/>
                <w:color w:val="000000"/>
              </w:rPr>
              <w:t>Deprivation -&gt; Inhibitory Control (No-Go)</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16F1BFB0" w14:textId="77777777" w:rsidR="00571AB9" w:rsidRDefault="00571AB9">
            <w:pPr>
              <w:jc w:val="center"/>
              <w:rPr>
                <w:rFonts w:ascii="Calibri" w:hAnsi="Calibri" w:cs="Calibri"/>
                <w:color w:val="000000"/>
              </w:rPr>
            </w:pPr>
            <w:r>
              <w:rPr>
                <w:rFonts w:ascii="Calibri" w:hAnsi="Calibri" w:cs="Calibri"/>
                <w:color w:val="000000"/>
              </w:rPr>
              <w:t>0.04(-0.11,0.19)</w:t>
            </w:r>
          </w:p>
        </w:tc>
      </w:tr>
      <w:tr w:rsidR="00571AB9" w14:paraId="04936D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542B8E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0BBD28D4" w14:textId="5BA85D99" w:rsidR="00571AB9" w:rsidRDefault="00571AB9">
            <w:pPr>
              <w:rPr>
                <w:rFonts w:ascii="Calibri" w:hAnsi="Calibri" w:cs="Calibri"/>
                <w:color w:val="000000"/>
              </w:rPr>
            </w:pPr>
            <w:r>
              <w:rPr>
                <w:rFonts w:ascii="Calibri" w:hAnsi="Calibri" w:cs="Calibri"/>
                <w:color w:val="000000"/>
              </w:rPr>
              <w:t>Deprivation -&gt; Reward Sensitivity (Total stars)</w:t>
            </w:r>
            <w:r>
              <w:rPr>
                <w:rFonts w:ascii="Calibri" w:hAnsi="Calibri" w:cs="Calibri"/>
                <w:color w:val="000000"/>
              </w:rPr>
              <w:t xml:space="preserve"> </w:t>
            </w:r>
            <w:r w:rsidRPr="00571AB9">
              <w:rPr>
                <w:rFonts w:ascii="Calibri" w:hAnsi="Calibri" w:cs="Calibri"/>
                <w:color w:val="000000"/>
                <w:vertAlign w:val="superscript"/>
              </w:rPr>
              <w:t>a</w:t>
            </w:r>
          </w:p>
        </w:tc>
        <w:tc>
          <w:tcPr>
            <w:tcW w:w="2700" w:type="dxa"/>
            <w:tcBorders>
              <w:top w:val="nil"/>
              <w:left w:val="nil"/>
              <w:bottom w:val="nil"/>
              <w:right w:val="nil"/>
            </w:tcBorders>
            <w:shd w:val="clear" w:color="auto" w:fill="auto"/>
            <w:noWrap/>
            <w:vAlign w:val="bottom"/>
            <w:hideMark/>
          </w:tcPr>
          <w:p w14:paraId="72D4007D" w14:textId="77777777" w:rsidR="00571AB9" w:rsidRDefault="00571AB9">
            <w:pPr>
              <w:jc w:val="center"/>
              <w:rPr>
                <w:rFonts w:ascii="Calibri" w:hAnsi="Calibri" w:cs="Calibri"/>
                <w:color w:val="000000"/>
              </w:rPr>
            </w:pPr>
            <w:r>
              <w:rPr>
                <w:rFonts w:ascii="Calibri" w:hAnsi="Calibri" w:cs="Calibri"/>
                <w:color w:val="000000"/>
              </w:rPr>
              <w:t>-0.04(-0.19,0.11)</w:t>
            </w:r>
          </w:p>
        </w:tc>
      </w:tr>
      <w:tr w:rsidR="00571AB9" w14:paraId="27F6BC0C"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26E83B59"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3639920F" w14:textId="2988456E" w:rsidR="00571AB9" w:rsidRDefault="00571AB9">
            <w:pPr>
              <w:rPr>
                <w:rFonts w:ascii="Calibri" w:hAnsi="Calibri" w:cs="Calibri"/>
                <w:color w:val="000000"/>
              </w:rPr>
            </w:pPr>
            <w:r>
              <w:rPr>
                <w:rFonts w:ascii="Calibri" w:hAnsi="Calibri" w:cs="Calibri"/>
                <w:color w:val="000000"/>
              </w:rPr>
              <w:t xml:space="preserve">Tanner Stage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59A52349" w14:textId="77777777" w:rsidR="00571AB9" w:rsidRDefault="00571AB9">
            <w:pPr>
              <w:jc w:val="center"/>
              <w:rPr>
                <w:rFonts w:ascii="Calibri" w:hAnsi="Calibri" w:cs="Calibri"/>
                <w:color w:val="000000"/>
              </w:rPr>
            </w:pPr>
            <w:r>
              <w:rPr>
                <w:rFonts w:ascii="Calibri" w:hAnsi="Calibri" w:cs="Calibri"/>
                <w:color w:val="000000"/>
              </w:rPr>
              <w:t>0.21(0.08,0.34)*</w:t>
            </w:r>
          </w:p>
        </w:tc>
      </w:tr>
      <w:tr w:rsidR="00571AB9" w14:paraId="76627FCE"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F98E41D" w14:textId="77777777" w:rsidR="00571AB9" w:rsidRDefault="00571AB9">
            <w:pPr>
              <w:rPr>
                <w:rFonts w:ascii="Calibri" w:hAnsi="Calibri" w:cs="Calibri"/>
                <w:color w:val="000000"/>
              </w:rPr>
            </w:pPr>
          </w:p>
        </w:tc>
        <w:tc>
          <w:tcPr>
            <w:tcW w:w="5040" w:type="dxa"/>
            <w:tcBorders>
              <w:top w:val="nil"/>
              <w:left w:val="nil"/>
              <w:bottom w:val="nil"/>
              <w:right w:val="nil"/>
            </w:tcBorders>
            <w:shd w:val="clear" w:color="auto" w:fill="auto"/>
            <w:noWrap/>
            <w:vAlign w:val="bottom"/>
            <w:hideMark/>
          </w:tcPr>
          <w:p w14:paraId="6773F883" w14:textId="7D27C8C5" w:rsidR="00571AB9" w:rsidRDefault="00571AB9">
            <w:pPr>
              <w:rPr>
                <w:rFonts w:ascii="Calibri" w:hAnsi="Calibri" w:cs="Calibri"/>
                <w:color w:val="000000"/>
              </w:rPr>
            </w:pPr>
            <w:r>
              <w:rPr>
                <w:rFonts w:ascii="Calibri" w:hAnsi="Calibri" w:cs="Calibri"/>
                <w:color w:val="000000"/>
              </w:rPr>
              <w:t xml:space="preserve">Inhibitory Control (No-Go) -&gt; Externalizing </w:t>
            </w:r>
            <w:r w:rsidRPr="00571AB9">
              <w:rPr>
                <w:rFonts w:ascii="Calibri" w:hAnsi="Calibri" w:cs="Calibri"/>
                <w:color w:val="000000"/>
                <w:vertAlign w:val="superscript"/>
              </w:rPr>
              <w:t>b</w:t>
            </w:r>
          </w:p>
        </w:tc>
        <w:tc>
          <w:tcPr>
            <w:tcW w:w="2700" w:type="dxa"/>
            <w:tcBorders>
              <w:top w:val="nil"/>
              <w:left w:val="nil"/>
              <w:bottom w:val="nil"/>
              <w:right w:val="nil"/>
            </w:tcBorders>
            <w:shd w:val="clear" w:color="auto" w:fill="auto"/>
            <w:noWrap/>
            <w:vAlign w:val="bottom"/>
            <w:hideMark/>
          </w:tcPr>
          <w:p w14:paraId="67119A78" w14:textId="77777777" w:rsidR="00571AB9" w:rsidRDefault="00571AB9">
            <w:pPr>
              <w:jc w:val="center"/>
              <w:rPr>
                <w:rFonts w:ascii="Calibri" w:hAnsi="Calibri" w:cs="Calibri"/>
                <w:color w:val="000000"/>
              </w:rPr>
            </w:pPr>
            <w:r>
              <w:rPr>
                <w:rFonts w:ascii="Calibri" w:hAnsi="Calibri" w:cs="Calibri"/>
                <w:color w:val="000000"/>
              </w:rPr>
              <w:t>-0.14(-0.26,-0.02)*</w:t>
            </w:r>
          </w:p>
        </w:tc>
      </w:tr>
      <w:tr w:rsidR="00571AB9" w14:paraId="08CF6D52" w14:textId="77777777" w:rsidTr="00AB7091">
        <w:trPr>
          <w:trHeight w:val="320"/>
        </w:trPr>
        <w:tc>
          <w:tcPr>
            <w:tcW w:w="630" w:type="dxa"/>
            <w:vMerge/>
            <w:tcBorders>
              <w:top w:val="single" w:sz="4" w:space="0" w:color="auto"/>
              <w:left w:val="nil"/>
              <w:bottom w:val="single" w:sz="4" w:space="0" w:color="000000"/>
              <w:right w:val="nil"/>
            </w:tcBorders>
            <w:vAlign w:val="center"/>
            <w:hideMark/>
          </w:tcPr>
          <w:p w14:paraId="3BCE0230" w14:textId="77777777" w:rsidR="00571AB9" w:rsidRDefault="00571AB9">
            <w:pPr>
              <w:rPr>
                <w:rFonts w:ascii="Calibri" w:hAnsi="Calibri" w:cs="Calibri"/>
                <w:color w:val="000000"/>
              </w:rPr>
            </w:pPr>
          </w:p>
        </w:tc>
        <w:tc>
          <w:tcPr>
            <w:tcW w:w="5040" w:type="dxa"/>
            <w:tcBorders>
              <w:top w:val="nil"/>
              <w:left w:val="nil"/>
              <w:bottom w:val="single" w:sz="4" w:space="0" w:color="auto"/>
              <w:right w:val="nil"/>
            </w:tcBorders>
            <w:shd w:val="clear" w:color="auto" w:fill="auto"/>
            <w:noWrap/>
            <w:vAlign w:val="bottom"/>
            <w:hideMark/>
          </w:tcPr>
          <w:p w14:paraId="6936CB1E" w14:textId="20B2592F" w:rsidR="00571AB9" w:rsidRDefault="00571AB9">
            <w:pPr>
              <w:rPr>
                <w:rFonts w:ascii="Calibri" w:hAnsi="Calibri" w:cs="Calibri"/>
                <w:color w:val="000000"/>
              </w:rPr>
            </w:pPr>
            <w:r>
              <w:rPr>
                <w:rFonts w:ascii="Calibri" w:hAnsi="Calibri" w:cs="Calibri"/>
                <w:color w:val="000000"/>
              </w:rPr>
              <w:t xml:space="preserve">Reward Sensitivity (Total stars) -&gt; Externalizing </w:t>
            </w:r>
            <w:r w:rsidRPr="00571AB9">
              <w:rPr>
                <w:rFonts w:ascii="Calibri" w:hAnsi="Calibri" w:cs="Calibri"/>
                <w:color w:val="000000"/>
                <w:vertAlign w:val="superscript"/>
              </w:rPr>
              <w:t>b</w:t>
            </w:r>
          </w:p>
        </w:tc>
        <w:tc>
          <w:tcPr>
            <w:tcW w:w="2700" w:type="dxa"/>
            <w:tcBorders>
              <w:top w:val="nil"/>
              <w:left w:val="nil"/>
              <w:bottom w:val="single" w:sz="4" w:space="0" w:color="auto"/>
              <w:right w:val="nil"/>
            </w:tcBorders>
            <w:shd w:val="clear" w:color="auto" w:fill="auto"/>
            <w:noWrap/>
            <w:vAlign w:val="bottom"/>
            <w:hideMark/>
          </w:tcPr>
          <w:p w14:paraId="761B3C60" w14:textId="77777777" w:rsidR="00571AB9" w:rsidRDefault="00571AB9">
            <w:pPr>
              <w:jc w:val="center"/>
              <w:rPr>
                <w:rFonts w:ascii="Calibri" w:hAnsi="Calibri" w:cs="Calibri"/>
                <w:color w:val="000000"/>
              </w:rPr>
            </w:pPr>
            <w:r>
              <w:rPr>
                <w:rFonts w:ascii="Calibri" w:hAnsi="Calibri" w:cs="Calibri"/>
                <w:color w:val="000000"/>
              </w:rPr>
              <w:t>-0.19(-0.31,-0.07)*</w:t>
            </w:r>
          </w:p>
        </w:tc>
      </w:tr>
    </w:tbl>
    <w:p w14:paraId="0BC01E0F" w14:textId="77777777" w:rsidR="00571AB9" w:rsidRPr="00571AB9" w:rsidRDefault="00571AB9">
      <w:pPr>
        <w:rPr>
          <w:rFonts w:asciiTheme="minorHAnsi" w:hAnsiTheme="minorHAnsi" w:cstheme="minorHAnsi"/>
          <w:sz w:val="20"/>
          <w:szCs w:val="20"/>
        </w:rPr>
      </w:pPr>
      <w:r w:rsidRPr="00571AB9">
        <w:rPr>
          <w:rFonts w:asciiTheme="minorHAnsi" w:hAnsiTheme="minorHAnsi" w:cstheme="minorHAnsi"/>
          <w:sz w:val="20"/>
          <w:szCs w:val="20"/>
        </w:rPr>
        <w:t>*p-value&lt;0.05</w:t>
      </w:r>
    </w:p>
    <w:p w14:paraId="3B03BC52" w14:textId="70DB6DF4" w:rsidR="00571AB9" w:rsidRPr="00571AB9" w:rsidRDefault="00571AB9">
      <w:pPr>
        <w:rPr>
          <w:rFonts w:asciiTheme="minorHAnsi" w:hAnsiTheme="minorHAnsi" w:cstheme="minorHAnsi"/>
          <w:sz w:val="20"/>
          <w:szCs w:val="20"/>
        </w:rPr>
      </w:pPr>
      <w:proofErr w:type="spellStart"/>
      <w:r w:rsidRPr="00571AB9">
        <w:rPr>
          <w:rFonts w:asciiTheme="minorHAnsi" w:hAnsiTheme="minorHAnsi" w:cstheme="minorHAnsi"/>
          <w:sz w:val="20"/>
          <w:szCs w:val="20"/>
          <w:vertAlign w:val="superscript"/>
        </w:rPr>
        <w:t>a</w:t>
      </w:r>
      <w:proofErr w:type="spellEnd"/>
      <w:r w:rsidRPr="00571AB9">
        <w:rPr>
          <w:rFonts w:asciiTheme="minorHAnsi" w:hAnsiTheme="minorHAnsi" w:cstheme="minorHAnsi"/>
          <w:sz w:val="20"/>
          <w:szCs w:val="20"/>
        </w:rPr>
        <w:t xml:space="preserve"> Adjusted for age, biological sex, early life poverty chronicity, and maternal depression</w:t>
      </w:r>
    </w:p>
    <w:p w14:paraId="77BAE321" w14:textId="0B1E6448" w:rsidR="00571AB9" w:rsidRDefault="00571AB9" w:rsidP="00571AB9">
      <w:pPr>
        <w:rPr>
          <w:rFonts w:asciiTheme="minorHAnsi" w:hAnsiTheme="minorHAnsi" w:cstheme="minorHAnsi"/>
          <w:sz w:val="20"/>
          <w:szCs w:val="20"/>
        </w:rPr>
      </w:pPr>
      <w:r w:rsidRPr="00571AB9">
        <w:rPr>
          <w:rFonts w:asciiTheme="minorHAnsi" w:hAnsiTheme="minorHAnsi" w:cstheme="minorHAnsi"/>
          <w:sz w:val="20"/>
          <w:szCs w:val="20"/>
          <w:vertAlign w:val="superscript"/>
        </w:rPr>
        <w:t>b</w:t>
      </w:r>
      <w:r w:rsidRPr="00571AB9">
        <w:rPr>
          <w:rFonts w:asciiTheme="minorHAnsi" w:hAnsiTheme="minorHAnsi" w:cstheme="minorHAnsi"/>
          <w:sz w:val="20"/>
          <w:szCs w:val="20"/>
        </w:rPr>
        <w:t xml:space="preserve"> Adjusted for </w:t>
      </w:r>
      <w:r w:rsidRPr="00571AB9">
        <w:rPr>
          <w:rFonts w:asciiTheme="minorHAnsi" w:hAnsiTheme="minorHAnsi" w:cstheme="minorHAnsi"/>
          <w:sz w:val="20"/>
          <w:szCs w:val="20"/>
        </w:rPr>
        <w:t xml:space="preserve">threat, deprivation, </w:t>
      </w:r>
      <w:r w:rsidRPr="00571AB9">
        <w:rPr>
          <w:rFonts w:asciiTheme="minorHAnsi" w:hAnsiTheme="minorHAnsi" w:cstheme="minorHAnsi"/>
          <w:sz w:val="20"/>
          <w:szCs w:val="20"/>
        </w:rPr>
        <w:t>age, biological sex, early life poverty chronicity, and maternal depression</w:t>
      </w:r>
    </w:p>
    <w:p w14:paraId="27F9DEE5" w14:textId="5068597F" w:rsidR="00571AB9" w:rsidRPr="00571AB9" w:rsidRDefault="00571AB9" w:rsidP="00571AB9">
      <w:pPr>
        <w:rPr>
          <w:rFonts w:asciiTheme="minorHAnsi" w:hAnsiTheme="minorHAnsi" w:cstheme="minorHAnsi"/>
          <w:sz w:val="20"/>
          <w:szCs w:val="20"/>
        </w:rPr>
      </w:pPr>
      <w:r>
        <w:rPr>
          <w:rFonts w:asciiTheme="minorHAnsi" w:hAnsiTheme="minorHAnsi" w:cstheme="minorHAnsi"/>
          <w:sz w:val="20"/>
          <w:szCs w:val="20"/>
        </w:rPr>
        <w:t xml:space="preserve">Standardized beta coefficients represent the change in the outcome associated with a 1-SD change in the predicting </w:t>
      </w:r>
      <w:proofErr w:type="gramStart"/>
      <w:r>
        <w:rPr>
          <w:rFonts w:asciiTheme="minorHAnsi" w:hAnsiTheme="minorHAnsi" w:cstheme="minorHAnsi"/>
          <w:sz w:val="20"/>
          <w:szCs w:val="20"/>
        </w:rPr>
        <w:t>variable</w:t>
      </w:r>
      <w:proofErr w:type="gramEnd"/>
    </w:p>
    <w:p w14:paraId="501BF03B" w14:textId="77777777" w:rsidR="00B46F88" w:rsidRDefault="00B46F88">
      <w:pPr>
        <w:rPr>
          <w:rFonts w:asciiTheme="minorHAnsi" w:hAnsiTheme="minorHAnsi" w:cstheme="minorHAnsi"/>
        </w:rPr>
      </w:pPr>
    </w:p>
    <w:p w14:paraId="40D6C6AC" w14:textId="77777777" w:rsidR="00B46F88" w:rsidRDefault="00B46F88">
      <w:pPr>
        <w:rPr>
          <w:rFonts w:asciiTheme="minorHAnsi" w:hAnsiTheme="minorHAnsi" w:cstheme="minorHAnsi"/>
        </w:rPr>
      </w:pPr>
      <w:r>
        <w:rPr>
          <w:rFonts w:asciiTheme="minorHAnsi" w:hAnsiTheme="minorHAnsi" w:cstheme="minorHAnsi"/>
        </w:rPr>
        <w:br w:type="page"/>
      </w:r>
    </w:p>
    <w:p w14:paraId="5FC5A396" w14:textId="77777777"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tbl>
      <w:tblPr>
        <w:tblpPr w:leftFromText="180" w:rightFromText="180" w:horzAnchor="margin" w:tblpXSpec="center" w:tblpY="-1440"/>
        <w:tblW w:w="10706" w:type="dxa"/>
        <w:tblLook w:val="04A0" w:firstRow="1" w:lastRow="0" w:firstColumn="1" w:lastColumn="0" w:noHBand="0" w:noVBand="1"/>
      </w:tblPr>
      <w:tblGrid>
        <w:gridCol w:w="1406"/>
        <w:gridCol w:w="1295"/>
        <w:gridCol w:w="1659"/>
        <w:gridCol w:w="1700"/>
        <w:gridCol w:w="1700"/>
        <w:gridCol w:w="1700"/>
        <w:gridCol w:w="1246"/>
      </w:tblGrid>
      <w:tr w:rsidR="00C604ED" w14:paraId="02C72ED8"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57CCD51E"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lastRenderedPageBreak/>
              <w:t>Table A.3a: Not mutually adjusted</w:t>
            </w:r>
          </w:p>
        </w:tc>
        <w:tc>
          <w:tcPr>
            <w:tcW w:w="1700" w:type="dxa"/>
            <w:tcBorders>
              <w:top w:val="nil"/>
              <w:left w:val="nil"/>
              <w:bottom w:val="nil"/>
              <w:right w:val="nil"/>
            </w:tcBorders>
            <w:shd w:val="clear" w:color="auto" w:fill="auto"/>
            <w:noWrap/>
            <w:vAlign w:val="bottom"/>
            <w:hideMark/>
          </w:tcPr>
          <w:p w14:paraId="6818CE6A"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1AB3B5A4"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7B4C1517"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30D1FC42" w14:textId="77777777" w:rsidR="00C604ED" w:rsidRDefault="00C604ED" w:rsidP="00C604ED">
            <w:pPr>
              <w:jc w:val="center"/>
              <w:rPr>
                <w:sz w:val="20"/>
                <w:szCs w:val="20"/>
              </w:rPr>
            </w:pPr>
          </w:p>
        </w:tc>
      </w:tr>
      <w:tr w:rsidR="00C604ED" w14:paraId="4A99E7B0"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2E5CD72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3AB6E65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5AF42B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7F9E44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75C1AD9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222E046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5A6AB4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0E2E35CE" w14:textId="77777777" w:rsidTr="00C604ED">
        <w:trPr>
          <w:trHeight w:val="320"/>
        </w:trPr>
        <w:tc>
          <w:tcPr>
            <w:tcW w:w="1406" w:type="dxa"/>
            <w:tcBorders>
              <w:top w:val="nil"/>
              <w:left w:val="nil"/>
              <w:bottom w:val="nil"/>
              <w:right w:val="nil"/>
            </w:tcBorders>
            <w:shd w:val="clear" w:color="auto" w:fill="auto"/>
            <w:noWrap/>
            <w:vAlign w:val="bottom"/>
            <w:hideMark/>
          </w:tcPr>
          <w:p w14:paraId="0D5A161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40E515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452458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234303B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5CF381D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04C8EB94"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auto" w:fill="auto"/>
            <w:noWrap/>
            <w:vAlign w:val="bottom"/>
            <w:hideMark/>
          </w:tcPr>
          <w:p w14:paraId="2B02316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7865CD2" w14:textId="77777777" w:rsidTr="00C604ED">
        <w:trPr>
          <w:trHeight w:val="960"/>
        </w:trPr>
        <w:tc>
          <w:tcPr>
            <w:tcW w:w="1406" w:type="dxa"/>
            <w:tcBorders>
              <w:top w:val="nil"/>
              <w:left w:val="nil"/>
              <w:bottom w:val="nil"/>
              <w:right w:val="nil"/>
            </w:tcBorders>
            <w:shd w:val="clear" w:color="000000" w:fill="F4B084"/>
            <w:noWrap/>
            <w:vAlign w:val="bottom"/>
            <w:hideMark/>
          </w:tcPr>
          <w:p w14:paraId="1DD2DD34"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3D7CE4A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7B5D20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3EAB36E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-0.2(-0.06,-0.33)</w:t>
            </w:r>
          </w:p>
        </w:tc>
        <w:tc>
          <w:tcPr>
            <w:tcW w:w="1700" w:type="dxa"/>
            <w:tcBorders>
              <w:top w:val="nil"/>
              <w:left w:val="nil"/>
              <w:bottom w:val="nil"/>
              <w:right w:val="nil"/>
            </w:tcBorders>
            <w:shd w:val="clear" w:color="000000" w:fill="F4B084"/>
            <w:noWrap/>
            <w:vAlign w:val="bottom"/>
            <w:hideMark/>
          </w:tcPr>
          <w:p w14:paraId="49670F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11D2D5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0.22(0.09,0.36)</w:t>
            </w:r>
          </w:p>
        </w:tc>
        <w:tc>
          <w:tcPr>
            <w:tcW w:w="1246" w:type="dxa"/>
            <w:tcBorders>
              <w:top w:val="nil"/>
              <w:left w:val="nil"/>
              <w:bottom w:val="nil"/>
              <w:right w:val="nil"/>
            </w:tcBorders>
            <w:shd w:val="clear" w:color="000000" w:fill="F4B084"/>
            <w:noWrap/>
            <w:vAlign w:val="bottom"/>
            <w:hideMark/>
          </w:tcPr>
          <w:p w14:paraId="605DBF72"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0.0209</w:t>
            </w:r>
          </w:p>
        </w:tc>
      </w:tr>
      <w:tr w:rsidR="00C604ED" w14:paraId="4FF552B0" w14:textId="77777777" w:rsidTr="00C604ED">
        <w:trPr>
          <w:trHeight w:val="320"/>
        </w:trPr>
        <w:tc>
          <w:tcPr>
            <w:tcW w:w="1406" w:type="dxa"/>
            <w:tcBorders>
              <w:top w:val="nil"/>
              <w:left w:val="nil"/>
              <w:bottom w:val="nil"/>
              <w:right w:val="nil"/>
            </w:tcBorders>
            <w:shd w:val="clear" w:color="auto" w:fill="auto"/>
            <w:noWrap/>
            <w:vAlign w:val="bottom"/>
            <w:hideMark/>
          </w:tcPr>
          <w:p w14:paraId="48A3A70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494C717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4AACB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74C3BC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429EB0F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5CF8B67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4C7C19C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0E7CC8D0" w14:textId="77777777" w:rsidTr="00C604ED">
        <w:trPr>
          <w:trHeight w:val="640"/>
        </w:trPr>
        <w:tc>
          <w:tcPr>
            <w:tcW w:w="1406" w:type="dxa"/>
            <w:tcBorders>
              <w:top w:val="nil"/>
              <w:left w:val="nil"/>
              <w:bottom w:val="nil"/>
              <w:right w:val="nil"/>
            </w:tcBorders>
            <w:shd w:val="clear" w:color="auto" w:fill="auto"/>
            <w:noWrap/>
            <w:vAlign w:val="bottom"/>
            <w:hideMark/>
          </w:tcPr>
          <w:p w14:paraId="117205A7"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5E4F97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2E7CC66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auto" w:fill="auto"/>
            <w:noWrap/>
            <w:vAlign w:val="bottom"/>
            <w:hideMark/>
          </w:tcPr>
          <w:p w14:paraId="03D39B8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-0.12(0.02,-0.27)</w:t>
            </w:r>
          </w:p>
        </w:tc>
        <w:tc>
          <w:tcPr>
            <w:tcW w:w="1700" w:type="dxa"/>
            <w:tcBorders>
              <w:top w:val="nil"/>
              <w:left w:val="nil"/>
              <w:bottom w:val="nil"/>
              <w:right w:val="nil"/>
            </w:tcBorders>
            <w:shd w:val="clear" w:color="auto" w:fill="auto"/>
            <w:noWrap/>
            <w:vAlign w:val="bottom"/>
            <w:hideMark/>
          </w:tcPr>
          <w:p w14:paraId="68037D6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68EE20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0.34(0.2,0.48)</w:t>
            </w:r>
          </w:p>
        </w:tc>
        <w:tc>
          <w:tcPr>
            <w:tcW w:w="1246" w:type="dxa"/>
            <w:tcBorders>
              <w:top w:val="nil"/>
              <w:left w:val="nil"/>
              <w:bottom w:val="nil"/>
              <w:right w:val="nil"/>
            </w:tcBorders>
            <w:shd w:val="clear" w:color="auto" w:fill="auto"/>
            <w:noWrap/>
            <w:vAlign w:val="bottom"/>
            <w:hideMark/>
          </w:tcPr>
          <w:p w14:paraId="1270DA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0.0970</w:t>
            </w:r>
          </w:p>
        </w:tc>
      </w:tr>
      <w:tr w:rsidR="00C604ED" w14:paraId="6DD36DDC" w14:textId="77777777" w:rsidTr="00C604ED">
        <w:trPr>
          <w:trHeight w:val="320"/>
        </w:trPr>
        <w:tc>
          <w:tcPr>
            <w:tcW w:w="1406" w:type="dxa"/>
            <w:tcBorders>
              <w:top w:val="nil"/>
              <w:left w:val="nil"/>
              <w:bottom w:val="nil"/>
              <w:right w:val="nil"/>
            </w:tcBorders>
            <w:shd w:val="clear" w:color="auto" w:fill="auto"/>
            <w:noWrap/>
            <w:vAlign w:val="bottom"/>
            <w:hideMark/>
          </w:tcPr>
          <w:p w14:paraId="64307D8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34C4CB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1286D9D"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701E50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-0.01(0.1,-0.13)</w:t>
            </w:r>
          </w:p>
        </w:tc>
        <w:tc>
          <w:tcPr>
            <w:tcW w:w="1700" w:type="dxa"/>
            <w:tcBorders>
              <w:top w:val="nil"/>
              <w:left w:val="nil"/>
              <w:bottom w:val="nil"/>
              <w:right w:val="nil"/>
            </w:tcBorders>
            <w:shd w:val="clear" w:color="auto" w:fill="auto"/>
            <w:noWrap/>
            <w:vAlign w:val="bottom"/>
            <w:hideMark/>
          </w:tcPr>
          <w:p w14:paraId="7EBCBBF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985202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32F04A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0EE8EDA4" w14:textId="77777777" w:rsidTr="00C604ED">
        <w:trPr>
          <w:trHeight w:val="640"/>
        </w:trPr>
        <w:tc>
          <w:tcPr>
            <w:tcW w:w="1406" w:type="dxa"/>
            <w:tcBorders>
              <w:top w:val="nil"/>
              <w:left w:val="nil"/>
              <w:bottom w:val="nil"/>
              <w:right w:val="nil"/>
            </w:tcBorders>
            <w:shd w:val="clear" w:color="auto" w:fill="auto"/>
            <w:noWrap/>
            <w:vAlign w:val="bottom"/>
            <w:hideMark/>
          </w:tcPr>
          <w:p w14:paraId="632A8B6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7233D43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49608F2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1861ABD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0.11(-0.03,0.24)</w:t>
            </w:r>
          </w:p>
        </w:tc>
        <w:tc>
          <w:tcPr>
            <w:tcW w:w="1700" w:type="dxa"/>
            <w:tcBorders>
              <w:top w:val="nil"/>
              <w:left w:val="nil"/>
              <w:bottom w:val="nil"/>
              <w:right w:val="nil"/>
            </w:tcBorders>
            <w:shd w:val="clear" w:color="auto" w:fill="auto"/>
            <w:noWrap/>
            <w:vAlign w:val="bottom"/>
            <w:hideMark/>
          </w:tcPr>
          <w:p w14:paraId="760AC9B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16E99DE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1B5B0C05"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0.3532</w:t>
            </w:r>
          </w:p>
        </w:tc>
      </w:tr>
      <w:tr w:rsidR="00C604ED" w14:paraId="28A90DF4" w14:textId="77777777" w:rsidTr="00C604ED">
        <w:trPr>
          <w:trHeight w:val="640"/>
        </w:trPr>
        <w:tc>
          <w:tcPr>
            <w:tcW w:w="1406" w:type="dxa"/>
            <w:tcBorders>
              <w:top w:val="nil"/>
              <w:left w:val="nil"/>
              <w:bottom w:val="nil"/>
              <w:right w:val="nil"/>
            </w:tcBorders>
            <w:shd w:val="clear" w:color="auto" w:fill="auto"/>
            <w:noWrap/>
            <w:vAlign w:val="bottom"/>
            <w:hideMark/>
          </w:tcPr>
          <w:p w14:paraId="18F16D8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104337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937C23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0B2170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-0.02(0.11,-0.15)</w:t>
            </w:r>
          </w:p>
        </w:tc>
        <w:tc>
          <w:tcPr>
            <w:tcW w:w="1700" w:type="dxa"/>
            <w:tcBorders>
              <w:top w:val="nil"/>
              <w:left w:val="nil"/>
              <w:bottom w:val="nil"/>
              <w:right w:val="nil"/>
            </w:tcBorders>
            <w:shd w:val="clear" w:color="auto" w:fill="auto"/>
            <w:noWrap/>
            <w:vAlign w:val="bottom"/>
            <w:hideMark/>
          </w:tcPr>
          <w:p w14:paraId="1CE0D60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7880714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0.31(0.19,0.44)</w:t>
            </w:r>
          </w:p>
        </w:tc>
        <w:tc>
          <w:tcPr>
            <w:tcW w:w="1246" w:type="dxa"/>
            <w:tcBorders>
              <w:top w:val="nil"/>
              <w:left w:val="nil"/>
              <w:bottom w:val="nil"/>
              <w:right w:val="nil"/>
            </w:tcBorders>
            <w:shd w:val="clear" w:color="auto" w:fill="auto"/>
            <w:noWrap/>
            <w:vAlign w:val="bottom"/>
            <w:hideMark/>
          </w:tcPr>
          <w:p w14:paraId="728663A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0.8319</w:t>
            </w:r>
          </w:p>
        </w:tc>
      </w:tr>
      <w:tr w:rsidR="00C604ED" w14:paraId="43CBFDF2" w14:textId="77777777" w:rsidTr="00C604ED">
        <w:trPr>
          <w:trHeight w:val="320"/>
        </w:trPr>
        <w:tc>
          <w:tcPr>
            <w:tcW w:w="1406" w:type="dxa"/>
            <w:tcBorders>
              <w:top w:val="nil"/>
              <w:left w:val="nil"/>
              <w:bottom w:val="nil"/>
              <w:right w:val="nil"/>
            </w:tcBorders>
            <w:shd w:val="clear" w:color="auto" w:fill="auto"/>
            <w:noWrap/>
            <w:vAlign w:val="bottom"/>
            <w:hideMark/>
          </w:tcPr>
          <w:p w14:paraId="788903D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3B65EDE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5065A99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727CF6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-0.12(0.01,-0.26)</w:t>
            </w:r>
          </w:p>
        </w:tc>
        <w:tc>
          <w:tcPr>
            <w:tcW w:w="1700" w:type="dxa"/>
            <w:tcBorders>
              <w:top w:val="nil"/>
              <w:left w:val="nil"/>
              <w:bottom w:val="nil"/>
              <w:right w:val="nil"/>
            </w:tcBorders>
            <w:shd w:val="clear" w:color="auto" w:fill="auto"/>
            <w:noWrap/>
            <w:vAlign w:val="bottom"/>
            <w:hideMark/>
          </w:tcPr>
          <w:p w14:paraId="7D4DBD6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2A67D75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6CBDAE1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0.2053</w:t>
            </w:r>
          </w:p>
        </w:tc>
      </w:tr>
      <w:tr w:rsidR="00C604ED" w14:paraId="0E87D6A0" w14:textId="77777777" w:rsidTr="00C604ED">
        <w:trPr>
          <w:trHeight w:val="640"/>
        </w:trPr>
        <w:tc>
          <w:tcPr>
            <w:tcW w:w="1406" w:type="dxa"/>
            <w:tcBorders>
              <w:top w:val="nil"/>
              <w:left w:val="nil"/>
              <w:bottom w:val="nil"/>
              <w:right w:val="nil"/>
            </w:tcBorders>
            <w:shd w:val="clear" w:color="auto" w:fill="auto"/>
            <w:noWrap/>
            <w:vAlign w:val="bottom"/>
            <w:hideMark/>
          </w:tcPr>
          <w:p w14:paraId="03DA0E4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F615E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3580B4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59879A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nil"/>
              <w:right w:val="nil"/>
            </w:tcBorders>
            <w:shd w:val="clear" w:color="auto" w:fill="auto"/>
            <w:noWrap/>
            <w:vAlign w:val="bottom"/>
            <w:hideMark/>
          </w:tcPr>
          <w:p w14:paraId="657F9A2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6B4A1452"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nil"/>
              <w:right w:val="nil"/>
            </w:tcBorders>
            <w:shd w:val="clear" w:color="auto" w:fill="auto"/>
            <w:noWrap/>
            <w:vAlign w:val="bottom"/>
            <w:hideMark/>
          </w:tcPr>
          <w:p w14:paraId="13FA908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775ACEB"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C417F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47C3825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326C57D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0171AB5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-0.04(0.1,-0.18)</w:t>
            </w:r>
          </w:p>
        </w:tc>
        <w:tc>
          <w:tcPr>
            <w:tcW w:w="1700" w:type="dxa"/>
            <w:tcBorders>
              <w:top w:val="nil"/>
              <w:left w:val="nil"/>
              <w:bottom w:val="single" w:sz="4" w:space="0" w:color="auto"/>
              <w:right w:val="nil"/>
            </w:tcBorders>
            <w:shd w:val="clear" w:color="auto" w:fill="auto"/>
            <w:noWrap/>
            <w:vAlign w:val="bottom"/>
            <w:hideMark/>
          </w:tcPr>
          <w:p w14:paraId="00C70E3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6F78ECC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0.28(0.14,0.42)</w:t>
            </w:r>
          </w:p>
        </w:tc>
        <w:tc>
          <w:tcPr>
            <w:tcW w:w="1246" w:type="dxa"/>
            <w:tcBorders>
              <w:top w:val="nil"/>
              <w:left w:val="nil"/>
              <w:bottom w:val="single" w:sz="4" w:space="0" w:color="auto"/>
              <w:right w:val="nil"/>
            </w:tcBorders>
            <w:shd w:val="clear" w:color="auto" w:fill="auto"/>
            <w:noWrap/>
            <w:vAlign w:val="bottom"/>
            <w:hideMark/>
          </w:tcPr>
          <w:p w14:paraId="0D209EB8"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0.6199</w:t>
            </w:r>
          </w:p>
        </w:tc>
      </w:tr>
      <w:tr w:rsidR="00C604ED" w14:paraId="31DA8261" w14:textId="77777777" w:rsidTr="00C604ED">
        <w:trPr>
          <w:trHeight w:val="320"/>
        </w:trPr>
        <w:tc>
          <w:tcPr>
            <w:tcW w:w="1406" w:type="dxa"/>
            <w:tcBorders>
              <w:top w:val="nil"/>
              <w:left w:val="nil"/>
              <w:bottom w:val="nil"/>
              <w:right w:val="nil"/>
            </w:tcBorders>
            <w:shd w:val="clear" w:color="auto" w:fill="auto"/>
            <w:noWrap/>
            <w:vAlign w:val="bottom"/>
            <w:hideMark/>
          </w:tcPr>
          <w:p w14:paraId="3877966D" w14:textId="77777777" w:rsidR="00C604ED" w:rsidRDefault="00C604ED" w:rsidP="00C604ED">
            <w:pPr>
              <w:jc w:val="right"/>
              <w:rPr>
                <w:rFonts w:ascii="Calibri" w:hAnsi="Calibri" w:cs="Calibri"/>
                <w:color w:val="000000"/>
                <w:sz w:val="22"/>
                <w:szCs w:val="22"/>
              </w:rPr>
            </w:pPr>
          </w:p>
        </w:tc>
        <w:tc>
          <w:tcPr>
            <w:tcW w:w="1295" w:type="dxa"/>
            <w:tcBorders>
              <w:top w:val="nil"/>
              <w:left w:val="nil"/>
              <w:bottom w:val="nil"/>
              <w:right w:val="nil"/>
            </w:tcBorders>
            <w:shd w:val="clear" w:color="auto" w:fill="auto"/>
            <w:noWrap/>
            <w:vAlign w:val="bottom"/>
            <w:hideMark/>
          </w:tcPr>
          <w:p w14:paraId="5ED2B261" w14:textId="77777777" w:rsidR="00C604ED" w:rsidRDefault="00C604ED" w:rsidP="00C604ED">
            <w:pPr>
              <w:rPr>
                <w:sz w:val="20"/>
                <w:szCs w:val="20"/>
              </w:rPr>
            </w:pPr>
          </w:p>
        </w:tc>
        <w:tc>
          <w:tcPr>
            <w:tcW w:w="1659" w:type="dxa"/>
            <w:tcBorders>
              <w:top w:val="nil"/>
              <w:left w:val="nil"/>
              <w:bottom w:val="nil"/>
              <w:right w:val="nil"/>
            </w:tcBorders>
            <w:shd w:val="clear" w:color="auto" w:fill="auto"/>
            <w:vAlign w:val="bottom"/>
            <w:hideMark/>
          </w:tcPr>
          <w:p w14:paraId="54122AD3"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801B698" w14:textId="77777777" w:rsidR="00C604ED" w:rsidRDefault="00C604ED" w:rsidP="00C604ED">
            <w:pPr>
              <w:rPr>
                <w:sz w:val="20"/>
                <w:szCs w:val="20"/>
              </w:rPr>
            </w:pPr>
          </w:p>
        </w:tc>
        <w:tc>
          <w:tcPr>
            <w:tcW w:w="1700" w:type="dxa"/>
            <w:tcBorders>
              <w:top w:val="nil"/>
              <w:left w:val="nil"/>
              <w:bottom w:val="nil"/>
              <w:right w:val="nil"/>
            </w:tcBorders>
            <w:shd w:val="clear" w:color="auto" w:fill="auto"/>
            <w:noWrap/>
            <w:vAlign w:val="bottom"/>
            <w:hideMark/>
          </w:tcPr>
          <w:p w14:paraId="54C6CC2B"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9937D7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A420584" w14:textId="77777777" w:rsidR="00C604ED" w:rsidRDefault="00C604ED" w:rsidP="00C604ED">
            <w:pPr>
              <w:jc w:val="center"/>
              <w:rPr>
                <w:sz w:val="20"/>
                <w:szCs w:val="20"/>
              </w:rPr>
            </w:pPr>
          </w:p>
        </w:tc>
      </w:tr>
      <w:tr w:rsidR="00C604ED" w14:paraId="6FC04E32" w14:textId="77777777" w:rsidTr="00C604ED">
        <w:trPr>
          <w:trHeight w:val="320"/>
        </w:trPr>
        <w:tc>
          <w:tcPr>
            <w:tcW w:w="4360" w:type="dxa"/>
            <w:gridSpan w:val="3"/>
            <w:tcBorders>
              <w:top w:val="nil"/>
              <w:left w:val="nil"/>
              <w:bottom w:val="nil"/>
              <w:right w:val="nil"/>
            </w:tcBorders>
            <w:shd w:val="clear" w:color="auto" w:fill="auto"/>
            <w:noWrap/>
            <w:vAlign w:val="bottom"/>
            <w:hideMark/>
          </w:tcPr>
          <w:p w14:paraId="26C88C85" w14:textId="77777777" w:rsidR="00C604ED" w:rsidRDefault="00C604ED" w:rsidP="00C604ED">
            <w:pPr>
              <w:rPr>
                <w:rFonts w:ascii="Calibri" w:hAnsi="Calibri" w:cs="Calibri"/>
                <w:color w:val="000000"/>
                <w:sz w:val="22"/>
                <w:szCs w:val="22"/>
                <w:u w:val="single"/>
              </w:rPr>
            </w:pPr>
            <w:r>
              <w:rPr>
                <w:rFonts w:ascii="Calibri" w:hAnsi="Calibri" w:cs="Calibri"/>
                <w:color w:val="000000"/>
                <w:sz w:val="22"/>
                <w:szCs w:val="22"/>
                <w:u w:val="single"/>
              </w:rPr>
              <w:t>Table A.3b: Mutually adjusted</w:t>
            </w:r>
          </w:p>
        </w:tc>
        <w:tc>
          <w:tcPr>
            <w:tcW w:w="1700" w:type="dxa"/>
            <w:tcBorders>
              <w:top w:val="nil"/>
              <w:left w:val="nil"/>
              <w:bottom w:val="nil"/>
              <w:right w:val="nil"/>
            </w:tcBorders>
            <w:shd w:val="clear" w:color="auto" w:fill="auto"/>
            <w:noWrap/>
            <w:vAlign w:val="bottom"/>
            <w:hideMark/>
          </w:tcPr>
          <w:p w14:paraId="76C39684" w14:textId="77777777" w:rsidR="00C604ED" w:rsidRDefault="00C604ED" w:rsidP="00C604ED">
            <w:pPr>
              <w:rPr>
                <w:rFonts w:ascii="Calibri" w:hAnsi="Calibri" w:cs="Calibri"/>
                <w:color w:val="000000"/>
                <w:sz w:val="22"/>
                <w:szCs w:val="22"/>
                <w:u w:val="single"/>
              </w:rPr>
            </w:pPr>
          </w:p>
        </w:tc>
        <w:tc>
          <w:tcPr>
            <w:tcW w:w="1700" w:type="dxa"/>
            <w:tcBorders>
              <w:top w:val="nil"/>
              <w:left w:val="nil"/>
              <w:bottom w:val="nil"/>
              <w:right w:val="nil"/>
            </w:tcBorders>
            <w:shd w:val="clear" w:color="auto" w:fill="auto"/>
            <w:noWrap/>
            <w:vAlign w:val="bottom"/>
            <w:hideMark/>
          </w:tcPr>
          <w:p w14:paraId="48723BBD" w14:textId="77777777" w:rsidR="00C604ED" w:rsidRDefault="00C604ED" w:rsidP="00C604ED">
            <w:pPr>
              <w:jc w:val="center"/>
              <w:rPr>
                <w:sz w:val="20"/>
                <w:szCs w:val="20"/>
              </w:rPr>
            </w:pPr>
          </w:p>
        </w:tc>
        <w:tc>
          <w:tcPr>
            <w:tcW w:w="1700" w:type="dxa"/>
            <w:tcBorders>
              <w:top w:val="nil"/>
              <w:left w:val="nil"/>
              <w:bottom w:val="nil"/>
              <w:right w:val="nil"/>
            </w:tcBorders>
            <w:shd w:val="clear" w:color="auto" w:fill="auto"/>
            <w:noWrap/>
            <w:vAlign w:val="bottom"/>
            <w:hideMark/>
          </w:tcPr>
          <w:p w14:paraId="616AB02D" w14:textId="77777777" w:rsidR="00C604ED" w:rsidRDefault="00C604ED" w:rsidP="00C604ED">
            <w:pPr>
              <w:jc w:val="center"/>
              <w:rPr>
                <w:sz w:val="20"/>
                <w:szCs w:val="20"/>
              </w:rPr>
            </w:pPr>
          </w:p>
        </w:tc>
        <w:tc>
          <w:tcPr>
            <w:tcW w:w="1246" w:type="dxa"/>
            <w:tcBorders>
              <w:top w:val="nil"/>
              <w:left w:val="nil"/>
              <w:bottom w:val="nil"/>
              <w:right w:val="nil"/>
            </w:tcBorders>
            <w:shd w:val="clear" w:color="auto" w:fill="auto"/>
            <w:noWrap/>
            <w:vAlign w:val="bottom"/>
            <w:hideMark/>
          </w:tcPr>
          <w:p w14:paraId="54F5AB7A" w14:textId="77777777" w:rsidR="00C604ED" w:rsidRDefault="00C604ED" w:rsidP="00C604ED">
            <w:pPr>
              <w:jc w:val="center"/>
              <w:rPr>
                <w:sz w:val="20"/>
                <w:szCs w:val="20"/>
              </w:rPr>
            </w:pPr>
          </w:p>
        </w:tc>
      </w:tr>
      <w:tr w:rsidR="00C604ED" w14:paraId="1A53882F" w14:textId="77777777" w:rsidTr="00C604ED">
        <w:trPr>
          <w:trHeight w:val="960"/>
        </w:trPr>
        <w:tc>
          <w:tcPr>
            <w:tcW w:w="1406" w:type="dxa"/>
            <w:tcBorders>
              <w:top w:val="nil"/>
              <w:left w:val="nil"/>
              <w:bottom w:val="single" w:sz="4" w:space="0" w:color="auto"/>
              <w:right w:val="nil"/>
            </w:tcBorders>
            <w:shd w:val="clear" w:color="auto" w:fill="auto"/>
            <w:noWrap/>
            <w:vAlign w:val="bottom"/>
            <w:hideMark/>
          </w:tcPr>
          <w:p w14:paraId="3F84BD1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outcome</w:t>
            </w:r>
          </w:p>
        </w:tc>
        <w:tc>
          <w:tcPr>
            <w:tcW w:w="1295" w:type="dxa"/>
            <w:tcBorders>
              <w:top w:val="nil"/>
              <w:left w:val="nil"/>
              <w:bottom w:val="single" w:sz="4" w:space="0" w:color="auto"/>
              <w:right w:val="nil"/>
            </w:tcBorders>
            <w:shd w:val="clear" w:color="auto" w:fill="auto"/>
            <w:noWrap/>
            <w:vAlign w:val="bottom"/>
            <w:hideMark/>
          </w:tcPr>
          <w:p w14:paraId="6255F40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exposure</w:t>
            </w:r>
          </w:p>
        </w:tc>
        <w:tc>
          <w:tcPr>
            <w:tcW w:w="1659" w:type="dxa"/>
            <w:tcBorders>
              <w:top w:val="nil"/>
              <w:left w:val="nil"/>
              <w:bottom w:val="single" w:sz="4" w:space="0" w:color="auto"/>
              <w:right w:val="nil"/>
            </w:tcBorders>
            <w:shd w:val="clear" w:color="auto" w:fill="auto"/>
            <w:vAlign w:val="bottom"/>
            <w:hideMark/>
          </w:tcPr>
          <w:p w14:paraId="16800CA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mediator</w:t>
            </w:r>
          </w:p>
        </w:tc>
        <w:tc>
          <w:tcPr>
            <w:tcW w:w="1700" w:type="dxa"/>
            <w:tcBorders>
              <w:top w:val="nil"/>
              <w:left w:val="nil"/>
              <w:bottom w:val="single" w:sz="4" w:space="0" w:color="auto"/>
              <w:right w:val="nil"/>
            </w:tcBorders>
            <w:shd w:val="clear" w:color="auto" w:fill="auto"/>
            <w:vAlign w:val="bottom"/>
            <w:hideMark/>
          </w:tcPr>
          <w:p w14:paraId="4973626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mediator</w:t>
            </w:r>
          </w:p>
        </w:tc>
        <w:tc>
          <w:tcPr>
            <w:tcW w:w="1700" w:type="dxa"/>
            <w:tcBorders>
              <w:top w:val="nil"/>
              <w:left w:val="nil"/>
              <w:bottom w:val="single" w:sz="4" w:space="0" w:color="auto"/>
              <w:right w:val="nil"/>
            </w:tcBorders>
            <w:shd w:val="clear" w:color="auto" w:fill="auto"/>
            <w:vAlign w:val="bottom"/>
            <w:hideMark/>
          </w:tcPr>
          <w:p w14:paraId="6A91DDA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mediator-</w:t>
            </w:r>
            <w:r>
              <w:rPr>
                <w:rFonts w:ascii="Calibri" w:hAnsi="Calibri" w:cs="Calibri"/>
                <w:color w:val="000000"/>
                <w:sz w:val="22"/>
                <w:szCs w:val="22"/>
              </w:rPr>
              <w:br/>
              <w:t>outcome</w:t>
            </w:r>
          </w:p>
        </w:tc>
        <w:tc>
          <w:tcPr>
            <w:tcW w:w="1700" w:type="dxa"/>
            <w:tcBorders>
              <w:top w:val="nil"/>
              <w:left w:val="nil"/>
              <w:bottom w:val="single" w:sz="4" w:space="0" w:color="auto"/>
              <w:right w:val="nil"/>
            </w:tcBorders>
            <w:shd w:val="clear" w:color="auto" w:fill="auto"/>
            <w:vAlign w:val="bottom"/>
            <w:hideMark/>
          </w:tcPr>
          <w:p w14:paraId="78F2501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exposure-</w:t>
            </w:r>
            <w:r>
              <w:rPr>
                <w:rFonts w:ascii="Calibri" w:hAnsi="Calibri" w:cs="Calibri"/>
                <w:color w:val="000000"/>
                <w:sz w:val="22"/>
                <w:szCs w:val="22"/>
              </w:rPr>
              <w:br/>
              <w:t>outcome</w:t>
            </w:r>
          </w:p>
        </w:tc>
        <w:tc>
          <w:tcPr>
            <w:tcW w:w="1246" w:type="dxa"/>
            <w:tcBorders>
              <w:top w:val="nil"/>
              <w:left w:val="nil"/>
              <w:bottom w:val="single" w:sz="4" w:space="0" w:color="auto"/>
              <w:right w:val="nil"/>
            </w:tcBorders>
            <w:shd w:val="clear" w:color="auto" w:fill="auto"/>
            <w:vAlign w:val="bottom"/>
            <w:hideMark/>
          </w:tcPr>
          <w:p w14:paraId="02F8B565"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p-value (Benjamini-Hochberg)</w:t>
            </w:r>
          </w:p>
        </w:tc>
      </w:tr>
      <w:tr w:rsidR="00C604ED" w14:paraId="586B0652" w14:textId="77777777" w:rsidTr="00C604ED">
        <w:trPr>
          <w:trHeight w:val="320"/>
        </w:trPr>
        <w:tc>
          <w:tcPr>
            <w:tcW w:w="1406" w:type="dxa"/>
            <w:tcBorders>
              <w:top w:val="nil"/>
              <w:left w:val="nil"/>
              <w:bottom w:val="nil"/>
              <w:right w:val="nil"/>
            </w:tcBorders>
            <w:shd w:val="clear" w:color="auto" w:fill="auto"/>
            <w:noWrap/>
            <w:vAlign w:val="bottom"/>
            <w:hideMark/>
          </w:tcPr>
          <w:p w14:paraId="119C38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12359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342D972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540DC07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E9C64C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40D2E2D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auto" w:fill="auto"/>
            <w:noWrap/>
            <w:vAlign w:val="bottom"/>
            <w:hideMark/>
          </w:tcPr>
          <w:p w14:paraId="7554FC96"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0.8144</w:t>
            </w:r>
          </w:p>
        </w:tc>
      </w:tr>
      <w:tr w:rsidR="00C604ED" w14:paraId="5531073A" w14:textId="77777777" w:rsidTr="00C604ED">
        <w:trPr>
          <w:trHeight w:val="960"/>
        </w:trPr>
        <w:tc>
          <w:tcPr>
            <w:tcW w:w="1406" w:type="dxa"/>
            <w:tcBorders>
              <w:top w:val="nil"/>
              <w:left w:val="nil"/>
              <w:bottom w:val="nil"/>
              <w:right w:val="nil"/>
            </w:tcBorders>
            <w:shd w:val="clear" w:color="000000" w:fill="F4B084"/>
            <w:noWrap/>
            <w:vAlign w:val="bottom"/>
            <w:hideMark/>
          </w:tcPr>
          <w:p w14:paraId="1CDE4D2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000000" w:fill="F4B084"/>
            <w:noWrap/>
            <w:vAlign w:val="bottom"/>
            <w:hideMark/>
          </w:tcPr>
          <w:p w14:paraId="1741E6EC"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000000" w:fill="F4B084"/>
            <w:vAlign w:val="bottom"/>
            <w:hideMark/>
          </w:tcPr>
          <w:p w14:paraId="5644AFD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(reaction time contrast)</w:t>
            </w:r>
          </w:p>
        </w:tc>
        <w:tc>
          <w:tcPr>
            <w:tcW w:w="1700" w:type="dxa"/>
            <w:tcBorders>
              <w:top w:val="nil"/>
              <w:left w:val="nil"/>
              <w:bottom w:val="nil"/>
              <w:right w:val="nil"/>
            </w:tcBorders>
            <w:shd w:val="clear" w:color="000000" w:fill="F4B084"/>
            <w:noWrap/>
            <w:vAlign w:val="bottom"/>
            <w:hideMark/>
          </w:tcPr>
          <w:p w14:paraId="241ACF95"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-0.18(-0.04,-0.32)</w:t>
            </w:r>
          </w:p>
        </w:tc>
        <w:tc>
          <w:tcPr>
            <w:tcW w:w="1700" w:type="dxa"/>
            <w:tcBorders>
              <w:top w:val="nil"/>
              <w:left w:val="nil"/>
              <w:bottom w:val="nil"/>
              <w:right w:val="nil"/>
            </w:tcBorders>
            <w:shd w:val="clear" w:color="000000" w:fill="F4B084"/>
            <w:noWrap/>
            <w:vAlign w:val="bottom"/>
            <w:hideMark/>
          </w:tcPr>
          <w:p w14:paraId="339A400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000000" w:fill="F4B084"/>
            <w:noWrap/>
            <w:vAlign w:val="bottom"/>
            <w:hideMark/>
          </w:tcPr>
          <w:p w14:paraId="3F9614A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0.16(0.02,0.29)</w:t>
            </w:r>
          </w:p>
        </w:tc>
        <w:tc>
          <w:tcPr>
            <w:tcW w:w="1246" w:type="dxa"/>
            <w:tcBorders>
              <w:top w:val="nil"/>
              <w:left w:val="nil"/>
              <w:bottom w:val="nil"/>
              <w:right w:val="nil"/>
            </w:tcBorders>
            <w:shd w:val="clear" w:color="000000" w:fill="F4B084"/>
            <w:noWrap/>
            <w:vAlign w:val="bottom"/>
            <w:hideMark/>
          </w:tcPr>
          <w:p w14:paraId="7BA3C7B3"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0.0212</w:t>
            </w:r>
          </w:p>
        </w:tc>
      </w:tr>
      <w:tr w:rsidR="00C604ED" w14:paraId="6A2CEA0A" w14:textId="77777777" w:rsidTr="00C604ED">
        <w:trPr>
          <w:trHeight w:val="320"/>
        </w:trPr>
        <w:tc>
          <w:tcPr>
            <w:tcW w:w="1406" w:type="dxa"/>
            <w:tcBorders>
              <w:top w:val="nil"/>
              <w:left w:val="nil"/>
              <w:bottom w:val="nil"/>
              <w:right w:val="nil"/>
            </w:tcBorders>
            <w:shd w:val="clear" w:color="auto" w:fill="auto"/>
            <w:noWrap/>
            <w:vAlign w:val="bottom"/>
            <w:hideMark/>
          </w:tcPr>
          <w:p w14:paraId="54EF16C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734ADBC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19DDBC8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6A9573A8"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0282E93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0.13(0.04,0.22)</w:t>
            </w:r>
          </w:p>
        </w:tc>
        <w:tc>
          <w:tcPr>
            <w:tcW w:w="1700" w:type="dxa"/>
            <w:tcBorders>
              <w:top w:val="nil"/>
              <w:left w:val="nil"/>
              <w:bottom w:val="nil"/>
              <w:right w:val="nil"/>
            </w:tcBorders>
            <w:shd w:val="clear" w:color="auto" w:fill="auto"/>
            <w:noWrap/>
            <w:vAlign w:val="bottom"/>
            <w:hideMark/>
          </w:tcPr>
          <w:p w14:paraId="7339E67A"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0F4BCE10"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0.1373</w:t>
            </w:r>
          </w:p>
        </w:tc>
      </w:tr>
      <w:tr w:rsidR="00C604ED" w14:paraId="1B86DC1E" w14:textId="77777777" w:rsidTr="00C604ED">
        <w:trPr>
          <w:trHeight w:val="640"/>
        </w:trPr>
        <w:tc>
          <w:tcPr>
            <w:tcW w:w="1406" w:type="dxa"/>
            <w:tcBorders>
              <w:top w:val="nil"/>
              <w:left w:val="nil"/>
              <w:bottom w:val="nil"/>
              <w:right w:val="nil"/>
            </w:tcBorders>
            <w:shd w:val="clear" w:color="auto" w:fill="auto"/>
            <w:noWrap/>
            <w:vAlign w:val="bottom"/>
            <w:hideMark/>
          </w:tcPr>
          <w:p w14:paraId="581B849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Internalizing</w:t>
            </w:r>
          </w:p>
        </w:tc>
        <w:tc>
          <w:tcPr>
            <w:tcW w:w="1295" w:type="dxa"/>
            <w:tcBorders>
              <w:top w:val="nil"/>
              <w:left w:val="nil"/>
              <w:bottom w:val="nil"/>
              <w:right w:val="nil"/>
            </w:tcBorders>
            <w:shd w:val="clear" w:color="auto" w:fill="auto"/>
            <w:noWrap/>
            <w:vAlign w:val="bottom"/>
            <w:hideMark/>
          </w:tcPr>
          <w:p w14:paraId="32BB1BA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4F1FC9D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 xml:space="preserve">Reward sensitivity </w:t>
            </w:r>
            <w:r>
              <w:rPr>
                <w:rFonts w:ascii="Calibri" w:hAnsi="Calibri" w:cs="Calibri"/>
                <w:color w:val="000000"/>
                <w:sz w:val="22"/>
                <w:szCs w:val="22"/>
              </w:rPr>
              <w:lastRenderedPageBreak/>
              <w:t>(reaction time contrast)</w:t>
            </w:r>
          </w:p>
        </w:tc>
        <w:tc>
          <w:tcPr>
            <w:tcW w:w="1700" w:type="dxa"/>
            <w:tcBorders>
              <w:top w:val="nil"/>
              <w:left w:val="nil"/>
              <w:bottom w:val="nil"/>
              <w:right w:val="nil"/>
            </w:tcBorders>
            <w:shd w:val="clear" w:color="auto" w:fill="auto"/>
            <w:noWrap/>
            <w:vAlign w:val="bottom"/>
            <w:hideMark/>
          </w:tcPr>
          <w:p w14:paraId="118F8C4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lastRenderedPageBreak/>
              <w:t>-0.08(0.07,-0.22)</w:t>
            </w:r>
          </w:p>
        </w:tc>
        <w:tc>
          <w:tcPr>
            <w:tcW w:w="1700" w:type="dxa"/>
            <w:tcBorders>
              <w:top w:val="nil"/>
              <w:left w:val="nil"/>
              <w:bottom w:val="nil"/>
              <w:right w:val="nil"/>
            </w:tcBorders>
            <w:shd w:val="clear" w:color="auto" w:fill="auto"/>
            <w:noWrap/>
            <w:vAlign w:val="bottom"/>
            <w:hideMark/>
          </w:tcPr>
          <w:p w14:paraId="4B05891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-0.07(-0.01,-0.13)</w:t>
            </w:r>
          </w:p>
        </w:tc>
        <w:tc>
          <w:tcPr>
            <w:tcW w:w="1700" w:type="dxa"/>
            <w:tcBorders>
              <w:top w:val="nil"/>
              <w:left w:val="nil"/>
              <w:bottom w:val="nil"/>
              <w:right w:val="nil"/>
            </w:tcBorders>
            <w:shd w:val="clear" w:color="auto" w:fill="auto"/>
            <w:noWrap/>
            <w:vAlign w:val="bottom"/>
            <w:hideMark/>
          </w:tcPr>
          <w:p w14:paraId="2E67FBA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0.3(0.15,0.44)</w:t>
            </w:r>
          </w:p>
        </w:tc>
        <w:tc>
          <w:tcPr>
            <w:tcW w:w="1246" w:type="dxa"/>
            <w:tcBorders>
              <w:top w:val="nil"/>
              <w:left w:val="nil"/>
              <w:bottom w:val="nil"/>
              <w:right w:val="nil"/>
            </w:tcBorders>
            <w:shd w:val="clear" w:color="auto" w:fill="auto"/>
            <w:noWrap/>
            <w:vAlign w:val="bottom"/>
            <w:hideMark/>
          </w:tcPr>
          <w:p w14:paraId="662E5BDB"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0.3115</w:t>
            </w:r>
          </w:p>
        </w:tc>
      </w:tr>
      <w:tr w:rsidR="00C604ED" w14:paraId="65CDFF98" w14:textId="77777777" w:rsidTr="00C604ED">
        <w:trPr>
          <w:trHeight w:val="320"/>
        </w:trPr>
        <w:tc>
          <w:tcPr>
            <w:tcW w:w="1406" w:type="dxa"/>
            <w:tcBorders>
              <w:top w:val="nil"/>
              <w:left w:val="nil"/>
              <w:bottom w:val="nil"/>
              <w:right w:val="nil"/>
            </w:tcBorders>
            <w:shd w:val="clear" w:color="auto" w:fill="auto"/>
            <w:noWrap/>
            <w:vAlign w:val="bottom"/>
            <w:hideMark/>
          </w:tcPr>
          <w:p w14:paraId="1FB73288"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521A57C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57A58A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04CC1A0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0.02(-0.1,0.13)</w:t>
            </w:r>
          </w:p>
        </w:tc>
        <w:tc>
          <w:tcPr>
            <w:tcW w:w="1700" w:type="dxa"/>
            <w:tcBorders>
              <w:top w:val="nil"/>
              <w:left w:val="nil"/>
              <w:bottom w:val="nil"/>
              <w:right w:val="nil"/>
            </w:tcBorders>
            <w:shd w:val="clear" w:color="auto" w:fill="auto"/>
            <w:noWrap/>
            <w:vAlign w:val="bottom"/>
            <w:hideMark/>
          </w:tcPr>
          <w:p w14:paraId="250F095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4CE5E1B6"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2A10E92C"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53C5E1CC" w14:textId="77777777" w:rsidTr="00C604ED">
        <w:trPr>
          <w:trHeight w:val="640"/>
        </w:trPr>
        <w:tc>
          <w:tcPr>
            <w:tcW w:w="1406" w:type="dxa"/>
            <w:tcBorders>
              <w:top w:val="nil"/>
              <w:left w:val="nil"/>
              <w:bottom w:val="nil"/>
              <w:right w:val="nil"/>
            </w:tcBorders>
            <w:shd w:val="clear" w:color="auto" w:fill="auto"/>
            <w:noWrap/>
            <w:vAlign w:val="bottom"/>
            <w:hideMark/>
          </w:tcPr>
          <w:p w14:paraId="2AD3566B"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08A70571"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0A8866DE"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2DDF099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0.1(-0.03,0.24)</w:t>
            </w:r>
          </w:p>
        </w:tc>
        <w:tc>
          <w:tcPr>
            <w:tcW w:w="1700" w:type="dxa"/>
            <w:tcBorders>
              <w:top w:val="nil"/>
              <w:left w:val="nil"/>
              <w:bottom w:val="nil"/>
              <w:right w:val="nil"/>
            </w:tcBorders>
            <w:shd w:val="clear" w:color="auto" w:fill="auto"/>
            <w:noWrap/>
            <w:vAlign w:val="bottom"/>
            <w:hideMark/>
          </w:tcPr>
          <w:p w14:paraId="607F055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03FD02F9"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1C67C38E"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0.4233</w:t>
            </w:r>
          </w:p>
        </w:tc>
      </w:tr>
      <w:tr w:rsidR="00C604ED" w14:paraId="7A78C1F9" w14:textId="77777777" w:rsidTr="00C604ED">
        <w:trPr>
          <w:trHeight w:val="640"/>
        </w:trPr>
        <w:tc>
          <w:tcPr>
            <w:tcW w:w="1406" w:type="dxa"/>
            <w:tcBorders>
              <w:top w:val="nil"/>
              <w:left w:val="nil"/>
              <w:bottom w:val="nil"/>
              <w:right w:val="nil"/>
            </w:tcBorders>
            <w:shd w:val="clear" w:color="auto" w:fill="auto"/>
            <w:noWrap/>
            <w:vAlign w:val="bottom"/>
            <w:hideMark/>
          </w:tcPr>
          <w:p w14:paraId="6974265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EF287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Threat</w:t>
            </w:r>
          </w:p>
        </w:tc>
        <w:tc>
          <w:tcPr>
            <w:tcW w:w="1659" w:type="dxa"/>
            <w:tcBorders>
              <w:top w:val="nil"/>
              <w:left w:val="nil"/>
              <w:bottom w:val="nil"/>
              <w:right w:val="nil"/>
            </w:tcBorders>
            <w:shd w:val="clear" w:color="auto" w:fill="auto"/>
            <w:vAlign w:val="bottom"/>
            <w:hideMark/>
          </w:tcPr>
          <w:p w14:paraId="1CF0A07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nil"/>
              <w:right w:val="nil"/>
            </w:tcBorders>
            <w:shd w:val="clear" w:color="auto" w:fill="auto"/>
            <w:noWrap/>
            <w:vAlign w:val="bottom"/>
            <w:hideMark/>
          </w:tcPr>
          <w:p w14:paraId="5649E940"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-0.01(0.12,-0.14)</w:t>
            </w:r>
          </w:p>
        </w:tc>
        <w:tc>
          <w:tcPr>
            <w:tcW w:w="1700" w:type="dxa"/>
            <w:tcBorders>
              <w:top w:val="nil"/>
              <w:left w:val="nil"/>
              <w:bottom w:val="nil"/>
              <w:right w:val="nil"/>
            </w:tcBorders>
            <w:shd w:val="clear" w:color="auto" w:fill="auto"/>
            <w:noWrap/>
            <w:vAlign w:val="bottom"/>
            <w:hideMark/>
          </w:tcPr>
          <w:p w14:paraId="6C86102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nil"/>
              <w:right w:val="nil"/>
            </w:tcBorders>
            <w:shd w:val="clear" w:color="auto" w:fill="auto"/>
            <w:noWrap/>
            <w:vAlign w:val="bottom"/>
            <w:hideMark/>
          </w:tcPr>
          <w:p w14:paraId="6E272C3E"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0.27(0.14,0.39)</w:t>
            </w:r>
          </w:p>
        </w:tc>
        <w:tc>
          <w:tcPr>
            <w:tcW w:w="1246" w:type="dxa"/>
            <w:tcBorders>
              <w:top w:val="nil"/>
              <w:left w:val="nil"/>
              <w:bottom w:val="nil"/>
              <w:right w:val="nil"/>
            </w:tcBorders>
            <w:shd w:val="clear" w:color="auto" w:fill="auto"/>
            <w:noWrap/>
            <w:vAlign w:val="bottom"/>
            <w:hideMark/>
          </w:tcPr>
          <w:p w14:paraId="6FD932A4"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0.8721</w:t>
            </w:r>
          </w:p>
        </w:tc>
      </w:tr>
      <w:tr w:rsidR="00C604ED" w14:paraId="7775441F" w14:textId="77777777" w:rsidTr="00C604ED">
        <w:trPr>
          <w:trHeight w:val="320"/>
        </w:trPr>
        <w:tc>
          <w:tcPr>
            <w:tcW w:w="1406" w:type="dxa"/>
            <w:tcBorders>
              <w:top w:val="nil"/>
              <w:left w:val="nil"/>
              <w:bottom w:val="nil"/>
              <w:right w:val="nil"/>
            </w:tcBorders>
            <w:shd w:val="clear" w:color="auto" w:fill="auto"/>
            <w:noWrap/>
            <w:vAlign w:val="bottom"/>
            <w:hideMark/>
          </w:tcPr>
          <w:p w14:paraId="05B66C2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426040BA"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01A005A0"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Tanner stage</w:t>
            </w:r>
          </w:p>
        </w:tc>
        <w:tc>
          <w:tcPr>
            <w:tcW w:w="1700" w:type="dxa"/>
            <w:tcBorders>
              <w:top w:val="nil"/>
              <w:left w:val="nil"/>
              <w:bottom w:val="nil"/>
              <w:right w:val="nil"/>
            </w:tcBorders>
            <w:shd w:val="clear" w:color="auto" w:fill="auto"/>
            <w:noWrap/>
            <w:vAlign w:val="bottom"/>
            <w:hideMark/>
          </w:tcPr>
          <w:p w14:paraId="73048DB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-0.13(0.01,-0.27)</w:t>
            </w:r>
          </w:p>
        </w:tc>
        <w:tc>
          <w:tcPr>
            <w:tcW w:w="1700" w:type="dxa"/>
            <w:tcBorders>
              <w:top w:val="nil"/>
              <w:left w:val="nil"/>
              <w:bottom w:val="nil"/>
              <w:right w:val="nil"/>
            </w:tcBorders>
            <w:shd w:val="clear" w:color="auto" w:fill="auto"/>
            <w:noWrap/>
            <w:vAlign w:val="bottom"/>
            <w:hideMark/>
          </w:tcPr>
          <w:p w14:paraId="10BE517F"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0.21(0.08,0.34)</w:t>
            </w:r>
          </w:p>
        </w:tc>
        <w:tc>
          <w:tcPr>
            <w:tcW w:w="1700" w:type="dxa"/>
            <w:tcBorders>
              <w:top w:val="nil"/>
              <w:left w:val="nil"/>
              <w:bottom w:val="nil"/>
              <w:right w:val="nil"/>
            </w:tcBorders>
            <w:shd w:val="clear" w:color="auto" w:fill="auto"/>
            <w:noWrap/>
            <w:vAlign w:val="bottom"/>
            <w:hideMark/>
          </w:tcPr>
          <w:p w14:paraId="70493F3D"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450BF9A7"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0.2059</w:t>
            </w:r>
          </w:p>
        </w:tc>
      </w:tr>
      <w:tr w:rsidR="00C604ED" w14:paraId="6C72CA98" w14:textId="77777777" w:rsidTr="00C604ED">
        <w:trPr>
          <w:trHeight w:val="640"/>
        </w:trPr>
        <w:tc>
          <w:tcPr>
            <w:tcW w:w="1406" w:type="dxa"/>
            <w:tcBorders>
              <w:top w:val="nil"/>
              <w:left w:val="nil"/>
              <w:bottom w:val="nil"/>
              <w:right w:val="nil"/>
            </w:tcBorders>
            <w:shd w:val="clear" w:color="auto" w:fill="auto"/>
            <w:noWrap/>
            <w:vAlign w:val="bottom"/>
            <w:hideMark/>
          </w:tcPr>
          <w:p w14:paraId="68C34BE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nil"/>
              <w:right w:val="nil"/>
            </w:tcBorders>
            <w:shd w:val="clear" w:color="auto" w:fill="auto"/>
            <w:noWrap/>
            <w:vAlign w:val="bottom"/>
            <w:hideMark/>
          </w:tcPr>
          <w:p w14:paraId="2743B37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nil"/>
              <w:right w:val="nil"/>
            </w:tcBorders>
            <w:shd w:val="clear" w:color="auto" w:fill="auto"/>
            <w:vAlign w:val="bottom"/>
            <w:hideMark/>
          </w:tcPr>
          <w:p w14:paraId="6B4887D6"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Inhibitory control (No-Go accuracy)</w:t>
            </w:r>
          </w:p>
        </w:tc>
        <w:tc>
          <w:tcPr>
            <w:tcW w:w="1700" w:type="dxa"/>
            <w:tcBorders>
              <w:top w:val="nil"/>
              <w:left w:val="nil"/>
              <w:bottom w:val="nil"/>
              <w:right w:val="nil"/>
            </w:tcBorders>
            <w:shd w:val="clear" w:color="auto" w:fill="auto"/>
            <w:noWrap/>
            <w:vAlign w:val="bottom"/>
            <w:hideMark/>
          </w:tcPr>
          <w:p w14:paraId="5890120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0.01(-0.13,0.15)</w:t>
            </w:r>
          </w:p>
        </w:tc>
        <w:tc>
          <w:tcPr>
            <w:tcW w:w="1700" w:type="dxa"/>
            <w:tcBorders>
              <w:top w:val="nil"/>
              <w:left w:val="nil"/>
              <w:bottom w:val="nil"/>
              <w:right w:val="nil"/>
            </w:tcBorders>
            <w:shd w:val="clear" w:color="auto" w:fill="auto"/>
            <w:noWrap/>
            <w:vAlign w:val="bottom"/>
            <w:hideMark/>
          </w:tcPr>
          <w:p w14:paraId="2A0F948B"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-0.11(-0.02,-0.21)</w:t>
            </w:r>
          </w:p>
        </w:tc>
        <w:tc>
          <w:tcPr>
            <w:tcW w:w="1700" w:type="dxa"/>
            <w:tcBorders>
              <w:top w:val="nil"/>
              <w:left w:val="nil"/>
              <w:bottom w:val="nil"/>
              <w:right w:val="nil"/>
            </w:tcBorders>
            <w:shd w:val="clear" w:color="auto" w:fill="auto"/>
            <w:noWrap/>
            <w:vAlign w:val="bottom"/>
            <w:hideMark/>
          </w:tcPr>
          <w:p w14:paraId="32C26CB7"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nil"/>
              <w:right w:val="nil"/>
            </w:tcBorders>
            <w:shd w:val="clear" w:color="auto" w:fill="auto"/>
            <w:noWrap/>
            <w:vAlign w:val="bottom"/>
            <w:hideMark/>
          </w:tcPr>
          <w:p w14:paraId="67D1889D"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r w:rsidR="00C604ED" w14:paraId="0E9B18D9" w14:textId="77777777" w:rsidTr="00C604ED">
        <w:trPr>
          <w:trHeight w:val="640"/>
        </w:trPr>
        <w:tc>
          <w:tcPr>
            <w:tcW w:w="1406" w:type="dxa"/>
            <w:tcBorders>
              <w:top w:val="nil"/>
              <w:left w:val="nil"/>
              <w:bottom w:val="single" w:sz="4" w:space="0" w:color="auto"/>
              <w:right w:val="nil"/>
            </w:tcBorders>
            <w:shd w:val="clear" w:color="auto" w:fill="auto"/>
            <w:noWrap/>
            <w:vAlign w:val="bottom"/>
            <w:hideMark/>
          </w:tcPr>
          <w:p w14:paraId="0AD32813"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Externalizing</w:t>
            </w:r>
          </w:p>
        </w:tc>
        <w:tc>
          <w:tcPr>
            <w:tcW w:w="1295" w:type="dxa"/>
            <w:tcBorders>
              <w:top w:val="nil"/>
              <w:left w:val="nil"/>
              <w:bottom w:val="single" w:sz="4" w:space="0" w:color="auto"/>
              <w:right w:val="nil"/>
            </w:tcBorders>
            <w:shd w:val="clear" w:color="auto" w:fill="auto"/>
            <w:noWrap/>
            <w:vAlign w:val="bottom"/>
            <w:hideMark/>
          </w:tcPr>
          <w:p w14:paraId="61B5284F"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Deprivation</w:t>
            </w:r>
          </w:p>
        </w:tc>
        <w:tc>
          <w:tcPr>
            <w:tcW w:w="1659" w:type="dxa"/>
            <w:tcBorders>
              <w:top w:val="nil"/>
              <w:left w:val="nil"/>
              <w:bottom w:val="single" w:sz="4" w:space="0" w:color="auto"/>
              <w:right w:val="nil"/>
            </w:tcBorders>
            <w:shd w:val="clear" w:color="auto" w:fill="auto"/>
            <w:vAlign w:val="bottom"/>
            <w:hideMark/>
          </w:tcPr>
          <w:p w14:paraId="7DD83C82" w14:textId="77777777" w:rsidR="00C604ED" w:rsidRDefault="00C604ED" w:rsidP="00C604ED">
            <w:pPr>
              <w:rPr>
                <w:rFonts w:ascii="Calibri" w:hAnsi="Calibri" w:cs="Calibri"/>
                <w:color w:val="000000"/>
                <w:sz w:val="22"/>
                <w:szCs w:val="22"/>
              </w:rPr>
            </w:pPr>
            <w:r>
              <w:rPr>
                <w:rFonts w:ascii="Calibri" w:hAnsi="Calibri" w:cs="Calibri"/>
                <w:color w:val="000000"/>
                <w:sz w:val="22"/>
                <w:szCs w:val="22"/>
              </w:rPr>
              <w:t>Reward sensitivity (total stars)</w:t>
            </w:r>
          </w:p>
        </w:tc>
        <w:tc>
          <w:tcPr>
            <w:tcW w:w="1700" w:type="dxa"/>
            <w:tcBorders>
              <w:top w:val="nil"/>
              <w:left w:val="nil"/>
              <w:bottom w:val="single" w:sz="4" w:space="0" w:color="auto"/>
              <w:right w:val="nil"/>
            </w:tcBorders>
            <w:shd w:val="clear" w:color="auto" w:fill="auto"/>
            <w:noWrap/>
            <w:vAlign w:val="bottom"/>
            <w:hideMark/>
          </w:tcPr>
          <w:p w14:paraId="6B9630F3"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-0.03(0.11,-0.18)</w:t>
            </w:r>
          </w:p>
        </w:tc>
        <w:tc>
          <w:tcPr>
            <w:tcW w:w="1700" w:type="dxa"/>
            <w:tcBorders>
              <w:top w:val="nil"/>
              <w:left w:val="nil"/>
              <w:bottom w:val="single" w:sz="4" w:space="0" w:color="auto"/>
              <w:right w:val="nil"/>
            </w:tcBorders>
            <w:shd w:val="clear" w:color="auto" w:fill="auto"/>
            <w:noWrap/>
            <w:vAlign w:val="bottom"/>
            <w:hideMark/>
          </w:tcPr>
          <w:p w14:paraId="7BE0BF81"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-0.19(-0.07,-0.31)</w:t>
            </w:r>
          </w:p>
        </w:tc>
        <w:tc>
          <w:tcPr>
            <w:tcW w:w="1700" w:type="dxa"/>
            <w:tcBorders>
              <w:top w:val="nil"/>
              <w:left w:val="nil"/>
              <w:bottom w:val="single" w:sz="4" w:space="0" w:color="auto"/>
              <w:right w:val="nil"/>
            </w:tcBorders>
            <w:shd w:val="clear" w:color="auto" w:fill="auto"/>
            <w:noWrap/>
            <w:vAlign w:val="bottom"/>
            <w:hideMark/>
          </w:tcPr>
          <w:p w14:paraId="781FA0FC" w14:textId="77777777" w:rsidR="00C604ED" w:rsidRDefault="00C604ED" w:rsidP="00C604ED">
            <w:pPr>
              <w:jc w:val="center"/>
              <w:rPr>
                <w:rFonts w:ascii="Calibri" w:hAnsi="Calibri" w:cs="Calibri"/>
                <w:color w:val="000000"/>
                <w:sz w:val="22"/>
                <w:szCs w:val="22"/>
              </w:rPr>
            </w:pPr>
            <w:r>
              <w:rPr>
                <w:rFonts w:ascii="Calibri" w:hAnsi="Calibri" w:cs="Calibri"/>
                <w:color w:val="000000"/>
                <w:sz w:val="22"/>
                <w:szCs w:val="22"/>
              </w:rPr>
              <w:t>0.21(0.07,0.35)</w:t>
            </w:r>
          </w:p>
        </w:tc>
        <w:tc>
          <w:tcPr>
            <w:tcW w:w="1246" w:type="dxa"/>
            <w:tcBorders>
              <w:top w:val="nil"/>
              <w:left w:val="nil"/>
              <w:bottom w:val="single" w:sz="4" w:space="0" w:color="auto"/>
              <w:right w:val="nil"/>
            </w:tcBorders>
            <w:shd w:val="clear" w:color="auto" w:fill="auto"/>
            <w:noWrap/>
            <w:vAlign w:val="bottom"/>
            <w:hideMark/>
          </w:tcPr>
          <w:p w14:paraId="706FDDC1" w14:textId="77777777" w:rsidR="00C604ED" w:rsidRDefault="00C604ED" w:rsidP="00C604ED">
            <w:pPr>
              <w:jc w:val="right"/>
              <w:rPr>
                <w:rFonts w:ascii="Calibri" w:hAnsi="Calibri" w:cs="Calibri"/>
                <w:color w:val="000000"/>
                <w:sz w:val="22"/>
                <w:szCs w:val="22"/>
              </w:rPr>
            </w:pPr>
            <w:r>
              <w:rPr>
                <w:rFonts w:ascii="Calibri" w:hAnsi="Calibri" w:cs="Calibri"/>
                <w:color w:val="000000"/>
                <w:sz w:val="22"/>
                <w:szCs w:val="22"/>
              </w:rPr>
              <w:t>0.8574</w:t>
            </w:r>
          </w:p>
        </w:tc>
      </w:tr>
    </w:tbl>
    <w:p w14:paraId="7F9C790D" w14:textId="77777777" w:rsidR="00C604ED" w:rsidRDefault="00C604ED">
      <w:pPr>
        <w:rPr>
          <w:rFonts w:asciiTheme="minorHAnsi" w:hAnsiTheme="minorHAnsi" w:cstheme="minorHAnsi"/>
          <w:u w:val="single"/>
        </w:rPr>
      </w:pPr>
      <w:r>
        <w:rPr>
          <w:rFonts w:asciiTheme="minorHAnsi" w:hAnsiTheme="minorHAnsi" w:cstheme="minorHAnsi"/>
          <w:u w:val="single"/>
        </w:rPr>
        <w:br w:type="page"/>
      </w:r>
    </w:p>
    <w:p w14:paraId="4532B520" w14:textId="06A4E972"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0880" w:type="dxa"/>
        <w:tblInd w:w="-710" w:type="dxa"/>
        <w:tblLook w:val="04A0" w:firstRow="1" w:lastRow="0" w:firstColumn="1" w:lastColumn="0" w:noHBand="0" w:noVBand="1"/>
      </w:tblPr>
      <w:tblGrid>
        <w:gridCol w:w="498"/>
        <w:gridCol w:w="4622"/>
        <w:gridCol w:w="1980"/>
        <w:gridCol w:w="1890"/>
        <w:gridCol w:w="1890"/>
      </w:tblGrid>
      <w:tr w:rsidR="0024609F" w14:paraId="0EC7427D" w14:textId="77777777" w:rsidTr="0024609F">
        <w:trPr>
          <w:trHeight w:val="320"/>
        </w:trPr>
        <w:tc>
          <w:tcPr>
            <w:tcW w:w="498" w:type="dxa"/>
            <w:vMerge w:val="restart"/>
            <w:tcBorders>
              <w:top w:val="nil"/>
              <w:left w:val="nil"/>
              <w:bottom w:val="single" w:sz="4" w:space="0" w:color="000000"/>
              <w:right w:val="nil"/>
            </w:tcBorders>
            <w:shd w:val="clear" w:color="auto" w:fill="auto"/>
            <w:noWrap/>
            <w:vAlign w:val="bottom"/>
            <w:hideMark/>
          </w:tcPr>
          <w:p w14:paraId="5D14768F" w14:textId="77777777" w:rsidR="0024609F" w:rsidRDefault="0024609F"/>
        </w:tc>
        <w:tc>
          <w:tcPr>
            <w:tcW w:w="4622" w:type="dxa"/>
            <w:vMerge w:val="restart"/>
            <w:tcBorders>
              <w:top w:val="nil"/>
              <w:left w:val="nil"/>
              <w:bottom w:val="single" w:sz="4" w:space="0" w:color="000000"/>
              <w:right w:val="nil"/>
            </w:tcBorders>
            <w:shd w:val="clear" w:color="auto" w:fill="auto"/>
            <w:noWrap/>
            <w:vAlign w:val="bottom"/>
            <w:hideMark/>
          </w:tcPr>
          <w:p w14:paraId="751530BA" w14:textId="77777777" w:rsidR="0024609F" w:rsidRDefault="0024609F">
            <w:pPr>
              <w:rPr>
                <w:rFonts w:ascii="Calibri" w:hAnsi="Calibri" w:cs="Calibri"/>
                <w:color w:val="000000"/>
                <w:sz w:val="22"/>
                <w:szCs w:val="22"/>
              </w:rPr>
            </w:pPr>
            <w:r>
              <w:rPr>
                <w:rFonts w:ascii="Calibri" w:hAnsi="Calibri" w:cs="Calibri"/>
                <w:color w:val="000000"/>
                <w:sz w:val="22"/>
                <w:szCs w:val="22"/>
              </w:rPr>
              <w:t>Pathway</w:t>
            </w:r>
          </w:p>
        </w:tc>
        <w:tc>
          <w:tcPr>
            <w:tcW w:w="1980" w:type="dxa"/>
            <w:tcBorders>
              <w:top w:val="nil"/>
              <w:left w:val="nil"/>
              <w:bottom w:val="nil"/>
              <w:right w:val="nil"/>
            </w:tcBorders>
            <w:shd w:val="clear" w:color="auto" w:fill="auto"/>
            <w:noWrap/>
            <w:vAlign w:val="bottom"/>
            <w:hideMark/>
          </w:tcPr>
          <w:p w14:paraId="48FB352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Overall Sample</w:t>
            </w:r>
          </w:p>
        </w:tc>
        <w:tc>
          <w:tcPr>
            <w:tcW w:w="1890" w:type="dxa"/>
            <w:tcBorders>
              <w:top w:val="nil"/>
              <w:left w:val="nil"/>
              <w:bottom w:val="nil"/>
              <w:right w:val="nil"/>
            </w:tcBorders>
            <w:shd w:val="clear" w:color="auto" w:fill="auto"/>
            <w:noWrap/>
            <w:vAlign w:val="bottom"/>
            <w:hideMark/>
          </w:tcPr>
          <w:p w14:paraId="6833BE83" w14:textId="076628C3" w:rsidR="0024609F" w:rsidRDefault="0024609F">
            <w:pPr>
              <w:jc w:val="center"/>
              <w:rPr>
                <w:rFonts w:ascii="Calibri" w:hAnsi="Calibri" w:cs="Calibri"/>
                <w:color w:val="000000"/>
                <w:sz w:val="22"/>
                <w:szCs w:val="22"/>
              </w:rPr>
            </w:pPr>
            <w:r>
              <w:rPr>
                <w:rFonts w:ascii="Calibri" w:hAnsi="Calibri" w:cs="Calibri"/>
                <w:color w:val="000000"/>
                <w:sz w:val="22"/>
                <w:szCs w:val="22"/>
              </w:rPr>
              <w:t>Boys (n=1</w:t>
            </w:r>
            <w:r w:rsidR="00154807">
              <w:rPr>
                <w:rFonts w:ascii="Calibri" w:hAnsi="Calibri" w:cs="Calibri"/>
                <w:color w:val="000000"/>
                <w:sz w:val="22"/>
                <w:szCs w:val="22"/>
              </w:rPr>
              <w:t>1</w:t>
            </w:r>
            <w:r>
              <w:rPr>
                <w:rFonts w:ascii="Calibri" w:hAnsi="Calibri" w:cs="Calibri"/>
                <w:color w:val="000000"/>
                <w:sz w:val="22"/>
                <w:szCs w:val="22"/>
              </w:rPr>
              <w:t>7)</w:t>
            </w:r>
          </w:p>
        </w:tc>
        <w:tc>
          <w:tcPr>
            <w:tcW w:w="1890" w:type="dxa"/>
            <w:tcBorders>
              <w:top w:val="nil"/>
              <w:left w:val="nil"/>
              <w:bottom w:val="nil"/>
              <w:right w:val="nil"/>
            </w:tcBorders>
            <w:shd w:val="clear" w:color="auto" w:fill="auto"/>
            <w:noWrap/>
            <w:vAlign w:val="bottom"/>
            <w:hideMark/>
          </w:tcPr>
          <w:p w14:paraId="2420862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Girls (n=110)</w:t>
            </w:r>
          </w:p>
        </w:tc>
      </w:tr>
      <w:tr w:rsidR="0024609F" w14:paraId="26674B96" w14:textId="77777777" w:rsidTr="0024609F">
        <w:trPr>
          <w:trHeight w:val="640"/>
        </w:trPr>
        <w:tc>
          <w:tcPr>
            <w:tcW w:w="498" w:type="dxa"/>
            <w:vMerge/>
            <w:tcBorders>
              <w:top w:val="nil"/>
              <w:left w:val="nil"/>
              <w:bottom w:val="single" w:sz="4" w:space="0" w:color="000000"/>
              <w:right w:val="nil"/>
            </w:tcBorders>
            <w:vAlign w:val="center"/>
            <w:hideMark/>
          </w:tcPr>
          <w:p w14:paraId="0D4E715B" w14:textId="77777777" w:rsidR="0024609F" w:rsidRDefault="0024609F"/>
        </w:tc>
        <w:tc>
          <w:tcPr>
            <w:tcW w:w="4622" w:type="dxa"/>
            <w:vMerge/>
            <w:tcBorders>
              <w:top w:val="nil"/>
              <w:left w:val="nil"/>
              <w:bottom w:val="single" w:sz="4" w:space="0" w:color="000000"/>
              <w:right w:val="nil"/>
            </w:tcBorders>
            <w:vAlign w:val="center"/>
            <w:hideMark/>
          </w:tcPr>
          <w:p w14:paraId="155F6F87" w14:textId="77777777" w:rsidR="0024609F" w:rsidRDefault="0024609F">
            <w:pPr>
              <w:rPr>
                <w:rFonts w:ascii="Calibri" w:hAnsi="Calibri" w:cs="Calibri"/>
                <w:color w:val="000000"/>
                <w:sz w:val="22"/>
                <w:szCs w:val="22"/>
              </w:rPr>
            </w:pPr>
          </w:p>
        </w:tc>
        <w:tc>
          <w:tcPr>
            <w:tcW w:w="1980" w:type="dxa"/>
            <w:tcBorders>
              <w:top w:val="nil"/>
              <w:left w:val="nil"/>
              <w:bottom w:val="single" w:sz="4" w:space="0" w:color="auto"/>
              <w:right w:val="nil"/>
            </w:tcBorders>
            <w:shd w:val="clear" w:color="auto" w:fill="auto"/>
            <w:vAlign w:val="bottom"/>
            <w:hideMark/>
          </w:tcPr>
          <w:p w14:paraId="09463BC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666F06F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4C6A55B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Standardized Beta</w:t>
            </w:r>
            <w:r>
              <w:rPr>
                <w:rFonts w:ascii="Calibri" w:hAnsi="Calibri" w:cs="Calibri"/>
                <w:color w:val="000000"/>
                <w:sz w:val="22"/>
                <w:szCs w:val="22"/>
              </w:rPr>
              <w:br/>
              <w:t>(95% CI)</w:t>
            </w:r>
          </w:p>
        </w:tc>
      </w:tr>
      <w:tr w:rsidR="0024609F" w14:paraId="34ADCA03"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63CB87DE" w14:textId="6F8CAB83" w:rsidR="0024609F" w:rsidRDefault="0024609F">
            <w:pPr>
              <w:jc w:val="center"/>
              <w:rPr>
                <w:rFonts w:ascii="Calibri" w:hAnsi="Calibri" w:cs="Calibri"/>
                <w:color w:val="000000"/>
                <w:sz w:val="22"/>
                <w:szCs w:val="22"/>
              </w:rPr>
            </w:pPr>
            <w:r>
              <w:rPr>
                <w:rFonts w:ascii="Calibri" w:hAnsi="Calibri" w:cs="Calibri"/>
                <w:color w:val="000000"/>
                <w:sz w:val="22"/>
                <w:szCs w:val="22"/>
              </w:rPr>
              <w:t>Internalizing</w:t>
            </w:r>
          </w:p>
        </w:tc>
        <w:tc>
          <w:tcPr>
            <w:tcW w:w="4622" w:type="dxa"/>
            <w:tcBorders>
              <w:top w:val="nil"/>
              <w:left w:val="nil"/>
              <w:bottom w:val="nil"/>
              <w:right w:val="nil"/>
            </w:tcBorders>
            <w:shd w:val="clear" w:color="auto" w:fill="auto"/>
            <w:noWrap/>
            <w:vAlign w:val="center"/>
            <w:hideMark/>
          </w:tcPr>
          <w:p w14:paraId="1228295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29C6B2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0.22(0.09,0.35)*</w:t>
            </w:r>
          </w:p>
        </w:tc>
        <w:tc>
          <w:tcPr>
            <w:tcW w:w="1890" w:type="dxa"/>
            <w:tcBorders>
              <w:top w:val="nil"/>
              <w:left w:val="nil"/>
              <w:bottom w:val="nil"/>
              <w:right w:val="nil"/>
            </w:tcBorders>
            <w:shd w:val="clear" w:color="auto" w:fill="auto"/>
            <w:noWrap/>
            <w:vAlign w:val="bottom"/>
            <w:hideMark/>
          </w:tcPr>
          <w:p w14:paraId="46B4953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0.17(0,0.34)*</w:t>
            </w:r>
          </w:p>
        </w:tc>
        <w:tc>
          <w:tcPr>
            <w:tcW w:w="1890" w:type="dxa"/>
            <w:tcBorders>
              <w:top w:val="nil"/>
              <w:left w:val="nil"/>
              <w:bottom w:val="nil"/>
              <w:right w:val="nil"/>
            </w:tcBorders>
            <w:shd w:val="clear" w:color="auto" w:fill="auto"/>
            <w:noWrap/>
            <w:vAlign w:val="bottom"/>
            <w:hideMark/>
          </w:tcPr>
          <w:p w14:paraId="18CE12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0.29(0.08,0.5)*</w:t>
            </w:r>
          </w:p>
        </w:tc>
      </w:tr>
      <w:tr w:rsidR="0024609F" w14:paraId="1D4F4419" w14:textId="77777777" w:rsidTr="0024609F">
        <w:trPr>
          <w:trHeight w:val="340"/>
        </w:trPr>
        <w:tc>
          <w:tcPr>
            <w:tcW w:w="498" w:type="dxa"/>
            <w:vMerge/>
            <w:tcBorders>
              <w:top w:val="nil"/>
              <w:left w:val="nil"/>
              <w:bottom w:val="single" w:sz="4" w:space="0" w:color="000000"/>
              <w:right w:val="nil"/>
            </w:tcBorders>
            <w:vAlign w:val="center"/>
            <w:hideMark/>
          </w:tcPr>
          <w:p w14:paraId="0A2BA3EB"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73C252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69CDD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1B09887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57C435C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1D19741D" w14:textId="77777777" w:rsidTr="0024609F">
        <w:trPr>
          <w:trHeight w:val="340"/>
        </w:trPr>
        <w:tc>
          <w:tcPr>
            <w:tcW w:w="498" w:type="dxa"/>
            <w:vMerge/>
            <w:tcBorders>
              <w:top w:val="nil"/>
              <w:left w:val="nil"/>
              <w:bottom w:val="single" w:sz="4" w:space="0" w:color="000000"/>
              <w:right w:val="nil"/>
            </w:tcBorders>
            <w:vAlign w:val="center"/>
            <w:hideMark/>
          </w:tcPr>
          <w:p w14:paraId="04F426C9"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580AD3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5482A3D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-0.20(-0.33,-0.07)*</w:t>
            </w:r>
          </w:p>
        </w:tc>
        <w:tc>
          <w:tcPr>
            <w:tcW w:w="1890" w:type="dxa"/>
            <w:tcBorders>
              <w:top w:val="nil"/>
              <w:left w:val="nil"/>
              <w:bottom w:val="nil"/>
              <w:right w:val="nil"/>
            </w:tcBorders>
            <w:shd w:val="clear" w:color="auto" w:fill="auto"/>
            <w:noWrap/>
            <w:vAlign w:val="bottom"/>
            <w:hideMark/>
          </w:tcPr>
          <w:p w14:paraId="32D3A501"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nil"/>
              <w:right w:val="nil"/>
            </w:tcBorders>
            <w:shd w:val="clear" w:color="auto" w:fill="auto"/>
            <w:noWrap/>
            <w:vAlign w:val="bottom"/>
            <w:hideMark/>
          </w:tcPr>
          <w:p w14:paraId="7C6DD88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3BAAC99E" w14:textId="77777777" w:rsidTr="0024609F">
        <w:trPr>
          <w:trHeight w:val="340"/>
        </w:trPr>
        <w:tc>
          <w:tcPr>
            <w:tcW w:w="498" w:type="dxa"/>
            <w:vMerge/>
            <w:tcBorders>
              <w:top w:val="nil"/>
              <w:left w:val="nil"/>
              <w:bottom w:val="single" w:sz="4" w:space="0" w:color="000000"/>
              <w:right w:val="nil"/>
            </w:tcBorders>
            <w:vAlign w:val="center"/>
            <w:hideMark/>
          </w:tcPr>
          <w:p w14:paraId="74883CBF"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298F5EC7"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33C7A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0.34(0.20,0.48)*</w:t>
            </w:r>
          </w:p>
        </w:tc>
        <w:tc>
          <w:tcPr>
            <w:tcW w:w="1890" w:type="dxa"/>
            <w:tcBorders>
              <w:top w:val="nil"/>
              <w:left w:val="nil"/>
              <w:bottom w:val="nil"/>
              <w:right w:val="nil"/>
            </w:tcBorders>
            <w:shd w:val="clear" w:color="auto" w:fill="auto"/>
            <w:noWrap/>
            <w:vAlign w:val="bottom"/>
            <w:hideMark/>
          </w:tcPr>
          <w:p w14:paraId="697EC62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0.33(0.16,0.5)*</w:t>
            </w:r>
          </w:p>
        </w:tc>
        <w:tc>
          <w:tcPr>
            <w:tcW w:w="1890" w:type="dxa"/>
            <w:tcBorders>
              <w:top w:val="nil"/>
              <w:left w:val="nil"/>
              <w:bottom w:val="nil"/>
              <w:right w:val="nil"/>
            </w:tcBorders>
            <w:shd w:val="clear" w:color="auto" w:fill="auto"/>
            <w:noWrap/>
            <w:vAlign w:val="bottom"/>
            <w:hideMark/>
          </w:tcPr>
          <w:p w14:paraId="3F83BB0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0.32(0.08,0.56)*</w:t>
            </w:r>
          </w:p>
        </w:tc>
      </w:tr>
      <w:tr w:rsidR="0024609F" w14:paraId="4511A691" w14:textId="77777777" w:rsidTr="0024609F">
        <w:trPr>
          <w:trHeight w:val="340"/>
        </w:trPr>
        <w:tc>
          <w:tcPr>
            <w:tcW w:w="498" w:type="dxa"/>
            <w:vMerge/>
            <w:tcBorders>
              <w:top w:val="nil"/>
              <w:left w:val="nil"/>
              <w:bottom w:val="single" w:sz="4" w:space="0" w:color="000000"/>
              <w:right w:val="nil"/>
            </w:tcBorders>
            <w:vAlign w:val="center"/>
            <w:hideMark/>
          </w:tcPr>
          <w:p w14:paraId="2205969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B6E7FFC"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6930C6A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F42DCC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131C706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AC724F3" w14:textId="77777777" w:rsidTr="0024609F">
        <w:trPr>
          <w:trHeight w:val="340"/>
        </w:trPr>
        <w:tc>
          <w:tcPr>
            <w:tcW w:w="498" w:type="dxa"/>
            <w:vMerge/>
            <w:tcBorders>
              <w:top w:val="nil"/>
              <w:left w:val="nil"/>
              <w:bottom w:val="single" w:sz="4" w:space="0" w:color="000000"/>
              <w:right w:val="nil"/>
            </w:tcBorders>
            <w:vAlign w:val="center"/>
            <w:hideMark/>
          </w:tcPr>
          <w:p w14:paraId="512FDF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49EB8C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48244E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-0.12(-0.26,0.02)</w:t>
            </w:r>
          </w:p>
        </w:tc>
        <w:tc>
          <w:tcPr>
            <w:tcW w:w="1890" w:type="dxa"/>
            <w:tcBorders>
              <w:top w:val="nil"/>
              <w:left w:val="nil"/>
              <w:bottom w:val="nil"/>
              <w:right w:val="nil"/>
            </w:tcBorders>
            <w:shd w:val="clear" w:color="auto" w:fill="auto"/>
            <w:noWrap/>
            <w:vAlign w:val="bottom"/>
            <w:hideMark/>
          </w:tcPr>
          <w:p w14:paraId="33F340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-0.07(-0.24,0.1)</w:t>
            </w:r>
          </w:p>
        </w:tc>
        <w:tc>
          <w:tcPr>
            <w:tcW w:w="1890" w:type="dxa"/>
            <w:tcBorders>
              <w:top w:val="nil"/>
              <w:left w:val="nil"/>
              <w:bottom w:val="nil"/>
              <w:right w:val="nil"/>
            </w:tcBorders>
            <w:shd w:val="clear" w:color="auto" w:fill="auto"/>
            <w:noWrap/>
            <w:vAlign w:val="bottom"/>
            <w:hideMark/>
          </w:tcPr>
          <w:p w14:paraId="15EDB1B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-0.21(-0.46,0.04)</w:t>
            </w:r>
          </w:p>
        </w:tc>
      </w:tr>
      <w:tr w:rsidR="0024609F" w14:paraId="176ECAED" w14:textId="77777777" w:rsidTr="0024609F">
        <w:trPr>
          <w:trHeight w:val="340"/>
        </w:trPr>
        <w:tc>
          <w:tcPr>
            <w:tcW w:w="498" w:type="dxa"/>
            <w:vMerge/>
            <w:tcBorders>
              <w:top w:val="nil"/>
              <w:left w:val="nil"/>
              <w:bottom w:val="single" w:sz="4" w:space="0" w:color="000000"/>
              <w:right w:val="nil"/>
            </w:tcBorders>
            <w:vAlign w:val="center"/>
            <w:hideMark/>
          </w:tcPr>
          <w:p w14:paraId="4BDFE59B"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67783629"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-&gt; Internalizing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09C2AE5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-0.15(-0.27,-0.03)*</w:t>
            </w:r>
          </w:p>
        </w:tc>
        <w:tc>
          <w:tcPr>
            <w:tcW w:w="1890" w:type="dxa"/>
            <w:tcBorders>
              <w:top w:val="nil"/>
              <w:left w:val="nil"/>
              <w:bottom w:val="single" w:sz="4" w:space="0" w:color="auto"/>
              <w:right w:val="nil"/>
            </w:tcBorders>
            <w:shd w:val="clear" w:color="auto" w:fill="auto"/>
            <w:noWrap/>
            <w:vAlign w:val="bottom"/>
            <w:hideMark/>
          </w:tcPr>
          <w:p w14:paraId="0CA72B9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-0.11(-0.29,0.07)</w:t>
            </w:r>
          </w:p>
        </w:tc>
        <w:tc>
          <w:tcPr>
            <w:tcW w:w="1890" w:type="dxa"/>
            <w:tcBorders>
              <w:top w:val="nil"/>
              <w:left w:val="nil"/>
              <w:bottom w:val="single" w:sz="4" w:space="0" w:color="auto"/>
              <w:right w:val="nil"/>
            </w:tcBorders>
            <w:shd w:val="clear" w:color="auto" w:fill="auto"/>
            <w:noWrap/>
            <w:vAlign w:val="bottom"/>
            <w:hideMark/>
          </w:tcPr>
          <w:p w14:paraId="043F9CCB"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-0.17(-0.34,0)</w:t>
            </w:r>
          </w:p>
        </w:tc>
      </w:tr>
      <w:tr w:rsidR="0024609F" w14:paraId="0F101011" w14:textId="77777777" w:rsidTr="0024609F">
        <w:trPr>
          <w:trHeight w:val="340"/>
        </w:trPr>
        <w:tc>
          <w:tcPr>
            <w:tcW w:w="498" w:type="dxa"/>
            <w:vMerge w:val="restart"/>
            <w:tcBorders>
              <w:top w:val="nil"/>
              <w:left w:val="nil"/>
              <w:bottom w:val="single" w:sz="4" w:space="0" w:color="000000"/>
              <w:right w:val="nil"/>
            </w:tcBorders>
            <w:shd w:val="clear" w:color="auto" w:fill="auto"/>
            <w:textDirection w:val="btLr"/>
            <w:vAlign w:val="center"/>
            <w:hideMark/>
          </w:tcPr>
          <w:p w14:paraId="106B9BE6" w14:textId="029CAF57" w:rsidR="0024609F" w:rsidRDefault="0024609F">
            <w:pPr>
              <w:jc w:val="center"/>
              <w:rPr>
                <w:rFonts w:ascii="Calibri" w:hAnsi="Calibri" w:cs="Calibri"/>
                <w:color w:val="000000"/>
                <w:sz w:val="22"/>
                <w:szCs w:val="22"/>
              </w:rPr>
            </w:pPr>
            <w:r>
              <w:rPr>
                <w:rFonts w:ascii="Calibri" w:hAnsi="Calibri" w:cs="Calibri"/>
                <w:color w:val="000000"/>
                <w:sz w:val="22"/>
                <w:szCs w:val="22"/>
              </w:rPr>
              <w:t>Externalizing</w:t>
            </w:r>
          </w:p>
        </w:tc>
        <w:tc>
          <w:tcPr>
            <w:tcW w:w="4622" w:type="dxa"/>
            <w:tcBorders>
              <w:top w:val="nil"/>
              <w:left w:val="nil"/>
              <w:bottom w:val="nil"/>
              <w:right w:val="nil"/>
            </w:tcBorders>
            <w:shd w:val="clear" w:color="auto" w:fill="auto"/>
            <w:noWrap/>
            <w:vAlign w:val="center"/>
            <w:hideMark/>
          </w:tcPr>
          <w:p w14:paraId="0B488A1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8E57AE6"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0.31(0.18,0.44)*</w:t>
            </w:r>
          </w:p>
        </w:tc>
        <w:tc>
          <w:tcPr>
            <w:tcW w:w="1890" w:type="dxa"/>
            <w:tcBorders>
              <w:top w:val="nil"/>
              <w:left w:val="nil"/>
              <w:bottom w:val="nil"/>
              <w:right w:val="nil"/>
            </w:tcBorders>
            <w:shd w:val="clear" w:color="auto" w:fill="auto"/>
            <w:noWrap/>
            <w:vAlign w:val="bottom"/>
            <w:hideMark/>
          </w:tcPr>
          <w:p w14:paraId="16A8C9C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0.24(0.07,0.41)*</w:t>
            </w:r>
          </w:p>
        </w:tc>
        <w:tc>
          <w:tcPr>
            <w:tcW w:w="1890" w:type="dxa"/>
            <w:tcBorders>
              <w:top w:val="nil"/>
              <w:left w:val="nil"/>
              <w:bottom w:val="nil"/>
              <w:right w:val="nil"/>
            </w:tcBorders>
            <w:shd w:val="clear" w:color="auto" w:fill="auto"/>
            <w:noWrap/>
            <w:vAlign w:val="bottom"/>
            <w:hideMark/>
          </w:tcPr>
          <w:p w14:paraId="6450E93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0.41(0.23,0.59)*</w:t>
            </w:r>
          </w:p>
        </w:tc>
      </w:tr>
      <w:tr w:rsidR="0024609F" w14:paraId="05EF045C" w14:textId="77777777" w:rsidTr="0024609F">
        <w:trPr>
          <w:trHeight w:val="340"/>
        </w:trPr>
        <w:tc>
          <w:tcPr>
            <w:tcW w:w="498" w:type="dxa"/>
            <w:vMerge/>
            <w:tcBorders>
              <w:top w:val="nil"/>
              <w:left w:val="nil"/>
              <w:bottom w:val="single" w:sz="4" w:space="0" w:color="000000"/>
              <w:right w:val="nil"/>
            </w:tcBorders>
            <w:vAlign w:val="center"/>
            <w:hideMark/>
          </w:tcPr>
          <w:p w14:paraId="76452647"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5DA6448"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6460CF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-0.01(-0.13,0.11)</w:t>
            </w:r>
          </w:p>
        </w:tc>
        <w:tc>
          <w:tcPr>
            <w:tcW w:w="1890" w:type="dxa"/>
            <w:tcBorders>
              <w:top w:val="nil"/>
              <w:left w:val="nil"/>
              <w:bottom w:val="nil"/>
              <w:right w:val="nil"/>
            </w:tcBorders>
            <w:shd w:val="clear" w:color="auto" w:fill="auto"/>
            <w:noWrap/>
            <w:vAlign w:val="bottom"/>
            <w:hideMark/>
          </w:tcPr>
          <w:p w14:paraId="386C9F19"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0.11(-0.05,0.27)</w:t>
            </w:r>
          </w:p>
        </w:tc>
        <w:tc>
          <w:tcPr>
            <w:tcW w:w="1890" w:type="dxa"/>
            <w:tcBorders>
              <w:top w:val="nil"/>
              <w:left w:val="nil"/>
              <w:bottom w:val="nil"/>
              <w:right w:val="nil"/>
            </w:tcBorders>
            <w:shd w:val="clear" w:color="auto" w:fill="auto"/>
            <w:noWrap/>
            <w:vAlign w:val="bottom"/>
            <w:hideMark/>
          </w:tcPr>
          <w:p w14:paraId="3A20587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-0.17(-0.37,0.03)</w:t>
            </w:r>
          </w:p>
        </w:tc>
      </w:tr>
      <w:tr w:rsidR="0024609F" w14:paraId="4E6DC310" w14:textId="77777777" w:rsidTr="0024609F">
        <w:trPr>
          <w:trHeight w:val="340"/>
        </w:trPr>
        <w:tc>
          <w:tcPr>
            <w:tcW w:w="498" w:type="dxa"/>
            <w:vMerge/>
            <w:tcBorders>
              <w:top w:val="nil"/>
              <w:left w:val="nil"/>
              <w:bottom w:val="single" w:sz="4" w:space="0" w:color="000000"/>
              <w:right w:val="nil"/>
            </w:tcBorders>
            <w:vAlign w:val="center"/>
            <w:hideMark/>
          </w:tcPr>
          <w:p w14:paraId="3D86EE33"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C6CFDE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C549B6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0.11(-0.02,0.24)</w:t>
            </w:r>
          </w:p>
        </w:tc>
        <w:tc>
          <w:tcPr>
            <w:tcW w:w="1890" w:type="dxa"/>
            <w:tcBorders>
              <w:top w:val="nil"/>
              <w:left w:val="nil"/>
              <w:bottom w:val="nil"/>
              <w:right w:val="nil"/>
            </w:tcBorders>
            <w:shd w:val="clear" w:color="auto" w:fill="auto"/>
            <w:noWrap/>
            <w:vAlign w:val="bottom"/>
            <w:hideMark/>
          </w:tcPr>
          <w:p w14:paraId="54DA58D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0.17(-0.01,0.35)</w:t>
            </w:r>
          </w:p>
        </w:tc>
        <w:tc>
          <w:tcPr>
            <w:tcW w:w="1890" w:type="dxa"/>
            <w:tcBorders>
              <w:top w:val="nil"/>
              <w:left w:val="nil"/>
              <w:bottom w:val="nil"/>
              <w:right w:val="nil"/>
            </w:tcBorders>
            <w:shd w:val="clear" w:color="auto" w:fill="auto"/>
            <w:noWrap/>
            <w:vAlign w:val="bottom"/>
            <w:hideMark/>
          </w:tcPr>
          <w:p w14:paraId="57901B2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0.02(-0.18,0.22)</w:t>
            </w:r>
          </w:p>
        </w:tc>
      </w:tr>
      <w:tr w:rsidR="0024609F" w14:paraId="70FE79E4" w14:textId="77777777" w:rsidTr="0024609F">
        <w:trPr>
          <w:trHeight w:val="340"/>
        </w:trPr>
        <w:tc>
          <w:tcPr>
            <w:tcW w:w="498" w:type="dxa"/>
            <w:vMerge/>
            <w:tcBorders>
              <w:top w:val="nil"/>
              <w:left w:val="nil"/>
              <w:bottom w:val="single" w:sz="4" w:space="0" w:color="000000"/>
              <w:right w:val="nil"/>
            </w:tcBorders>
            <w:vAlign w:val="center"/>
            <w:hideMark/>
          </w:tcPr>
          <w:p w14:paraId="63E1233D"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4F11C09D"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Threat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77171EA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-0.02(-0.15,0.11)</w:t>
            </w:r>
          </w:p>
        </w:tc>
        <w:tc>
          <w:tcPr>
            <w:tcW w:w="1890" w:type="dxa"/>
            <w:tcBorders>
              <w:top w:val="nil"/>
              <w:left w:val="nil"/>
              <w:bottom w:val="nil"/>
              <w:right w:val="nil"/>
            </w:tcBorders>
            <w:shd w:val="clear" w:color="auto" w:fill="auto"/>
            <w:noWrap/>
            <w:vAlign w:val="bottom"/>
            <w:hideMark/>
          </w:tcPr>
          <w:p w14:paraId="4CFEC6ED"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-0.04(-0.23,0.15)</w:t>
            </w:r>
          </w:p>
        </w:tc>
        <w:tc>
          <w:tcPr>
            <w:tcW w:w="1890" w:type="dxa"/>
            <w:tcBorders>
              <w:top w:val="nil"/>
              <w:left w:val="nil"/>
              <w:bottom w:val="nil"/>
              <w:right w:val="nil"/>
            </w:tcBorders>
            <w:shd w:val="clear" w:color="auto" w:fill="auto"/>
            <w:noWrap/>
            <w:vAlign w:val="bottom"/>
            <w:hideMark/>
          </w:tcPr>
          <w:p w14:paraId="65225407" w14:textId="1EFF1B34"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r>
      <w:tr w:rsidR="0024609F" w14:paraId="57B9935C" w14:textId="77777777" w:rsidTr="0024609F">
        <w:trPr>
          <w:trHeight w:val="340"/>
        </w:trPr>
        <w:tc>
          <w:tcPr>
            <w:tcW w:w="498" w:type="dxa"/>
            <w:vMerge/>
            <w:tcBorders>
              <w:top w:val="nil"/>
              <w:left w:val="nil"/>
              <w:bottom w:val="single" w:sz="4" w:space="0" w:color="000000"/>
              <w:right w:val="nil"/>
            </w:tcBorders>
            <w:vAlign w:val="center"/>
            <w:hideMark/>
          </w:tcPr>
          <w:p w14:paraId="6D97088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62E0D43"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Externalizing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FBF996F"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bottom"/>
            <w:hideMark/>
          </w:tcPr>
          <w:p w14:paraId="346E0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0.27(0.09,0.45)*</w:t>
            </w:r>
          </w:p>
        </w:tc>
        <w:tc>
          <w:tcPr>
            <w:tcW w:w="1890" w:type="dxa"/>
            <w:tcBorders>
              <w:top w:val="nil"/>
              <w:left w:val="nil"/>
              <w:bottom w:val="nil"/>
              <w:right w:val="nil"/>
            </w:tcBorders>
            <w:shd w:val="clear" w:color="auto" w:fill="auto"/>
            <w:noWrap/>
            <w:vAlign w:val="bottom"/>
            <w:hideMark/>
          </w:tcPr>
          <w:p w14:paraId="7BE33D7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0.28(0.06,0.5)*</w:t>
            </w:r>
          </w:p>
        </w:tc>
      </w:tr>
      <w:tr w:rsidR="0024609F" w14:paraId="73A06411" w14:textId="77777777" w:rsidTr="0024609F">
        <w:trPr>
          <w:trHeight w:val="340"/>
        </w:trPr>
        <w:tc>
          <w:tcPr>
            <w:tcW w:w="498" w:type="dxa"/>
            <w:vMerge/>
            <w:tcBorders>
              <w:top w:val="nil"/>
              <w:left w:val="nil"/>
              <w:bottom w:val="single" w:sz="4" w:space="0" w:color="000000"/>
              <w:right w:val="nil"/>
            </w:tcBorders>
            <w:vAlign w:val="center"/>
            <w:hideMark/>
          </w:tcPr>
          <w:p w14:paraId="055712F5"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787EEF02"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Tanner Stage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8A40DC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-0.12(-0.25,0.01)</w:t>
            </w:r>
          </w:p>
        </w:tc>
        <w:tc>
          <w:tcPr>
            <w:tcW w:w="1890" w:type="dxa"/>
            <w:tcBorders>
              <w:top w:val="nil"/>
              <w:left w:val="nil"/>
              <w:bottom w:val="nil"/>
              <w:right w:val="nil"/>
            </w:tcBorders>
            <w:shd w:val="clear" w:color="auto" w:fill="auto"/>
            <w:noWrap/>
            <w:vAlign w:val="bottom"/>
            <w:hideMark/>
          </w:tcPr>
          <w:p w14:paraId="08B21E8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-0.06(-0.22,0.1)</w:t>
            </w:r>
          </w:p>
        </w:tc>
        <w:tc>
          <w:tcPr>
            <w:tcW w:w="1890" w:type="dxa"/>
            <w:tcBorders>
              <w:top w:val="nil"/>
              <w:left w:val="nil"/>
              <w:bottom w:val="nil"/>
              <w:right w:val="nil"/>
            </w:tcBorders>
            <w:shd w:val="clear" w:color="auto" w:fill="auto"/>
            <w:noWrap/>
            <w:vAlign w:val="bottom"/>
            <w:hideMark/>
          </w:tcPr>
          <w:p w14:paraId="34491B12"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-0.2(-0.42,0.02)</w:t>
            </w:r>
          </w:p>
        </w:tc>
      </w:tr>
      <w:tr w:rsidR="0024609F" w14:paraId="5C14D593" w14:textId="77777777" w:rsidTr="0024609F">
        <w:trPr>
          <w:trHeight w:val="340"/>
        </w:trPr>
        <w:tc>
          <w:tcPr>
            <w:tcW w:w="498" w:type="dxa"/>
            <w:vMerge/>
            <w:tcBorders>
              <w:top w:val="nil"/>
              <w:left w:val="nil"/>
              <w:bottom w:val="single" w:sz="4" w:space="0" w:color="000000"/>
              <w:right w:val="nil"/>
            </w:tcBorders>
            <w:vAlign w:val="center"/>
            <w:hideMark/>
          </w:tcPr>
          <w:p w14:paraId="6B2BDAE8"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0C79E48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Inhibitory Control (No-Go)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B3FE3D5"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0.04(-0.11,0.19)</w:t>
            </w:r>
          </w:p>
        </w:tc>
        <w:tc>
          <w:tcPr>
            <w:tcW w:w="1890" w:type="dxa"/>
            <w:tcBorders>
              <w:top w:val="nil"/>
              <w:left w:val="nil"/>
              <w:bottom w:val="nil"/>
              <w:right w:val="nil"/>
            </w:tcBorders>
            <w:shd w:val="clear" w:color="auto" w:fill="auto"/>
            <w:noWrap/>
            <w:vAlign w:val="bottom"/>
            <w:hideMark/>
          </w:tcPr>
          <w:p w14:paraId="1D143A59" w14:textId="42499D3B" w:rsidR="0024609F" w:rsidRDefault="0024609F">
            <w:pPr>
              <w:jc w:val="center"/>
              <w:rPr>
                <w:rFonts w:ascii="Calibri" w:hAnsi="Calibri" w:cs="Calibri"/>
                <w:color w:val="000000"/>
                <w:sz w:val="22"/>
                <w:szCs w:val="22"/>
              </w:rPr>
            </w:pPr>
            <w:r>
              <w:rPr>
                <w:rFonts w:ascii="Calibri" w:hAnsi="Calibri" w:cs="Calibri"/>
                <w:color w:val="000000"/>
                <w:sz w:val="22"/>
                <w:szCs w:val="22"/>
              </w:rPr>
              <w:t>0</w:t>
            </w:r>
            <w:r w:rsidR="00C604ED">
              <w:rPr>
                <w:rFonts w:ascii="Calibri" w:hAnsi="Calibri" w:cs="Calibri"/>
                <w:color w:val="000000"/>
                <w:sz w:val="22"/>
                <w:szCs w:val="22"/>
              </w:rPr>
              <w:t>.00</w:t>
            </w:r>
            <w:r>
              <w:rPr>
                <w:rFonts w:ascii="Calibri" w:hAnsi="Calibri" w:cs="Calibri"/>
                <w:color w:val="000000"/>
                <w:sz w:val="22"/>
                <w:szCs w:val="22"/>
              </w:rPr>
              <w:t>(-0.19,0.19)</w:t>
            </w:r>
          </w:p>
        </w:tc>
        <w:tc>
          <w:tcPr>
            <w:tcW w:w="1890" w:type="dxa"/>
            <w:tcBorders>
              <w:top w:val="nil"/>
              <w:left w:val="nil"/>
              <w:bottom w:val="nil"/>
              <w:right w:val="nil"/>
            </w:tcBorders>
            <w:shd w:val="clear" w:color="auto" w:fill="auto"/>
            <w:noWrap/>
            <w:vAlign w:val="bottom"/>
            <w:hideMark/>
          </w:tcPr>
          <w:p w14:paraId="2C0F254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0.11(-0.12,0.34)</w:t>
            </w:r>
          </w:p>
        </w:tc>
      </w:tr>
      <w:tr w:rsidR="0024609F" w14:paraId="20F972B3" w14:textId="77777777" w:rsidTr="0024609F">
        <w:trPr>
          <w:trHeight w:val="340"/>
        </w:trPr>
        <w:tc>
          <w:tcPr>
            <w:tcW w:w="498" w:type="dxa"/>
            <w:vMerge/>
            <w:tcBorders>
              <w:top w:val="nil"/>
              <w:left w:val="nil"/>
              <w:bottom w:val="single" w:sz="4" w:space="0" w:color="000000"/>
              <w:right w:val="nil"/>
            </w:tcBorders>
            <w:vAlign w:val="center"/>
            <w:hideMark/>
          </w:tcPr>
          <w:p w14:paraId="265253A0"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3F5EF831"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Deprivation -&gt; Reward Sensitivity (Total stars) </w:t>
            </w:r>
            <w:r>
              <w:rPr>
                <w:rFonts w:ascii="Calibri" w:hAnsi="Calibri" w:cs="Calibri"/>
                <w:color w:val="000000"/>
                <w:sz w:val="22"/>
                <w:szCs w:val="22"/>
                <w:vertAlign w:val="superscript"/>
              </w:rPr>
              <w:t>a</w:t>
            </w:r>
          </w:p>
        </w:tc>
        <w:tc>
          <w:tcPr>
            <w:tcW w:w="1980" w:type="dxa"/>
            <w:tcBorders>
              <w:top w:val="nil"/>
              <w:left w:val="nil"/>
              <w:bottom w:val="nil"/>
              <w:right w:val="nil"/>
            </w:tcBorders>
            <w:shd w:val="clear" w:color="auto" w:fill="auto"/>
            <w:noWrap/>
            <w:vAlign w:val="bottom"/>
            <w:hideMark/>
          </w:tcPr>
          <w:p w14:paraId="39644C3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-0.04(-0.19,0.11)</w:t>
            </w:r>
          </w:p>
        </w:tc>
        <w:tc>
          <w:tcPr>
            <w:tcW w:w="1890" w:type="dxa"/>
            <w:tcBorders>
              <w:top w:val="nil"/>
              <w:left w:val="nil"/>
              <w:bottom w:val="nil"/>
              <w:right w:val="nil"/>
            </w:tcBorders>
            <w:shd w:val="clear" w:color="auto" w:fill="auto"/>
            <w:noWrap/>
            <w:vAlign w:val="bottom"/>
            <w:hideMark/>
          </w:tcPr>
          <w:p w14:paraId="57CBA5DA"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-0.12(-0.31,0.07)</w:t>
            </w:r>
          </w:p>
        </w:tc>
        <w:tc>
          <w:tcPr>
            <w:tcW w:w="1890" w:type="dxa"/>
            <w:tcBorders>
              <w:top w:val="nil"/>
              <w:left w:val="nil"/>
              <w:bottom w:val="nil"/>
              <w:right w:val="nil"/>
            </w:tcBorders>
            <w:shd w:val="clear" w:color="auto" w:fill="auto"/>
            <w:noWrap/>
            <w:vAlign w:val="bottom"/>
            <w:hideMark/>
          </w:tcPr>
          <w:p w14:paraId="3AA682EC"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0.07(-0.15,0.29)</w:t>
            </w:r>
          </w:p>
        </w:tc>
      </w:tr>
      <w:tr w:rsidR="0024609F" w14:paraId="7DD5B7EA" w14:textId="77777777" w:rsidTr="0024609F">
        <w:trPr>
          <w:trHeight w:val="340"/>
        </w:trPr>
        <w:tc>
          <w:tcPr>
            <w:tcW w:w="498" w:type="dxa"/>
            <w:vMerge/>
            <w:tcBorders>
              <w:top w:val="nil"/>
              <w:left w:val="nil"/>
              <w:bottom w:val="single" w:sz="4" w:space="0" w:color="000000"/>
              <w:right w:val="nil"/>
            </w:tcBorders>
            <w:vAlign w:val="center"/>
            <w:hideMark/>
          </w:tcPr>
          <w:p w14:paraId="462A4D84" w14:textId="77777777" w:rsidR="0024609F" w:rsidRDefault="0024609F">
            <w:pPr>
              <w:rPr>
                <w:rFonts w:ascii="Calibri" w:hAnsi="Calibri" w:cs="Calibri"/>
                <w:color w:val="000000"/>
                <w:sz w:val="22"/>
                <w:szCs w:val="22"/>
              </w:rPr>
            </w:pPr>
          </w:p>
        </w:tc>
        <w:tc>
          <w:tcPr>
            <w:tcW w:w="4622" w:type="dxa"/>
            <w:tcBorders>
              <w:top w:val="nil"/>
              <w:left w:val="nil"/>
              <w:bottom w:val="nil"/>
              <w:right w:val="nil"/>
            </w:tcBorders>
            <w:shd w:val="clear" w:color="auto" w:fill="auto"/>
            <w:noWrap/>
            <w:vAlign w:val="center"/>
            <w:hideMark/>
          </w:tcPr>
          <w:p w14:paraId="5FEC8835"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Inhibitory Control (No-Go) -&gt; Externalizing </w:t>
            </w:r>
            <w:r>
              <w:rPr>
                <w:rFonts w:ascii="Calibri" w:hAnsi="Calibri" w:cs="Calibri"/>
                <w:color w:val="000000"/>
                <w:sz w:val="22"/>
                <w:szCs w:val="22"/>
                <w:vertAlign w:val="superscript"/>
              </w:rPr>
              <w:t>b</w:t>
            </w:r>
          </w:p>
        </w:tc>
        <w:tc>
          <w:tcPr>
            <w:tcW w:w="1980" w:type="dxa"/>
            <w:tcBorders>
              <w:top w:val="nil"/>
              <w:left w:val="nil"/>
              <w:bottom w:val="nil"/>
              <w:right w:val="nil"/>
            </w:tcBorders>
            <w:shd w:val="clear" w:color="auto" w:fill="auto"/>
            <w:noWrap/>
            <w:vAlign w:val="bottom"/>
            <w:hideMark/>
          </w:tcPr>
          <w:p w14:paraId="10324F7E"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-0.14(-0.26,-0.02)*</w:t>
            </w:r>
          </w:p>
        </w:tc>
        <w:tc>
          <w:tcPr>
            <w:tcW w:w="1890" w:type="dxa"/>
            <w:tcBorders>
              <w:top w:val="nil"/>
              <w:left w:val="nil"/>
              <w:bottom w:val="nil"/>
              <w:right w:val="nil"/>
            </w:tcBorders>
            <w:shd w:val="clear" w:color="auto" w:fill="auto"/>
            <w:noWrap/>
            <w:vAlign w:val="bottom"/>
            <w:hideMark/>
          </w:tcPr>
          <w:p w14:paraId="75206060"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-0.19(-0.36,-0.02)*</w:t>
            </w:r>
          </w:p>
        </w:tc>
        <w:tc>
          <w:tcPr>
            <w:tcW w:w="1890" w:type="dxa"/>
            <w:tcBorders>
              <w:top w:val="nil"/>
              <w:left w:val="nil"/>
              <w:bottom w:val="nil"/>
              <w:right w:val="nil"/>
            </w:tcBorders>
            <w:shd w:val="clear" w:color="auto" w:fill="auto"/>
            <w:noWrap/>
            <w:vAlign w:val="bottom"/>
            <w:hideMark/>
          </w:tcPr>
          <w:p w14:paraId="761E2747"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-0.06(-0.23,0.11)</w:t>
            </w:r>
          </w:p>
        </w:tc>
      </w:tr>
      <w:tr w:rsidR="0024609F" w14:paraId="266E59DA" w14:textId="77777777" w:rsidTr="0024609F">
        <w:trPr>
          <w:trHeight w:val="340"/>
        </w:trPr>
        <w:tc>
          <w:tcPr>
            <w:tcW w:w="498" w:type="dxa"/>
            <w:vMerge/>
            <w:tcBorders>
              <w:top w:val="nil"/>
              <w:left w:val="nil"/>
              <w:bottom w:val="single" w:sz="4" w:space="0" w:color="000000"/>
              <w:right w:val="nil"/>
            </w:tcBorders>
            <w:vAlign w:val="center"/>
            <w:hideMark/>
          </w:tcPr>
          <w:p w14:paraId="0AFD8638" w14:textId="77777777" w:rsidR="0024609F" w:rsidRDefault="0024609F">
            <w:pPr>
              <w:rPr>
                <w:rFonts w:ascii="Calibri" w:hAnsi="Calibri" w:cs="Calibri"/>
                <w:color w:val="000000"/>
                <w:sz w:val="22"/>
                <w:szCs w:val="22"/>
              </w:rPr>
            </w:pPr>
          </w:p>
        </w:tc>
        <w:tc>
          <w:tcPr>
            <w:tcW w:w="4622" w:type="dxa"/>
            <w:tcBorders>
              <w:top w:val="nil"/>
              <w:left w:val="nil"/>
              <w:bottom w:val="single" w:sz="4" w:space="0" w:color="auto"/>
              <w:right w:val="nil"/>
            </w:tcBorders>
            <w:shd w:val="clear" w:color="auto" w:fill="auto"/>
            <w:noWrap/>
            <w:vAlign w:val="center"/>
            <w:hideMark/>
          </w:tcPr>
          <w:p w14:paraId="3B12CFB6" w14:textId="77777777" w:rsidR="0024609F" w:rsidRDefault="0024609F">
            <w:pPr>
              <w:rPr>
                <w:rFonts w:ascii="Calibri" w:hAnsi="Calibri" w:cs="Calibri"/>
                <w:color w:val="000000"/>
                <w:sz w:val="22"/>
                <w:szCs w:val="22"/>
              </w:rPr>
            </w:pPr>
            <w:r>
              <w:rPr>
                <w:rFonts w:ascii="Calibri" w:hAnsi="Calibri" w:cs="Calibri"/>
                <w:color w:val="000000"/>
                <w:sz w:val="22"/>
                <w:szCs w:val="22"/>
              </w:rPr>
              <w:t xml:space="preserve">Reward Sensitivity (Total stars) -&gt; Externalizing </w:t>
            </w:r>
            <w:r>
              <w:rPr>
                <w:rFonts w:ascii="Calibri" w:hAnsi="Calibri" w:cs="Calibri"/>
                <w:color w:val="000000"/>
                <w:sz w:val="22"/>
                <w:szCs w:val="22"/>
                <w:vertAlign w:val="superscript"/>
              </w:rPr>
              <w:t>b</w:t>
            </w:r>
          </w:p>
        </w:tc>
        <w:tc>
          <w:tcPr>
            <w:tcW w:w="1980" w:type="dxa"/>
            <w:tcBorders>
              <w:top w:val="nil"/>
              <w:left w:val="nil"/>
              <w:bottom w:val="single" w:sz="4" w:space="0" w:color="auto"/>
              <w:right w:val="nil"/>
            </w:tcBorders>
            <w:shd w:val="clear" w:color="auto" w:fill="auto"/>
            <w:noWrap/>
            <w:vAlign w:val="bottom"/>
            <w:hideMark/>
          </w:tcPr>
          <w:p w14:paraId="5BB749E3"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-0.19(-0.31,-0.07)*</w:t>
            </w:r>
          </w:p>
        </w:tc>
        <w:tc>
          <w:tcPr>
            <w:tcW w:w="1890" w:type="dxa"/>
            <w:tcBorders>
              <w:top w:val="nil"/>
              <w:left w:val="nil"/>
              <w:bottom w:val="single" w:sz="4" w:space="0" w:color="auto"/>
              <w:right w:val="nil"/>
            </w:tcBorders>
            <w:shd w:val="clear" w:color="auto" w:fill="auto"/>
            <w:noWrap/>
            <w:vAlign w:val="bottom"/>
            <w:hideMark/>
          </w:tcPr>
          <w:p w14:paraId="219A8254"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-0.19(-0.35,-0.03)*</w:t>
            </w:r>
          </w:p>
        </w:tc>
        <w:tc>
          <w:tcPr>
            <w:tcW w:w="1890" w:type="dxa"/>
            <w:tcBorders>
              <w:top w:val="nil"/>
              <w:left w:val="nil"/>
              <w:bottom w:val="single" w:sz="4" w:space="0" w:color="auto"/>
              <w:right w:val="nil"/>
            </w:tcBorders>
            <w:shd w:val="clear" w:color="auto" w:fill="auto"/>
            <w:noWrap/>
            <w:vAlign w:val="bottom"/>
            <w:hideMark/>
          </w:tcPr>
          <w:p w14:paraId="3F868378" w14:textId="77777777" w:rsidR="0024609F" w:rsidRDefault="0024609F">
            <w:pPr>
              <w:jc w:val="center"/>
              <w:rPr>
                <w:rFonts w:ascii="Calibri" w:hAnsi="Calibri" w:cs="Calibri"/>
                <w:color w:val="000000"/>
                <w:sz w:val="22"/>
                <w:szCs w:val="22"/>
              </w:rPr>
            </w:pPr>
            <w:r>
              <w:rPr>
                <w:rFonts w:ascii="Calibri" w:hAnsi="Calibri" w:cs="Calibri"/>
                <w:color w:val="000000"/>
                <w:sz w:val="22"/>
                <w:szCs w:val="22"/>
              </w:rPr>
              <w:t>-0.22(-0.39,-0.05)*</w:t>
            </w:r>
          </w:p>
        </w:tc>
      </w:tr>
      <w:tr w:rsidR="0024609F" w14:paraId="36DF74DC" w14:textId="77777777" w:rsidTr="0024609F">
        <w:trPr>
          <w:trHeight w:val="320"/>
        </w:trPr>
        <w:tc>
          <w:tcPr>
            <w:tcW w:w="5120" w:type="dxa"/>
            <w:gridSpan w:val="2"/>
            <w:tcBorders>
              <w:top w:val="nil"/>
              <w:left w:val="nil"/>
              <w:bottom w:val="nil"/>
              <w:right w:val="nil"/>
            </w:tcBorders>
            <w:shd w:val="clear" w:color="auto" w:fill="auto"/>
            <w:noWrap/>
            <w:vAlign w:val="center"/>
            <w:hideMark/>
          </w:tcPr>
          <w:p w14:paraId="7279D011" w14:textId="77777777" w:rsidR="0024609F" w:rsidRDefault="0024609F">
            <w:pPr>
              <w:rPr>
                <w:rFonts w:ascii="Calibri" w:hAnsi="Calibri" w:cs="Calibri"/>
                <w:color w:val="000000"/>
                <w:sz w:val="20"/>
                <w:szCs w:val="20"/>
              </w:rPr>
            </w:pPr>
            <w:r>
              <w:rPr>
                <w:rFonts w:ascii="Calibri" w:hAnsi="Calibri" w:cs="Calibri"/>
                <w:color w:val="000000"/>
                <w:sz w:val="20"/>
                <w:szCs w:val="20"/>
              </w:rPr>
              <w:t>*p-value&lt;0.05</w:t>
            </w:r>
          </w:p>
        </w:tc>
        <w:tc>
          <w:tcPr>
            <w:tcW w:w="1980" w:type="dxa"/>
            <w:tcBorders>
              <w:top w:val="nil"/>
              <w:left w:val="nil"/>
              <w:bottom w:val="nil"/>
              <w:right w:val="nil"/>
            </w:tcBorders>
            <w:shd w:val="clear" w:color="auto" w:fill="auto"/>
            <w:noWrap/>
            <w:vAlign w:val="bottom"/>
            <w:hideMark/>
          </w:tcPr>
          <w:p w14:paraId="46300E24" w14:textId="77777777" w:rsidR="0024609F" w:rsidRDefault="0024609F">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3C9B5F8F" w14:textId="77777777" w:rsidR="0024609F" w:rsidRDefault="0024609F">
            <w:pPr>
              <w:rPr>
                <w:sz w:val="20"/>
                <w:szCs w:val="20"/>
              </w:rPr>
            </w:pPr>
          </w:p>
        </w:tc>
        <w:tc>
          <w:tcPr>
            <w:tcW w:w="1890" w:type="dxa"/>
            <w:tcBorders>
              <w:top w:val="nil"/>
              <w:left w:val="nil"/>
              <w:bottom w:val="nil"/>
              <w:right w:val="nil"/>
            </w:tcBorders>
            <w:shd w:val="clear" w:color="auto" w:fill="auto"/>
            <w:noWrap/>
            <w:vAlign w:val="bottom"/>
            <w:hideMark/>
          </w:tcPr>
          <w:p w14:paraId="2FADBAAE" w14:textId="77777777" w:rsidR="0024609F" w:rsidRDefault="0024609F">
            <w:pPr>
              <w:rPr>
                <w:sz w:val="20"/>
                <w:szCs w:val="20"/>
              </w:rPr>
            </w:pPr>
          </w:p>
        </w:tc>
      </w:tr>
      <w:tr w:rsidR="0024609F" w14:paraId="16F94348"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3592F8FC" w14:textId="77777777" w:rsidR="0024609F" w:rsidRDefault="0024609F">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6266A5F3" w14:textId="77777777" w:rsidR="0024609F" w:rsidRDefault="0024609F">
            <w:pPr>
              <w:rPr>
                <w:rFonts w:ascii="Calibri" w:hAnsi="Calibri" w:cs="Calibri"/>
                <w:color w:val="000000"/>
                <w:sz w:val="20"/>
                <w:szCs w:val="20"/>
              </w:rPr>
            </w:pPr>
          </w:p>
        </w:tc>
      </w:tr>
      <w:tr w:rsidR="0024609F" w14:paraId="199BEBA9" w14:textId="77777777" w:rsidTr="0024609F">
        <w:trPr>
          <w:trHeight w:val="320"/>
        </w:trPr>
        <w:tc>
          <w:tcPr>
            <w:tcW w:w="8990" w:type="dxa"/>
            <w:gridSpan w:val="4"/>
            <w:tcBorders>
              <w:top w:val="nil"/>
              <w:left w:val="nil"/>
              <w:bottom w:val="nil"/>
              <w:right w:val="nil"/>
            </w:tcBorders>
            <w:shd w:val="clear" w:color="auto" w:fill="auto"/>
            <w:noWrap/>
            <w:vAlign w:val="center"/>
            <w:hideMark/>
          </w:tcPr>
          <w:p w14:paraId="7396D920" w14:textId="77777777" w:rsidR="0024609F" w:rsidRDefault="0024609F">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7D1494C3" w14:textId="77777777" w:rsidR="0024609F" w:rsidRDefault="0024609F">
            <w:pPr>
              <w:rPr>
                <w:rFonts w:ascii="Calibri" w:hAnsi="Calibri" w:cs="Calibri"/>
                <w:color w:val="000000"/>
                <w:sz w:val="20"/>
                <w:szCs w:val="20"/>
              </w:rPr>
            </w:pPr>
          </w:p>
        </w:tc>
      </w:tr>
      <w:tr w:rsidR="0024609F" w14:paraId="2D8742C0" w14:textId="77777777" w:rsidTr="0024609F">
        <w:trPr>
          <w:trHeight w:val="320"/>
        </w:trPr>
        <w:tc>
          <w:tcPr>
            <w:tcW w:w="10880" w:type="dxa"/>
            <w:gridSpan w:val="5"/>
            <w:tcBorders>
              <w:top w:val="nil"/>
              <w:left w:val="nil"/>
              <w:bottom w:val="nil"/>
              <w:right w:val="nil"/>
            </w:tcBorders>
            <w:shd w:val="clear" w:color="auto" w:fill="auto"/>
            <w:noWrap/>
            <w:vAlign w:val="center"/>
            <w:hideMark/>
          </w:tcPr>
          <w:p w14:paraId="0DAC7EC0" w14:textId="77777777" w:rsidR="0024609F" w:rsidRDefault="0024609F">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r>
    </w:tbl>
    <w:p w14:paraId="30123F79" w14:textId="6240C8B2" w:rsidR="00C604ED" w:rsidRDefault="00F55C51">
      <w:pPr>
        <w:rPr>
          <w:rFonts w:asciiTheme="minorHAnsi" w:hAnsiTheme="minorHAnsi" w:cstheme="minorHAnsi"/>
          <w:u w:val="single"/>
        </w:rPr>
      </w:pPr>
      <w:r>
        <w:rPr>
          <w:rFonts w:asciiTheme="minorHAnsi" w:hAnsiTheme="minorHAnsi" w:cstheme="minorHAnsi"/>
          <w:u w:val="single"/>
        </w:rPr>
        <w:br w:type="page"/>
      </w:r>
    </w:p>
    <w:p w14:paraId="08072F7A" w14:textId="7D009DE1" w:rsidR="00C604ED" w:rsidRPr="00C604ED" w:rsidRDefault="00C604ED" w:rsidP="00C604ED">
      <w:pPr>
        <w:rPr>
          <w:rFonts w:ascii="Calibri" w:hAnsi="Calibri" w:cs="Calibri"/>
          <w:color w:val="000000"/>
          <w:u w:val="single"/>
        </w:rPr>
      </w:pPr>
      <w:r w:rsidRPr="00C604ED">
        <w:rPr>
          <w:rFonts w:ascii="Calibri" w:hAnsi="Calibri" w:cs="Calibri"/>
          <w:color w:val="000000"/>
          <w:u w:val="single"/>
        </w:rPr>
        <w:lastRenderedPageBreak/>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w:t>
            </w:r>
            <w:r>
              <w:rPr>
                <w:rFonts w:ascii="Calibri" w:hAnsi="Calibri" w:cs="Calibri"/>
                <w:color w:val="000000"/>
              </w:rPr>
              <w:t>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15328203" w14:textId="77777777" w:rsidR="00C604ED" w:rsidRPr="00C604ED" w:rsidRDefault="004C6D5D" w:rsidP="00C604ED">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C604ED" w:rsidRPr="00C604ED">
        <w:rPr>
          <w:noProof/>
        </w:rPr>
        <w:t xml:space="preserve">Achenbach, T. M. (1991). Manual for the Child Behavior Checklist/4-18 and 1991 profile. </w:t>
      </w:r>
      <w:r w:rsidR="00C604ED" w:rsidRPr="00C604ED">
        <w:rPr>
          <w:i/>
          <w:noProof/>
        </w:rPr>
        <w:t>University of Vermont, Department of Psychiatry</w:t>
      </w:r>
      <w:r w:rsidR="00C604ED" w:rsidRPr="00C604ED">
        <w:rPr>
          <w:noProof/>
        </w:rPr>
        <w:t xml:space="preserve">. </w:t>
      </w:r>
    </w:p>
    <w:p w14:paraId="7A7A704B" w14:textId="5118E478" w:rsidR="00C604ED" w:rsidRPr="00C604ED" w:rsidRDefault="00C604ED" w:rsidP="00C604ED">
      <w:pPr>
        <w:pStyle w:val="EndNoteBibliography"/>
        <w:ind w:left="720" w:hanging="720"/>
        <w:rPr>
          <w:noProof/>
        </w:rPr>
      </w:pPr>
      <w:r w:rsidRPr="00C604ED">
        <w:rPr>
          <w:noProof/>
        </w:rPr>
        <w:t xml:space="preserve">Alloy, L. B., Olino, T., Freed, R. D., &amp; Nusslock, R. (2016). Role of Reward Sensitivity and Processing in Major Depressive and Bipolar Spectrum Disorders. </w:t>
      </w:r>
      <w:r w:rsidRPr="00C604ED">
        <w:rPr>
          <w:i/>
          <w:noProof/>
        </w:rPr>
        <w:t>Behav Ther</w:t>
      </w:r>
      <w:r w:rsidRPr="00C604ED">
        <w:rPr>
          <w:noProof/>
        </w:rPr>
        <w:t>,</w:t>
      </w:r>
      <w:r w:rsidRPr="00C604ED">
        <w:rPr>
          <w:i/>
          <w:noProof/>
        </w:rPr>
        <w:t xml:space="preserve"> 47</w:t>
      </w:r>
      <w:r w:rsidRPr="00C604ED">
        <w:rPr>
          <w:noProof/>
        </w:rPr>
        <w:t xml:space="preserve">(5), 600-621. </w:t>
      </w:r>
      <w:hyperlink r:id="rId14" w:history="1">
        <w:r w:rsidRPr="00C604ED">
          <w:rPr>
            <w:rStyle w:val="Hyperlink"/>
            <w:noProof/>
          </w:rPr>
          <w:t>https://doi.org/10.1016/j.beth.2016.02.014</w:t>
        </w:r>
      </w:hyperlink>
      <w:r w:rsidRPr="00C604ED">
        <w:rPr>
          <w:noProof/>
        </w:rPr>
        <w:t xml:space="preserve"> </w:t>
      </w:r>
    </w:p>
    <w:p w14:paraId="5F6484EE" w14:textId="4E7CF9F8" w:rsidR="00C604ED" w:rsidRPr="00C604ED" w:rsidRDefault="00C604ED" w:rsidP="00C604ED">
      <w:pPr>
        <w:pStyle w:val="EndNoteBibliography"/>
        <w:ind w:left="720" w:hanging="720"/>
        <w:rPr>
          <w:noProof/>
        </w:rPr>
      </w:pPr>
      <w:r w:rsidRPr="00C604ED">
        <w:rPr>
          <w:noProof/>
        </w:rPr>
        <w:t xml:space="preserve">Amin, Z., Todd Constable, R., &amp; Canli, T. (2004). Attentional bias for valenced stimuli as a function of personality in the dot-probe task. </w:t>
      </w:r>
      <w:r w:rsidRPr="00C604ED">
        <w:rPr>
          <w:i/>
          <w:noProof/>
        </w:rPr>
        <w:t>Journal of research in personality</w:t>
      </w:r>
      <w:r w:rsidRPr="00C604ED">
        <w:rPr>
          <w:noProof/>
        </w:rPr>
        <w:t>,</w:t>
      </w:r>
      <w:r w:rsidRPr="00C604ED">
        <w:rPr>
          <w:i/>
          <w:noProof/>
        </w:rPr>
        <w:t xml:space="preserve"> 38</w:t>
      </w:r>
      <w:r w:rsidRPr="00C604ED">
        <w:rPr>
          <w:noProof/>
        </w:rPr>
        <w:t xml:space="preserve">(1), 15-23. </w:t>
      </w:r>
      <w:hyperlink r:id="rId15" w:history="1">
        <w:r w:rsidRPr="00C604ED">
          <w:rPr>
            <w:rStyle w:val="Hyperlink"/>
            <w:noProof/>
          </w:rPr>
          <w:t>https://doi.org/10.1016/j.jrp.2003.09.011</w:t>
        </w:r>
      </w:hyperlink>
      <w:r w:rsidRPr="00C604ED">
        <w:rPr>
          <w:noProof/>
        </w:rPr>
        <w:t xml:space="preserve"> </w:t>
      </w:r>
    </w:p>
    <w:p w14:paraId="43AFAE1D" w14:textId="5FDDBE95" w:rsidR="00C604ED" w:rsidRPr="00C604ED" w:rsidRDefault="00C604ED" w:rsidP="00C604ED">
      <w:pPr>
        <w:pStyle w:val="EndNoteBibliography"/>
        <w:ind w:left="720" w:hanging="720"/>
        <w:rPr>
          <w:noProof/>
        </w:rPr>
      </w:pPr>
      <w:r w:rsidRPr="00C604ED">
        <w:rPr>
          <w:noProof/>
        </w:rPr>
        <w:t xml:space="preserve">Ben-Haim, M. S., Williams, P., Howard, Z., Mama, Y., Eidels, A., &amp; Algom, D. (2016). The Emotional Stroop Task: Assessing Cognitive Performance under Exposure to Emotional Content. </w:t>
      </w:r>
      <w:r w:rsidRPr="00C604ED">
        <w:rPr>
          <w:i/>
          <w:noProof/>
        </w:rPr>
        <w:t>Journal of Visualized Experiments</w:t>
      </w:r>
      <w:r w:rsidRPr="00C604ED">
        <w:rPr>
          <w:noProof/>
        </w:rPr>
        <w:t xml:space="preserve">(112). </w:t>
      </w:r>
      <w:hyperlink r:id="rId16" w:history="1">
        <w:r w:rsidRPr="00C604ED">
          <w:rPr>
            <w:rStyle w:val="Hyperlink"/>
            <w:noProof/>
          </w:rPr>
          <w:t>https://doi.org/10.3791/53720</w:t>
        </w:r>
      </w:hyperlink>
      <w:r w:rsidRPr="00C604ED">
        <w:rPr>
          <w:noProof/>
        </w:rPr>
        <w:t xml:space="preserve"> </w:t>
      </w:r>
    </w:p>
    <w:p w14:paraId="44A2661A" w14:textId="3CAD5378" w:rsidR="00C604ED" w:rsidRPr="00C604ED" w:rsidRDefault="00C604ED" w:rsidP="00C604ED">
      <w:pPr>
        <w:pStyle w:val="EndNoteBibliography"/>
        <w:ind w:left="720" w:hanging="720"/>
        <w:rPr>
          <w:noProof/>
        </w:rPr>
      </w:pPr>
      <w:r w:rsidRPr="00C604ED">
        <w:rPr>
          <w:noProof/>
        </w:rPr>
        <w:t xml:space="preserve">Benjamini, Y., &amp; Hochberg, Y. (1995). Controlling the False Discovery Rate: A Practical and Powerful Approach to Multiple Testing. </w:t>
      </w:r>
      <w:r w:rsidRPr="00C604ED">
        <w:rPr>
          <w:i/>
          <w:noProof/>
        </w:rPr>
        <w:t>Journal of the Royal Statistical Society. Series B, Methodological</w:t>
      </w:r>
      <w:r w:rsidRPr="00C604ED">
        <w:rPr>
          <w:noProof/>
        </w:rPr>
        <w:t>,</w:t>
      </w:r>
      <w:r w:rsidRPr="00C604ED">
        <w:rPr>
          <w:i/>
          <w:noProof/>
        </w:rPr>
        <w:t xml:space="preserve"> 57</w:t>
      </w:r>
      <w:r w:rsidRPr="00C604ED">
        <w:rPr>
          <w:noProof/>
        </w:rPr>
        <w:t xml:space="preserve">(1), 289-300. </w:t>
      </w:r>
      <w:hyperlink r:id="rId17" w:history="1">
        <w:r w:rsidRPr="00C604ED">
          <w:rPr>
            <w:rStyle w:val="Hyperlink"/>
            <w:noProof/>
          </w:rPr>
          <w:t>https://doi.org/10.1111/j.2517-6161.1995.tb02031.x</w:t>
        </w:r>
      </w:hyperlink>
      <w:r w:rsidRPr="00C604ED">
        <w:rPr>
          <w:noProof/>
        </w:rPr>
        <w:t xml:space="preserve"> </w:t>
      </w:r>
    </w:p>
    <w:p w14:paraId="68223072" w14:textId="77777777" w:rsidR="00C604ED" w:rsidRPr="00C604ED" w:rsidRDefault="00C604ED" w:rsidP="00C604ED">
      <w:pPr>
        <w:pStyle w:val="EndNoteBibliography"/>
        <w:ind w:left="720" w:hanging="720"/>
        <w:rPr>
          <w:noProof/>
        </w:rPr>
      </w:pPr>
      <w:r w:rsidRPr="00C604ED">
        <w:rPr>
          <w:noProof/>
        </w:rPr>
        <w:t xml:space="preserve">Bernstein, D. P., Ahluvalia, T., Pogge, D., &amp; Handelsman, L. (1997). Validity of the Childhood Trauma Questionnaire in an adolescent psychiatric population. </w:t>
      </w:r>
      <w:r w:rsidRPr="00C604ED">
        <w:rPr>
          <w:i/>
          <w:noProof/>
        </w:rPr>
        <w:t>Journal of the American Academy of Child &amp; Adolescent Psychiatry</w:t>
      </w:r>
      <w:r w:rsidRPr="00C604ED">
        <w:rPr>
          <w:noProof/>
        </w:rPr>
        <w:t>,</w:t>
      </w:r>
      <w:r w:rsidRPr="00C604ED">
        <w:rPr>
          <w:i/>
          <w:noProof/>
        </w:rPr>
        <w:t xml:space="preserve"> 36</w:t>
      </w:r>
      <w:r w:rsidRPr="00C604ED">
        <w:rPr>
          <w:noProof/>
        </w:rPr>
        <w:t xml:space="preserve">(3), 340-348. </w:t>
      </w:r>
    </w:p>
    <w:p w14:paraId="2336401E" w14:textId="77777777" w:rsidR="00C604ED" w:rsidRPr="00C604ED" w:rsidRDefault="00C604ED" w:rsidP="00C604ED">
      <w:pPr>
        <w:pStyle w:val="EndNoteBibliography"/>
        <w:ind w:left="720" w:hanging="720"/>
        <w:rPr>
          <w:noProof/>
        </w:rPr>
      </w:pPr>
      <w:r w:rsidRPr="00C604ED">
        <w:rPr>
          <w:noProof/>
        </w:rPr>
        <w:t xml:space="preserve">Bifulco, A., Brown, G. W., &amp; Harris, T. O. (1994). Childhood Experience of Care and Abuse (CECA): a retrospective interview measure. </w:t>
      </w:r>
      <w:r w:rsidRPr="00C604ED">
        <w:rPr>
          <w:i/>
          <w:noProof/>
        </w:rPr>
        <w:t>Journal of Child Psychology and Psychiatry</w:t>
      </w:r>
      <w:r w:rsidRPr="00C604ED">
        <w:rPr>
          <w:noProof/>
        </w:rPr>
        <w:t>,</w:t>
      </w:r>
      <w:r w:rsidRPr="00C604ED">
        <w:rPr>
          <w:i/>
          <w:noProof/>
        </w:rPr>
        <w:t xml:space="preserve"> 35</w:t>
      </w:r>
      <w:r w:rsidRPr="00C604ED">
        <w:rPr>
          <w:noProof/>
        </w:rPr>
        <w:t xml:space="preserve">(8), 1419-1435. </w:t>
      </w:r>
    </w:p>
    <w:p w14:paraId="30E7B6BB" w14:textId="77777777" w:rsidR="00C604ED" w:rsidRPr="00C604ED" w:rsidRDefault="00C604ED" w:rsidP="00C604ED">
      <w:pPr>
        <w:pStyle w:val="EndNoteBibliography"/>
        <w:ind w:left="720" w:hanging="720"/>
        <w:rPr>
          <w:noProof/>
        </w:rPr>
      </w:pPr>
      <w:r w:rsidRPr="00C604ED">
        <w:rPr>
          <w:noProof/>
        </w:rPr>
        <w:t xml:space="preserve">Birmaher, B., Khetarpal, S., Brent, D., Cully, M., Balach, L., Kaufman, J., &amp; Neer, S. M. (1997). The screen for child anxiety related emotional disorders (SCARED): Scale construction and psychometric characteristics. </w:t>
      </w:r>
      <w:r w:rsidRPr="00C604ED">
        <w:rPr>
          <w:i/>
          <w:noProof/>
        </w:rPr>
        <w:t>Journal of the American Academy of Child &amp; Adolescent Psychiatry</w:t>
      </w:r>
      <w:r w:rsidRPr="00C604ED">
        <w:rPr>
          <w:noProof/>
        </w:rPr>
        <w:t>,</w:t>
      </w:r>
      <w:r w:rsidRPr="00C604ED">
        <w:rPr>
          <w:i/>
          <w:noProof/>
        </w:rPr>
        <w:t xml:space="preserve"> 36</w:t>
      </w:r>
      <w:r w:rsidRPr="00C604ED">
        <w:rPr>
          <w:noProof/>
        </w:rPr>
        <w:t xml:space="preserve">(4), 545-553. </w:t>
      </w:r>
    </w:p>
    <w:p w14:paraId="4EF80DF5" w14:textId="78F45BC2" w:rsidR="00C604ED" w:rsidRPr="00C604ED" w:rsidRDefault="00C604ED" w:rsidP="00C604ED">
      <w:pPr>
        <w:pStyle w:val="EndNoteBibliography"/>
        <w:ind w:left="720" w:hanging="720"/>
        <w:rPr>
          <w:noProof/>
        </w:rPr>
      </w:pPr>
      <w:r w:rsidRPr="00C604ED">
        <w:rPr>
          <w:noProof/>
        </w:rPr>
        <w:t xml:space="preserve">Brooks, B. L., Sherman, E. M. S., &amp; Strauss, E. (2009). NEPSY-II: A Developmental Neuropsychological Assessment, Second Edition. </w:t>
      </w:r>
      <w:r w:rsidRPr="00C604ED">
        <w:rPr>
          <w:i/>
          <w:noProof/>
        </w:rPr>
        <w:t>Child neuropsychology</w:t>
      </w:r>
      <w:r w:rsidRPr="00C604ED">
        <w:rPr>
          <w:noProof/>
        </w:rPr>
        <w:t>,</w:t>
      </w:r>
      <w:r w:rsidRPr="00C604ED">
        <w:rPr>
          <w:i/>
          <w:noProof/>
        </w:rPr>
        <w:t xml:space="preserve"> 16</w:t>
      </w:r>
      <w:r w:rsidRPr="00C604ED">
        <w:rPr>
          <w:noProof/>
        </w:rPr>
        <w:t xml:space="preserve">(1), 80-101. </w:t>
      </w:r>
      <w:hyperlink r:id="rId18" w:history="1">
        <w:r w:rsidRPr="00C604ED">
          <w:rPr>
            <w:rStyle w:val="Hyperlink"/>
            <w:noProof/>
          </w:rPr>
          <w:t>https://doi.org/10.1080/09297040903146966</w:t>
        </w:r>
      </w:hyperlink>
      <w:r w:rsidRPr="00C604ED">
        <w:rPr>
          <w:noProof/>
        </w:rPr>
        <w:t xml:space="preserve"> </w:t>
      </w:r>
    </w:p>
    <w:p w14:paraId="3407078E" w14:textId="4DB7004B" w:rsidR="00C604ED" w:rsidRPr="00C604ED" w:rsidRDefault="00C604ED" w:rsidP="00C604ED">
      <w:pPr>
        <w:pStyle w:val="EndNoteBibliography"/>
        <w:ind w:left="720" w:hanging="720"/>
        <w:rPr>
          <w:noProof/>
        </w:rPr>
      </w:pPr>
      <w:r w:rsidRPr="00C604ED">
        <w:rPr>
          <w:noProof/>
        </w:rPr>
        <w:t xml:space="preserve">Brooks, S. J., Dalvie, S., Cuzen, N. L., Cardenas, V., Fein, G., &amp; Stein, D. J. (2014). Childhood adversity is linked to differential brain volumes in adolescents with alcohol use disorder: a voxel-based morphometry study. </w:t>
      </w:r>
      <w:r w:rsidRPr="00C604ED">
        <w:rPr>
          <w:i/>
          <w:noProof/>
        </w:rPr>
        <w:t>Metabolic brain disease</w:t>
      </w:r>
      <w:r w:rsidRPr="00C604ED">
        <w:rPr>
          <w:noProof/>
        </w:rPr>
        <w:t>,</w:t>
      </w:r>
      <w:r w:rsidRPr="00C604ED">
        <w:rPr>
          <w:i/>
          <w:noProof/>
        </w:rPr>
        <w:t xml:space="preserve"> 29</w:t>
      </w:r>
      <w:r w:rsidRPr="00C604ED">
        <w:rPr>
          <w:noProof/>
        </w:rPr>
        <w:t xml:space="preserve">(2), 311-321. </w:t>
      </w:r>
      <w:hyperlink r:id="rId19" w:history="1">
        <w:r w:rsidRPr="00C604ED">
          <w:rPr>
            <w:rStyle w:val="Hyperlink"/>
            <w:noProof/>
          </w:rPr>
          <w:t>https://doi.org/10.1007/s11011-014-9489-4</w:t>
        </w:r>
      </w:hyperlink>
      <w:r w:rsidRPr="00C604ED">
        <w:rPr>
          <w:noProof/>
        </w:rPr>
        <w:t xml:space="preserve"> </w:t>
      </w:r>
    </w:p>
    <w:p w14:paraId="43E2E2CD" w14:textId="0088A122" w:rsidR="00C604ED" w:rsidRPr="00C604ED" w:rsidRDefault="00C604ED" w:rsidP="00C604ED">
      <w:pPr>
        <w:pStyle w:val="EndNoteBibliography"/>
        <w:ind w:left="720" w:hanging="720"/>
        <w:rPr>
          <w:noProof/>
        </w:rPr>
      </w:pPr>
      <w:r w:rsidRPr="00C604ED">
        <w:rPr>
          <w:noProof/>
        </w:rPr>
        <w:t xml:space="preserve">Cardoso Melo, R. D., Groen, R. N., &amp; Hartman, C. A. (2022). Reward Sensitivity at Age 13 Predicts the Future Course of Psychopathology Symptoms [Original Research]. </w:t>
      </w:r>
      <w:r w:rsidRPr="00C604ED">
        <w:rPr>
          <w:i/>
          <w:noProof/>
        </w:rPr>
        <w:t>Frontiers in Psychiatry</w:t>
      </w:r>
      <w:r w:rsidRPr="00C604ED">
        <w:rPr>
          <w:noProof/>
        </w:rPr>
        <w:t>,</w:t>
      </w:r>
      <w:r w:rsidRPr="00C604ED">
        <w:rPr>
          <w:i/>
          <w:noProof/>
        </w:rPr>
        <w:t xml:space="preserve"> 13</w:t>
      </w:r>
      <w:r w:rsidRPr="00C604ED">
        <w:rPr>
          <w:noProof/>
        </w:rPr>
        <w:t xml:space="preserve">. </w:t>
      </w:r>
      <w:hyperlink r:id="rId20" w:history="1">
        <w:r w:rsidRPr="00C604ED">
          <w:rPr>
            <w:rStyle w:val="Hyperlink"/>
            <w:noProof/>
          </w:rPr>
          <w:t>https://doi.org/10.3389/fpsyt.2022.818047</w:t>
        </w:r>
      </w:hyperlink>
      <w:r w:rsidRPr="00C604ED">
        <w:rPr>
          <w:noProof/>
        </w:rPr>
        <w:t xml:space="preserve"> </w:t>
      </w:r>
    </w:p>
    <w:p w14:paraId="115C336E" w14:textId="1EC8695C" w:rsidR="00C604ED" w:rsidRPr="00C604ED" w:rsidRDefault="00C604ED" w:rsidP="00C604ED">
      <w:pPr>
        <w:pStyle w:val="EndNoteBibliography"/>
        <w:ind w:left="720" w:hanging="720"/>
        <w:rPr>
          <w:noProof/>
        </w:rPr>
      </w:pPr>
      <w:r w:rsidRPr="00C604ED">
        <w:rPr>
          <w:noProof/>
        </w:rPr>
        <w:t xml:space="preserve">Carozza, S., Holmes, J., &amp; Astle, D. E. (2022). Testing Deprivation and Threat: A Preregistered Network Analysis of the Dimensions of Early Adversity. </w:t>
      </w:r>
      <w:r w:rsidRPr="00C604ED">
        <w:rPr>
          <w:i/>
          <w:noProof/>
        </w:rPr>
        <w:t>Psychological science</w:t>
      </w:r>
      <w:r w:rsidRPr="00C604ED">
        <w:rPr>
          <w:noProof/>
        </w:rPr>
        <w:t>,</w:t>
      </w:r>
      <w:r w:rsidRPr="00C604ED">
        <w:rPr>
          <w:i/>
          <w:noProof/>
        </w:rPr>
        <w:t xml:space="preserve"> 33</w:t>
      </w:r>
      <w:r w:rsidRPr="00C604ED">
        <w:rPr>
          <w:noProof/>
        </w:rPr>
        <w:t xml:space="preserve">(10), 1753-1766. </w:t>
      </w:r>
      <w:hyperlink r:id="rId21" w:history="1">
        <w:r w:rsidRPr="00C604ED">
          <w:rPr>
            <w:rStyle w:val="Hyperlink"/>
            <w:noProof/>
          </w:rPr>
          <w:t>https://doi.org/10.1177/09567976221101045</w:t>
        </w:r>
      </w:hyperlink>
      <w:r w:rsidRPr="00C604ED">
        <w:rPr>
          <w:noProof/>
        </w:rPr>
        <w:t xml:space="preserve"> </w:t>
      </w:r>
    </w:p>
    <w:p w14:paraId="52AADFF7" w14:textId="7BC22B27" w:rsidR="00C604ED" w:rsidRPr="00C604ED" w:rsidRDefault="00C604ED" w:rsidP="00C604ED">
      <w:pPr>
        <w:pStyle w:val="EndNoteBibliography"/>
        <w:ind w:left="720" w:hanging="720"/>
        <w:rPr>
          <w:noProof/>
        </w:rPr>
      </w:pPr>
      <w:r w:rsidRPr="00C604ED">
        <w:rPr>
          <w:noProof/>
        </w:rPr>
        <w:t xml:space="preserve">Carver, C. S., &amp; White, T. L. (1994). Behavioral Inhibition, Behavioral Activation, and Affective Responses to Impending Reward and Punishment: The BIS/BAS Scales. </w:t>
      </w:r>
      <w:r w:rsidRPr="00C604ED">
        <w:rPr>
          <w:i/>
          <w:noProof/>
        </w:rPr>
        <w:t>Journal of Personality and Social Psychology</w:t>
      </w:r>
      <w:r w:rsidRPr="00C604ED">
        <w:rPr>
          <w:noProof/>
        </w:rPr>
        <w:t>,</w:t>
      </w:r>
      <w:r w:rsidRPr="00C604ED">
        <w:rPr>
          <w:i/>
          <w:noProof/>
        </w:rPr>
        <w:t xml:space="preserve"> 67</w:t>
      </w:r>
      <w:r w:rsidRPr="00C604ED">
        <w:rPr>
          <w:noProof/>
        </w:rPr>
        <w:t xml:space="preserve">(2), 319-333. </w:t>
      </w:r>
      <w:hyperlink r:id="rId22" w:history="1">
        <w:r w:rsidRPr="00C604ED">
          <w:rPr>
            <w:rStyle w:val="Hyperlink"/>
            <w:noProof/>
          </w:rPr>
          <w:t>https://doi.org/10.1037/0022-3514.67.2.319</w:t>
        </w:r>
      </w:hyperlink>
      <w:r w:rsidRPr="00C604ED">
        <w:rPr>
          <w:noProof/>
        </w:rPr>
        <w:t xml:space="preserve"> </w:t>
      </w:r>
    </w:p>
    <w:p w14:paraId="7D662E29" w14:textId="699990B3" w:rsidR="00C604ED" w:rsidRPr="00C604ED" w:rsidRDefault="00C604ED" w:rsidP="00C604ED">
      <w:pPr>
        <w:pStyle w:val="EndNoteBibliography"/>
        <w:ind w:left="720" w:hanging="720"/>
        <w:rPr>
          <w:noProof/>
        </w:rPr>
      </w:pPr>
      <w:r w:rsidRPr="00C604ED">
        <w:rPr>
          <w:noProof/>
        </w:rPr>
        <w:lastRenderedPageBreak/>
        <w:t xml:space="preserve">Colich, N. L., Rosen, M. L., Williams, E. S., &amp; McLaughlin, K. A. (2020). Biological aging in childhood and adolescence following experiences of threat and deprivation: A systematic review and meta-analysis. </w:t>
      </w:r>
      <w:r w:rsidRPr="00C604ED">
        <w:rPr>
          <w:i/>
          <w:noProof/>
        </w:rPr>
        <w:t>Psychol Bull</w:t>
      </w:r>
      <w:r w:rsidRPr="00C604ED">
        <w:rPr>
          <w:noProof/>
        </w:rPr>
        <w:t>,</w:t>
      </w:r>
      <w:r w:rsidRPr="00C604ED">
        <w:rPr>
          <w:i/>
          <w:noProof/>
        </w:rPr>
        <w:t xml:space="preserve"> 146</w:t>
      </w:r>
      <w:r w:rsidRPr="00C604ED">
        <w:rPr>
          <w:noProof/>
        </w:rPr>
        <w:t xml:space="preserve">(9), 721-764. </w:t>
      </w:r>
      <w:hyperlink r:id="rId23" w:history="1">
        <w:r w:rsidRPr="00C604ED">
          <w:rPr>
            <w:rStyle w:val="Hyperlink"/>
            <w:noProof/>
          </w:rPr>
          <w:t>https://doi.org/10.1037/bul0000270</w:t>
        </w:r>
      </w:hyperlink>
      <w:r w:rsidRPr="00C604ED">
        <w:rPr>
          <w:noProof/>
        </w:rPr>
        <w:t xml:space="preserve"> </w:t>
      </w:r>
    </w:p>
    <w:p w14:paraId="7FC73EFF" w14:textId="77777777" w:rsidR="00C604ED" w:rsidRPr="00C604ED" w:rsidRDefault="00C604ED" w:rsidP="00C604ED">
      <w:pPr>
        <w:pStyle w:val="EndNoteBibliography"/>
        <w:ind w:left="720" w:hanging="720"/>
        <w:rPr>
          <w:noProof/>
        </w:rPr>
      </w:pPr>
      <w:r w:rsidRPr="00C604ED">
        <w:rPr>
          <w:noProof/>
        </w:rPr>
        <w:t xml:space="preserve">Costello, C. G. (1972). Depression: loss of reinforcers of loss of reinforcer effectiveness? </w:t>
      </w:r>
      <w:r w:rsidRPr="00C604ED">
        <w:rPr>
          <w:i/>
          <w:noProof/>
        </w:rPr>
        <w:t>Behavior Therapy</w:t>
      </w:r>
      <w:r w:rsidRPr="00C604ED">
        <w:rPr>
          <w:noProof/>
        </w:rPr>
        <w:t>,</w:t>
      </w:r>
      <w:r w:rsidRPr="00C604ED">
        <w:rPr>
          <w:i/>
          <w:noProof/>
        </w:rPr>
        <w:t xml:space="preserve"> 3</w:t>
      </w:r>
      <w:r w:rsidRPr="00C604ED">
        <w:rPr>
          <w:noProof/>
        </w:rPr>
        <w:t xml:space="preserve">(2), 240-247. </w:t>
      </w:r>
    </w:p>
    <w:p w14:paraId="1C467E04" w14:textId="0B3FAA5A" w:rsidR="00C604ED" w:rsidRPr="00C604ED" w:rsidRDefault="00C604ED" w:rsidP="00C604ED">
      <w:pPr>
        <w:pStyle w:val="EndNoteBibliography"/>
        <w:ind w:left="720" w:hanging="720"/>
        <w:rPr>
          <w:noProof/>
        </w:rPr>
      </w:pPr>
      <w:r w:rsidRPr="00C604ED">
        <w:rPr>
          <w:noProof/>
        </w:rPr>
        <w:t xml:space="preserve">Dennison, M. J., Sheridan, M. A., Busso, D. S., Jenness, J. L., Peverill, M., Rosen, M. L., &amp; McLaughlin, K. A. (2016). Neurobehavioral Markers of Resilience to Depression Amongst Adolescents Exposed to Child Abuse. </w:t>
      </w:r>
      <w:r w:rsidRPr="00C604ED">
        <w:rPr>
          <w:i/>
          <w:noProof/>
        </w:rPr>
        <w:t>Journal of abnormal psychology (1965)</w:t>
      </w:r>
      <w:r w:rsidRPr="00C604ED">
        <w:rPr>
          <w:noProof/>
        </w:rPr>
        <w:t>,</w:t>
      </w:r>
      <w:r w:rsidRPr="00C604ED">
        <w:rPr>
          <w:i/>
          <w:noProof/>
        </w:rPr>
        <w:t xml:space="preserve"> 125</w:t>
      </w:r>
      <w:r w:rsidRPr="00C604ED">
        <w:rPr>
          <w:noProof/>
        </w:rPr>
        <w:t xml:space="preserve">(8), 1201-1212. </w:t>
      </w:r>
      <w:hyperlink r:id="rId24" w:history="1">
        <w:r w:rsidRPr="00C604ED">
          <w:rPr>
            <w:rStyle w:val="Hyperlink"/>
            <w:noProof/>
          </w:rPr>
          <w:t>https://doi.org/10.1037/abn0000215</w:t>
        </w:r>
      </w:hyperlink>
      <w:r w:rsidRPr="00C604ED">
        <w:rPr>
          <w:noProof/>
        </w:rPr>
        <w:t xml:space="preserve"> </w:t>
      </w:r>
    </w:p>
    <w:p w14:paraId="3ABDCF64" w14:textId="35E27326" w:rsidR="00C604ED" w:rsidRPr="00C604ED" w:rsidRDefault="00C604ED" w:rsidP="00C604ED">
      <w:pPr>
        <w:pStyle w:val="EndNoteBibliography"/>
        <w:ind w:left="720" w:hanging="720"/>
        <w:rPr>
          <w:noProof/>
        </w:rPr>
      </w:pPr>
      <w:r w:rsidRPr="00C604ED">
        <w:rPr>
          <w:noProof/>
        </w:rPr>
        <w:t xml:space="preserve">Edwards, V. J., Holden, G. W., Felitti, V. J., &amp; Anda, R. F. (2003). Relationship Between Multiple Forms of Childhood Maltreatment and Adult Mental Health in Community Respondents: Results From the Adverse Childhood Experiences Study. </w:t>
      </w:r>
      <w:r w:rsidRPr="00C604ED">
        <w:rPr>
          <w:i/>
          <w:noProof/>
        </w:rPr>
        <w:t>The American journal of psychiatry</w:t>
      </w:r>
      <w:r w:rsidRPr="00C604ED">
        <w:rPr>
          <w:noProof/>
        </w:rPr>
        <w:t>,</w:t>
      </w:r>
      <w:r w:rsidRPr="00C604ED">
        <w:rPr>
          <w:i/>
          <w:noProof/>
        </w:rPr>
        <w:t xml:space="preserve"> 160</w:t>
      </w:r>
      <w:r w:rsidRPr="00C604ED">
        <w:rPr>
          <w:noProof/>
        </w:rPr>
        <w:t xml:space="preserve">(8), 1453-1460. </w:t>
      </w:r>
      <w:hyperlink r:id="rId25" w:history="1">
        <w:r w:rsidRPr="00C604ED">
          <w:rPr>
            <w:rStyle w:val="Hyperlink"/>
            <w:noProof/>
          </w:rPr>
          <w:t>https://doi.org/10.1176/appi.ajp.160.8.1453</w:t>
        </w:r>
      </w:hyperlink>
      <w:r w:rsidRPr="00C604ED">
        <w:rPr>
          <w:noProof/>
        </w:rPr>
        <w:t xml:space="preserve"> </w:t>
      </w:r>
    </w:p>
    <w:p w14:paraId="0C763FCC" w14:textId="77777777" w:rsidR="00C604ED" w:rsidRPr="00C604ED" w:rsidRDefault="00C604ED" w:rsidP="00C604ED">
      <w:pPr>
        <w:pStyle w:val="EndNoteBibliography"/>
        <w:ind w:left="720" w:hanging="720"/>
        <w:rPr>
          <w:noProof/>
        </w:rPr>
      </w:pPr>
      <w:r w:rsidRPr="00C604ED">
        <w:rPr>
          <w:noProof/>
        </w:rPr>
        <w:t xml:space="preserve">Fan, J., &amp; Lv, J. (2008). Sure independence screening for ultrahigh dimensional feature space. </w:t>
      </w:r>
      <w:r w:rsidRPr="00C604ED">
        <w:rPr>
          <w:i/>
          <w:noProof/>
        </w:rPr>
        <w:t>Journal of the Royal Statistical Society: Series B (Statistical Methodology)</w:t>
      </w:r>
      <w:r w:rsidRPr="00C604ED">
        <w:rPr>
          <w:noProof/>
        </w:rPr>
        <w:t>,</w:t>
      </w:r>
      <w:r w:rsidRPr="00C604ED">
        <w:rPr>
          <w:i/>
          <w:noProof/>
        </w:rPr>
        <w:t xml:space="preserve"> 70</w:t>
      </w:r>
      <w:r w:rsidRPr="00C604ED">
        <w:rPr>
          <w:noProof/>
        </w:rPr>
        <w:t xml:space="preserve">(5), 849-911. </w:t>
      </w:r>
    </w:p>
    <w:p w14:paraId="7C2BF765" w14:textId="77777777" w:rsidR="00C604ED" w:rsidRPr="00C604ED" w:rsidRDefault="00C604ED" w:rsidP="00C604ED">
      <w:pPr>
        <w:pStyle w:val="EndNoteBibliography"/>
        <w:ind w:left="720" w:hanging="720"/>
        <w:rPr>
          <w:noProof/>
        </w:rPr>
      </w:pPr>
      <w:r w:rsidRPr="00C604ED">
        <w:rPr>
          <w:noProof/>
        </w:rPr>
        <w:t xml:space="preserve">Gray, J. A., Van Goozen, S., Van de Poll, N. E., &amp; Sergeant, J. (1994). Framework for a taxonomy of psychiatric disorder. </w:t>
      </w:r>
      <w:r w:rsidRPr="00C604ED">
        <w:rPr>
          <w:i/>
          <w:noProof/>
        </w:rPr>
        <w:t>Emotions: Essays on emotion theory</w:t>
      </w:r>
      <w:r w:rsidRPr="00C604ED">
        <w:rPr>
          <w:noProof/>
        </w:rPr>
        <w:t>,</w:t>
      </w:r>
      <w:r w:rsidRPr="00C604ED">
        <w:rPr>
          <w:i/>
          <w:noProof/>
        </w:rPr>
        <w:t xml:space="preserve"> 12</w:t>
      </w:r>
      <w:r w:rsidRPr="00C604ED">
        <w:rPr>
          <w:noProof/>
        </w:rPr>
        <w:t xml:space="preserve">, 29-59. </w:t>
      </w:r>
    </w:p>
    <w:p w14:paraId="516EC2EF" w14:textId="0AD8CFA2" w:rsidR="00C604ED" w:rsidRPr="00C604ED" w:rsidRDefault="00C604ED" w:rsidP="00C604ED">
      <w:pPr>
        <w:pStyle w:val="EndNoteBibliography"/>
        <w:ind w:left="720" w:hanging="720"/>
        <w:rPr>
          <w:noProof/>
        </w:rPr>
      </w:pPr>
      <w:r w:rsidRPr="00C604ED">
        <w:rPr>
          <w:noProof/>
        </w:rPr>
        <w:t xml:space="preserve">Hankin, B. L., Abramson, L. Y., Moffitt, T. E., Silva, P. A., McGee, R., &amp; Angell, K. E. (1998). Development of depression from preadolescence to young adulthood: emerging gender differences in a 10-year longitudinal study. </w:t>
      </w:r>
      <w:r w:rsidRPr="00C604ED">
        <w:rPr>
          <w:i/>
          <w:noProof/>
        </w:rPr>
        <w:t>J Abnorm Psychol</w:t>
      </w:r>
      <w:r w:rsidRPr="00C604ED">
        <w:rPr>
          <w:noProof/>
        </w:rPr>
        <w:t>,</w:t>
      </w:r>
      <w:r w:rsidRPr="00C604ED">
        <w:rPr>
          <w:i/>
          <w:noProof/>
        </w:rPr>
        <w:t xml:space="preserve"> 107</w:t>
      </w:r>
      <w:r w:rsidRPr="00C604ED">
        <w:rPr>
          <w:noProof/>
        </w:rPr>
        <w:t xml:space="preserve">(1), 128-140. </w:t>
      </w:r>
      <w:hyperlink r:id="rId26" w:history="1">
        <w:r w:rsidRPr="00C604ED">
          <w:rPr>
            <w:rStyle w:val="Hyperlink"/>
            <w:noProof/>
          </w:rPr>
          <w:t>https://doi.org/10.1037//0021-843x.107.1.128</w:t>
        </w:r>
      </w:hyperlink>
      <w:r w:rsidRPr="00C604ED">
        <w:rPr>
          <w:noProof/>
        </w:rPr>
        <w:t xml:space="preserve"> </w:t>
      </w:r>
    </w:p>
    <w:p w14:paraId="413069D1" w14:textId="7A360C66" w:rsidR="00C604ED" w:rsidRPr="00C604ED" w:rsidRDefault="00C604ED" w:rsidP="00C604ED">
      <w:pPr>
        <w:pStyle w:val="EndNoteBibliography"/>
        <w:ind w:left="720" w:hanging="720"/>
        <w:rPr>
          <w:noProof/>
        </w:rPr>
      </w:pPr>
      <w:r w:rsidRPr="00C604ED">
        <w:rPr>
          <w:noProof/>
        </w:rPr>
        <w:t xml:space="preserve">Hanson, J. L., Nacewicz, B. M., Sutterer, M. J., Cayo, A. A., Schaefer, S. M., Rudolph, K. D., Shirtcliff, E. A., Pollak, S. D., &amp; Davidson, R. J. (2015). Behavioral Problems After Early Life Stress: Contributions of the Hippocampus and Amygdala. </w:t>
      </w:r>
      <w:r w:rsidRPr="00C604ED">
        <w:rPr>
          <w:i/>
          <w:noProof/>
        </w:rPr>
        <w:t>Biological psychiatry (1969)</w:t>
      </w:r>
      <w:r w:rsidRPr="00C604ED">
        <w:rPr>
          <w:noProof/>
        </w:rPr>
        <w:t>,</w:t>
      </w:r>
      <w:r w:rsidRPr="00C604ED">
        <w:rPr>
          <w:i/>
          <w:noProof/>
        </w:rPr>
        <w:t xml:space="preserve"> 77</w:t>
      </w:r>
      <w:r w:rsidRPr="00C604ED">
        <w:rPr>
          <w:noProof/>
        </w:rPr>
        <w:t xml:space="preserve">(4), 314-323. </w:t>
      </w:r>
      <w:hyperlink r:id="rId27" w:history="1">
        <w:r w:rsidRPr="00C604ED">
          <w:rPr>
            <w:rStyle w:val="Hyperlink"/>
            <w:noProof/>
          </w:rPr>
          <w:t>https://doi.org/10.1016/j.biopsych.2014.04.020</w:t>
        </w:r>
      </w:hyperlink>
      <w:r w:rsidRPr="00C604ED">
        <w:rPr>
          <w:noProof/>
        </w:rPr>
        <w:t xml:space="preserve"> </w:t>
      </w:r>
    </w:p>
    <w:p w14:paraId="11D21608" w14:textId="6E787C23" w:rsidR="00C604ED" w:rsidRPr="00C604ED" w:rsidRDefault="00C604ED" w:rsidP="00C604ED">
      <w:pPr>
        <w:pStyle w:val="EndNoteBibliography"/>
        <w:ind w:left="720" w:hanging="720"/>
        <w:rPr>
          <w:noProof/>
        </w:rPr>
      </w:pPr>
      <w:r w:rsidRPr="00C604ED">
        <w:rPr>
          <w:noProof/>
        </w:rPr>
        <w:t xml:space="preserve">Heleniak, C., &amp; McLaughlin, K. A. (2020). Social-cognitive mechanisms in the cycle of violence: Cognitive and affective theory of mind, and externalizing psychopathology in children and adolescents. </w:t>
      </w:r>
      <w:r w:rsidRPr="00C604ED">
        <w:rPr>
          <w:i/>
          <w:noProof/>
        </w:rPr>
        <w:t>Dev Psychopathol</w:t>
      </w:r>
      <w:r w:rsidRPr="00C604ED">
        <w:rPr>
          <w:noProof/>
        </w:rPr>
        <w:t>,</w:t>
      </w:r>
      <w:r w:rsidRPr="00C604ED">
        <w:rPr>
          <w:i/>
          <w:noProof/>
        </w:rPr>
        <w:t xml:space="preserve"> 32</w:t>
      </w:r>
      <w:r w:rsidRPr="00C604ED">
        <w:rPr>
          <w:noProof/>
        </w:rPr>
        <w:t xml:space="preserve">(2), 735-750. </w:t>
      </w:r>
      <w:hyperlink r:id="rId28" w:history="1">
        <w:r w:rsidRPr="00C604ED">
          <w:rPr>
            <w:rStyle w:val="Hyperlink"/>
            <w:noProof/>
          </w:rPr>
          <w:t>https://doi.org/10.1017/S0954579419000725</w:t>
        </w:r>
      </w:hyperlink>
      <w:r w:rsidRPr="00C604ED">
        <w:rPr>
          <w:noProof/>
        </w:rPr>
        <w:t xml:space="preserve"> </w:t>
      </w:r>
    </w:p>
    <w:p w14:paraId="1C2E7A12" w14:textId="710962B7" w:rsidR="00C604ED" w:rsidRPr="00C604ED" w:rsidRDefault="00C604ED" w:rsidP="00C604ED">
      <w:pPr>
        <w:pStyle w:val="EndNoteBibliography"/>
        <w:ind w:left="720" w:hanging="720"/>
        <w:rPr>
          <w:noProof/>
        </w:rPr>
      </w:pPr>
      <w:r w:rsidRPr="00C604ED">
        <w:rPr>
          <w:noProof/>
        </w:rPr>
        <w:t xml:space="preserve">Helfinstein, S. M., Kirwan, M. L., Benson, B. E., Hardin, M. G., Pine, D. S., Ernst, M., &amp; Fox, N. A. (2013). Validation of a child-friendly version of the monetary incentive delay task. </w:t>
      </w:r>
      <w:r w:rsidRPr="00C604ED">
        <w:rPr>
          <w:i/>
          <w:noProof/>
        </w:rPr>
        <w:t>Social cognitive and affective neuroscience</w:t>
      </w:r>
      <w:r w:rsidRPr="00C604ED">
        <w:rPr>
          <w:noProof/>
        </w:rPr>
        <w:t>,</w:t>
      </w:r>
      <w:r w:rsidRPr="00C604ED">
        <w:rPr>
          <w:i/>
          <w:noProof/>
        </w:rPr>
        <w:t xml:space="preserve"> 8</w:t>
      </w:r>
      <w:r w:rsidRPr="00C604ED">
        <w:rPr>
          <w:noProof/>
        </w:rPr>
        <w:t xml:space="preserve">(6), 720-726. </w:t>
      </w:r>
      <w:hyperlink r:id="rId29" w:history="1">
        <w:r w:rsidRPr="00C604ED">
          <w:rPr>
            <w:rStyle w:val="Hyperlink"/>
            <w:noProof/>
          </w:rPr>
          <w:t>https://doi.org/10.1093/scan/nss057</w:t>
        </w:r>
      </w:hyperlink>
      <w:r w:rsidRPr="00C604ED">
        <w:rPr>
          <w:noProof/>
        </w:rPr>
        <w:t xml:space="preserve"> </w:t>
      </w:r>
    </w:p>
    <w:p w14:paraId="6F09D223" w14:textId="1D01A18A" w:rsidR="00C604ED" w:rsidRPr="00C604ED" w:rsidRDefault="00C604ED" w:rsidP="00C604ED">
      <w:pPr>
        <w:pStyle w:val="EndNoteBibliography"/>
        <w:ind w:left="720" w:hanging="720"/>
        <w:rPr>
          <w:noProof/>
        </w:rPr>
      </w:pPr>
      <w:r w:rsidRPr="00C604ED">
        <w:rPr>
          <w:noProof/>
        </w:rPr>
        <w:t xml:space="preserve">Kasparek, S. W., Jenness, J. L., &amp; McLaughlin, K. A. (2020). Reward Processing Modulates the Association Between Trauma Exposure and Externalizing Psychopathology. </w:t>
      </w:r>
      <w:r w:rsidRPr="00C604ED">
        <w:rPr>
          <w:i/>
          <w:noProof/>
        </w:rPr>
        <w:t>Clinical Psychological Science</w:t>
      </w:r>
      <w:r w:rsidRPr="00C604ED">
        <w:rPr>
          <w:noProof/>
        </w:rPr>
        <w:t>,</w:t>
      </w:r>
      <w:r w:rsidRPr="00C604ED">
        <w:rPr>
          <w:i/>
          <w:noProof/>
        </w:rPr>
        <w:t xml:space="preserve"> 8</w:t>
      </w:r>
      <w:r w:rsidRPr="00C604ED">
        <w:rPr>
          <w:noProof/>
        </w:rPr>
        <w:t xml:space="preserve">(6), 989-1006. </w:t>
      </w:r>
      <w:hyperlink r:id="rId30" w:history="1">
        <w:r w:rsidRPr="00C604ED">
          <w:rPr>
            <w:rStyle w:val="Hyperlink"/>
            <w:noProof/>
          </w:rPr>
          <w:t>https://doi.org/10.1177/2167702620933570</w:t>
        </w:r>
      </w:hyperlink>
      <w:r w:rsidRPr="00C604ED">
        <w:rPr>
          <w:noProof/>
        </w:rPr>
        <w:t xml:space="preserve"> </w:t>
      </w:r>
    </w:p>
    <w:p w14:paraId="238B9DF3" w14:textId="77777777" w:rsidR="00C604ED" w:rsidRPr="00C604ED" w:rsidRDefault="00C604ED" w:rsidP="00C604ED">
      <w:pPr>
        <w:pStyle w:val="EndNoteBibliography"/>
        <w:ind w:left="720" w:hanging="720"/>
        <w:rPr>
          <w:noProof/>
        </w:rPr>
      </w:pPr>
      <w:r w:rsidRPr="00C604ED">
        <w:rPr>
          <w:noProof/>
        </w:rPr>
        <w:t xml:space="preserve">Kaufman Kantor, G., Holt, M., Mebert, C., Straus, M., Drach, K., Ricci, L., MacAllum, C., &amp; Brown, W. (2004). Development and psychometric properties of the Child Self-report multidimensional neglectful behavior scale (MNBS-CR). </w:t>
      </w:r>
      <w:r w:rsidRPr="00C604ED">
        <w:rPr>
          <w:i/>
          <w:noProof/>
        </w:rPr>
        <w:t>Child Maltreatment</w:t>
      </w:r>
      <w:r w:rsidRPr="00C604ED">
        <w:rPr>
          <w:noProof/>
        </w:rPr>
        <w:t>,</w:t>
      </w:r>
      <w:r w:rsidRPr="00C604ED">
        <w:rPr>
          <w:i/>
          <w:noProof/>
        </w:rPr>
        <w:t xml:space="preserve"> 9</w:t>
      </w:r>
      <w:r w:rsidRPr="00C604ED">
        <w:rPr>
          <w:noProof/>
        </w:rPr>
        <w:t xml:space="preserve">(4), 409-429. </w:t>
      </w:r>
    </w:p>
    <w:p w14:paraId="172AD402" w14:textId="32FDB762" w:rsidR="00C604ED" w:rsidRPr="00C604ED" w:rsidRDefault="00C604ED" w:rsidP="00C604ED">
      <w:pPr>
        <w:pStyle w:val="EndNoteBibliography"/>
        <w:ind w:left="720" w:hanging="720"/>
        <w:rPr>
          <w:noProof/>
        </w:rPr>
      </w:pPr>
      <w:r w:rsidRPr="00C604ED">
        <w:rPr>
          <w:noProof/>
        </w:rPr>
        <w:t xml:space="preserve">Kessler, R. C., McLaughlin, K. A., Green, J. G., Gruber, M. J., Sampson, N. A., Zaslavsky, A. M., Aguilar-Gaxiola, S., Alhamzawi, A. O., Alonso, J., Angermeyer, M., Benjet, C., Bromet, E., </w:t>
      </w:r>
      <w:r w:rsidRPr="00C604ED">
        <w:rPr>
          <w:noProof/>
        </w:rPr>
        <w:lastRenderedPageBreak/>
        <w:t xml:space="preserve">Chatterji, S., de Girolamo, G., Demyttenaere, K., Fayyad, J., Florescu, S., Gal, G., Gureje, O., . . . Williams, D. R. (2010). Childhood adversities and adult psychopathology in the WHO World Mental Health Surveys. </w:t>
      </w:r>
      <w:r w:rsidRPr="00C604ED">
        <w:rPr>
          <w:i/>
          <w:noProof/>
        </w:rPr>
        <w:t>Br J Psychiatry</w:t>
      </w:r>
      <w:r w:rsidRPr="00C604ED">
        <w:rPr>
          <w:noProof/>
        </w:rPr>
        <w:t>,</w:t>
      </w:r>
      <w:r w:rsidRPr="00C604ED">
        <w:rPr>
          <w:i/>
          <w:noProof/>
        </w:rPr>
        <w:t xml:space="preserve"> 197</w:t>
      </w:r>
      <w:r w:rsidRPr="00C604ED">
        <w:rPr>
          <w:noProof/>
        </w:rPr>
        <w:t xml:space="preserve">(5), 378-385. </w:t>
      </w:r>
      <w:hyperlink r:id="rId31" w:history="1">
        <w:r w:rsidRPr="00C604ED">
          <w:rPr>
            <w:rStyle w:val="Hyperlink"/>
            <w:noProof/>
          </w:rPr>
          <w:t>https://doi.org/10.1192/bjp.bp.110.080499</w:t>
        </w:r>
      </w:hyperlink>
      <w:r w:rsidRPr="00C604ED">
        <w:rPr>
          <w:noProof/>
        </w:rPr>
        <w:t xml:space="preserve"> </w:t>
      </w:r>
    </w:p>
    <w:p w14:paraId="119C449F" w14:textId="06A8F61F" w:rsidR="00C604ED" w:rsidRPr="00C604ED" w:rsidRDefault="00C604ED" w:rsidP="00C604ED">
      <w:pPr>
        <w:pStyle w:val="EndNoteBibliography"/>
        <w:ind w:left="720" w:hanging="720"/>
        <w:rPr>
          <w:noProof/>
        </w:rPr>
      </w:pPr>
      <w:r w:rsidRPr="00C604ED">
        <w:rPr>
          <w:noProof/>
        </w:rPr>
        <w:t xml:space="preserve">Kim, S. G., Weissman, D. G., Sheridan, M. A., &amp; McLaughlin, K. A. (2021). Child abuse and automatic emotion regulation in children and adolescents. </w:t>
      </w:r>
      <w:r w:rsidRPr="00C604ED">
        <w:rPr>
          <w:i/>
          <w:noProof/>
        </w:rPr>
        <w:t>Dev Psychopathol</w:t>
      </w:r>
      <w:r w:rsidRPr="00C604ED">
        <w:rPr>
          <w:noProof/>
        </w:rPr>
        <w:t xml:space="preserve">, 1-11. </w:t>
      </w:r>
      <w:hyperlink r:id="rId32" w:history="1">
        <w:r w:rsidRPr="00C604ED">
          <w:rPr>
            <w:rStyle w:val="Hyperlink"/>
            <w:noProof/>
          </w:rPr>
          <w:t>https://doi.org/10.1017/S0954579421000663</w:t>
        </w:r>
      </w:hyperlink>
      <w:r w:rsidRPr="00C604ED">
        <w:rPr>
          <w:noProof/>
        </w:rPr>
        <w:t xml:space="preserve"> </w:t>
      </w:r>
    </w:p>
    <w:p w14:paraId="39938E42" w14:textId="51259F9A" w:rsidR="00C604ED" w:rsidRPr="00C604ED" w:rsidRDefault="00C604ED" w:rsidP="00C604ED">
      <w:pPr>
        <w:pStyle w:val="EndNoteBibliography"/>
        <w:ind w:left="720" w:hanging="720"/>
        <w:rPr>
          <w:noProof/>
        </w:rPr>
      </w:pPr>
      <w:r w:rsidRPr="00C604ED">
        <w:rPr>
          <w:noProof/>
        </w:rPr>
        <w:t xml:space="preserve">Kirby, K. N., &amp; Petry, N. M. (2004). Heroin and cocaine abusers have higher discount rates for delayed rewards than alcoholics or non-drug-using controls. </w:t>
      </w:r>
      <w:r w:rsidRPr="00C604ED">
        <w:rPr>
          <w:i/>
          <w:noProof/>
        </w:rPr>
        <w:t>Addiction (Abingdon, England)</w:t>
      </w:r>
      <w:r w:rsidRPr="00C604ED">
        <w:rPr>
          <w:noProof/>
        </w:rPr>
        <w:t>,</w:t>
      </w:r>
      <w:r w:rsidRPr="00C604ED">
        <w:rPr>
          <w:i/>
          <w:noProof/>
        </w:rPr>
        <w:t xml:space="preserve"> 99</w:t>
      </w:r>
      <w:r w:rsidRPr="00C604ED">
        <w:rPr>
          <w:noProof/>
        </w:rPr>
        <w:t xml:space="preserve">(4), 461-471. </w:t>
      </w:r>
      <w:hyperlink r:id="rId33" w:history="1">
        <w:r w:rsidRPr="00C604ED">
          <w:rPr>
            <w:rStyle w:val="Hyperlink"/>
            <w:noProof/>
          </w:rPr>
          <w:t>https://doi.org/10.1111/j.1360-0443.2003.00669.x</w:t>
        </w:r>
      </w:hyperlink>
      <w:r w:rsidRPr="00C604ED">
        <w:rPr>
          <w:noProof/>
        </w:rPr>
        <w:t xml:space="preserve"> </w:t>
      </w:r>
    </w:p>
    <w:p w14:paraId="6A2A3F37" w14:textId="77777777" w:rsidR="00C604ED" w:rsidRPr="00C604ED" w:rsidRDefault="00C604ED" w:rsidP="00C604ED">
      <w:pPr>
        <w:pStyle w:val="EndNoteBibliography"/>
        <w:ind w:left="720" w:hanging="720"/>
        <w:rPr>
          <w:noProof/>
        </w:rPr>
      </w:pPr>
      <w:r w:rsidRPr="00C604ED">
        <w:rPr>
          <w:noProof/>
        </w:rPr>
        <w:t xml:space="preserve">Kovacs, M. Children Depression Inventory (CDI) manual. 1992. </w:t>
      </w:r>
      <w:r w:rsidRPr="00C604ED">
        <w:rPr>
          <w:i/>
          <w:noProof/>
        </w:rPr>
        <w:t>Toronto, Ontario: Multi-Health Systems</w:t>
      </w:r>
      <w:r w:rsidRPr="00C604ED">
        <w:rPr>
          <w:noProof/>
        </w:rPr>
        <w:t xml:space="preserve">. </w:t>
      </w:r>
    </w:p>
    <w:p w14:paraId="6C6B6967" w14:textId="3A99F511" w:rsidR="00C604ED" w:rsidRPr="00C604ED" w:rsidRDefault="00C604ED" w:rsidP="00C604ED">
      <w:pPr>
        <w:pStyle w:val="EndNoteBibliography"/>
        <w:ind w:left="720" w:hanging="720"/>
        <w:rPr>
          <w:noProof/>
        </w:rPr>
      </w:pPr>
      <w:r w:rsidRPr="00C604ED">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C604ED">
        <w:rPr>
          <w:i/>
          <w:noProof/>
        </w:rPr>
        <w:t>The Lancet. Psychiatry</w:t>
      </w:r>
      <w:r w:rsidRPr="00C604ED">
        <w:rPr>
          <w:noProof/>
        </w:rPr>
        <w:t>,</w:t>
      </w:r>
      <w:r w:rsidRPr="00C604ED">
        <w:rPr>
          <w:i/>
          <w:noProof/>
        </w:rPr>
        <w:t xml:space="preserve"> 6</w:t>
      </w:r>
      <w:r w:rsidRPr="00C604ED">
        <w:rPr>
          <w:noProof/>
        </w:rPr>
        <w:t xml:space="preserve">(3), 247-256. </w:t>
      </w:r>
      <w:hyperlink r:id="rId34" w:history="1">
        <w:r w:rsidRPr="00C604ED">
          <w:rPr>
            <w:rStyle w:val="Hyperlink"/>
            <w:noProof/>
          </w:rPr>
          <w:t>https://doi.org/10.1016/S2215-0366(19)30031-8</w:t>
        </w:r>
      </w:hyperlink>
      <w:r w:rsidRPr="00C604ED">
        <w:rPr>
          <w:noProof/>
        </w:rPr>
        <w:t xml:space="preserve"> </w:t>
      </w:r>
    </w:p>
    <w:p w14:paraId="714BE3D1" w14:textId="77777777" w:rsidR="00C604ED" w:rsidRPr="00C604ED" w:rsidRDefault="00C604ED" w:rsidP="00C604ED">
      <w:pPr>
        <w:pStyle w:val="EndNoteBibliography"/>
        <w:ind w:left="720" w:hanging="720"/>
        <w:rPr>
          <w:noProof/>
        </w:rPr>
      </w:pPr>
      <w:r w:rsidRPr="00C604ED">
        <w:rPr>
          <w:noProof/>
        </w:rPr>
        <w:t xml:space="preserve">Liu, X., Guo, C., Liu, L., Wang, A., Hu, L., Tang, M., Chai, F., Zhao, G., Yang, J., &amp; Sun, L. (1997). Reliability and validity of the Youth Self-Report (YSR) of Achenbach's Child Behavior Checklist (CBCL). </w:t>
      </w:r>
      <w:r w:rsidRPr="00C604ED">
        <w:rPr>
          <w:i/>
          <w:noProof/>
        </w:rPr>
        <w:t>Chinese Mental Health Journal</w:t>
      </w:r>
      <w:r w:rsidRPr="00C604ED">
        <w:rPr>
          <w:noProof/>
        </w:rPr>
        <w:t xml:space="preserve">. </w:t>
      </w:r>
    </w:p>
    <w:p w14:paraId="684E618C" w14:textId="46FEB37C" w:rsidR="00C604ED" w:rsidRPr="00C604ED" w:rsidRDefault="00C604ED" w:rsidP="00C604ED">
      <w:pPr>
        <w:pStyle w:val="EndNoteBibliography"/>
        <w:ind w:left="720" w:hanging="720"/>
        <w:rPr>
          <w:noProof/>
        </w:rPr>
      </w:pPr>
      <w:r w:rsidRPr="00C604ED">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C604ED">
        <w:rPr>
          <w:i/>
          <w:noProof/>
        </w:rPr>
        <w:t>Nature (London)</w:t>
      </w:r>
      <w:r w:rsidRPr="00C604ED">
        <w:rPr>
          <w:noProof/>
        </w:rPr>
        <w:t>,</w:t>
      </w:r>
      <w:r w:rsidRPr="00C604ED">
        <w:rPr>
          <w:i/>
          <w:noProof/>
        </w:rPr>
        <w:t xml:space="preserve"> 603</w:t>
      </w:r>
      <w:r w:rsidRPr="00C604ED">
        <w:rPr>
          <w:noProof/>
        </w:rPr>
        <w:t xml:space="preserve">(7902), 654-660. </w:t>
      </w:r>
      <w:hyperlink r:id="rId35" w:history="1">
        <w:r w:rsidRPr="00C604ED">
          <w:rPr>
            <w:rStyle w:val="Hyperlink"/>
            <w:noProof/>
          </w:rPr>
          <w:t>https://doi.org/10.1038/s41586-022-04492-9</w:t>
        </w:r>
      </w:hyperlink>
      <w:r w:rsidRPr="00C604ED">
        <w:rPr>
          <w:noProof/>
        </w:rPr>
        <w:t xml:space="preserve"> </w:t>
      </w:r>
    </w:p>
    <w:p w14:paraId="40AE9382" w14:textId="7ECD4FAC" w:rsidR="00C604ED" w:rsidRPr="00C604ED" w:rsidRDefault="00C604ED" w:rsidP="00C604ED">
      <w:pPr>
        <w:pStyle w:val="EndNoteBibliography"/>
        <w:ind w:left="720" w:hanging="720"/>
        <w:rPr>
          <w:noProof/>
        </w:rPr>
      </w:pPr>
      <w:r w:rsidRPr="00C604ED">
        <w:rPr>
          <w:noProof/>
        </w:rPr>
        <w:t xml:space="preserve">Marshall, W. A., &amp; Tanner, J. M. (1969). Variations in pattern of pubertal changes in girls. </w:t>
      </w:r>
      <w:r w:rsidRPr="00C604ED">
        <w:rPr>
          <w:i/>
          <w:noProof/>
        </w:rPr>
        <w:t>Arch Dis Child</w:t>
      </w:r>
      <w:r w:rsidRPr="00C604ED">
        <w:rPr>
          <w:noProof/>
        </w:rPr>
        <w:t>,</w:t>
      </w:r>
      <w:r w:rsidRPr="00C604ED">
        <w:rPr>
          <w:i/>
          <w:noProof/>
        </w:rPr>
        <w:t xml:space="preserve"> 44</w:t>
      </w:r>
      <w:r w:rsidRPr="00C604ED">
        <w:rPr>
          <w:noProof/>
        </w:rPr>
        <w:t xml:space="preserve">(235), 291-303. </w:t>
      </w:r>
      <w:hyperlink r:id="rId36" w:history="1">
        <w:r w:rsidRPr="00C604ED">
          <w:rPr>
            <w:rStyle w:val="Hyperlink"/>
            <w:noProof/>
          </w:rPr>
          <w:t>https://doi.org/10.1136/adc.44.235.291</w:t>
        </w:r>
      </w:hyperlink>
      <w:r w:rsidRPr="00C604ED">
        <w:rPr>
          <w:noProof/>
        </w:rPr>
        <w:t xml:space="preserve"> </w:t>
      </w:r>
    </w:p>
    <w:p w14:paraId="55D03092" w14:textId="5FE14E5E" w:rsidR="00C604ED" w:rsidRPr="00C604ED" w:rsidRDefault="00C604ED" w:rsidP="00C604ED">
      <w:pPr>
        <w:pStyle w:val="EndNoteBibliography"/>
        <w:ind w:left="720" w:hanging="720"/>
        <w:rPr>
          <w:noProof/>
        </w:rPr>
      </w:pPr>
      <w:r w:rsidRPr="00C604ED">
        <w:rPr>
          <w:noProof/>
        </w:rPr>
        <w:t xml:space="preserve">Marshall, W. A., &amp; Tanner, J. M. (1970). Variations in the pattern of pubertal changes in boys. </w:t>
      </w:r>
      <w:r w:rsidRPr="00C604ED">
        <w:rPr>
          <w:i/>
          <w:noProof/>
        </w:rPr>
        <w:t>Arch Dis Child</w:t>
      </w:r>
      <w:r w:rsidRPr="00C604ED">
        <w:rPr>
          <w:noProof/>
        </w:rPr>
        <w:t>,</w:t>
      </w:r>
      <w:r w:rsidRPr="00C604ED">
        <w:rPr>
          <w:i/>
          <w:noProof/>
        </w:rPr>
        <w:t xml:space="preserve"> 45</w:t>
      </w:r>
      <w:r w:rsidRPr="00C604ED">
        <w:rPr>
          <w:noProof/>
        </w:rPr>
        <w:t xml:space="preserve">(239), 13-23. </w:t>
      </w:r>
      <w:hyperlink r:id="rId37" w:history="1">
        <w:r w:rsidRPr="00C604ED">
          <w:rPr>
            <w:rStyle w:val="Hyperlink"/>
            <w:noProof/>
          </w:rPr>
          <w:t>https://doi.org/10.1136/adc.45.239.13</w:t>
        </w:r>
      </w:hyperlink>
      <w:r w:rsidRPr="00C604ED">
        <w:rPr>
          <w:noProof/>
        </w:rPr>
        <w:t xml:space="preserve"> </w:t>
      </w:r>
    </w:p>
    <w:p w14:paraId="02566B07" w14:textId="3E0C0716" w:rsidR="00C604ED" w:rsidRPr="00C604ED" w:rsidRDefault="00C604ED" w:rsidP="00C604ED">
      <w:pPr>
        <w:pStyle w:val="EndNoteBibliography"/>
        <w:ind w:left="720" w:hanging="720"/>
        <w:rPr>
          <w:noProof/>
        </w:rPr>
      </w:pPr>
      <w:r w:rsidRPr="00C604ED">
        <w:rPr>
          <w:noProof/>
        </w:rPr>
        <w:t xml:space="preserve">McLaughlin, K. A. (2016). Future Directions in Childhood Adversity and Youth Psychopathology. </w:t>
      </w:r>
      <w:r w:rsidRPr="00C604ED">
        <w:rPr>
          <w:i/>
          <w:noProof/>
        </w:rPr>
        <w:t>J Clin Child Adolesc Psychol</w:t>
      </w:r>
      <w:r w:rsidRPr="00C604ED">
        <w:rPr>
          <w:noProof/>
        </w:rPr>
        <w:t>,</w:t>
      </w:r>
      <w:r w:rsidRPr="00C604ED">
        <w:rPr>
          <w:i/>
          <w:noProof/>
        </w:rPr>
        <w:t xml:space="preserve"> 45</w:t>
      </w:r>
      <w:r w:rsidRPr="00C604ED">
        <w:rPr>
          <w:noProof/>
        </w:rPr>
        <w:t xml:space="preserve">(3), 361-382. </w:t>
      </w:r>
      <w:hyperlink r:id="rId38" w:history="1">
        <w:r w:rsidRPr="00C604ED">
          <w:rPr>
            <w:rStyle w:val="Hyperlink"/>
            <w:noProof/>
          </w:rPr>
          <w:t>https://doi.org/10.1080/15374416.2015.1110823</w:t>
        </w:r>
      </w:hyperlink>
      <w:r w:rsidRPr="00C604ED">
        <w:rPr>
          <w:noProof/>
        </w:rPr>
        <w:t xml:space="preserve"> </w:t>
      </w:r>
    </w:p>
    <w:p w14:paraId="2E5E7480" w14:textId="07B94F40" w:rsidR="00C604ED" w:rsidRPr="00C604ED" w:rsidRDefault="00C604ED" w:rsidP="00C604ED">
      <w:pPr>
        <w:pStyle w:val="EndNoteBibliography"/>
        <w:ind w:left="720" w:hanging="720"/>
        <w:rPr>
          <w:noProof/>
        </w:rPr>
      </w:pPr>
      <w:r w:rsidRPr="00C604ED">
        <w:rPr>
          <w:noProof/>
        </w:rPr>
        <w:t xml:space="preserve">McLaughlin, K. A., Colich, N. L., Rodman, A. M., &amp; Weissman, D. G. (2020). Mechanisms linking childhood trauma exposure and psychopathology: a transdiagnostic model of risk and resilience. </w:t>
      </w:r>
      <w:r w:rsidRPr="00C604ED">
        <w:rPr>
          <w:i/>
          <w:noProof/>
        </w:rPr>
        <w:t>BMC Med</w:t>
      </w:r>
      <w:r w:rsidRPr="00C604ED">
        <w:rPr>
          <w:noProof/>
        </w:rPr>
        <w:t>,</w:t>
      </w:r>
      <w:r w:rsidRPr="00C604ED">
        <w:rPr>
          <w:i/>
          <w:noProof/>
        </w:rPr>
        <w:t xml:space="preserve"> 18</w:t>
      </w:r>
      <w:r w:rsidRPr="00C604ED">
        <w:rPr>
          <w:noProof/>
        </w:rPr>
        <w:t xml:space="preserve">(1), 96. </w:t>
      </w:r>
      <w:hyperlink r:id="rId39" w:history="1">
        <w:r w:rsidRPr="00C604ED">
          <w:rPr>
            <w:rStyle w:val="Hyperlink"/>
            <w:noProof/>
          </w:rPr>
          <w:t>https://doi.org/10.1186/s12916-020-01561-6</w:t>
        </w:r>
      </w:hyperlink>
      <w:r w:rsidRPr="00C604ED">
        <w:rPr>
          <w:noProof/>
        </w:rPr>
        <w:t xml:space="preserve"> </w:t>
      </w:r>
    </w:p>
    <w:p w14:paraId="595CBFC5" w14:textId="21763BE1" w:rsidR="00C604ED" w:rsidRPr="00C604ED" w:rsidRDefault="00C604ED" w:rsidP="00C604ED">
      <w:pPr>
        <w:pStyle w:val="EndNoteBibliography"/>
        <w:ind w:left="720" w:hanging="720"/>
        <w:rPr>
          <w:noProof/>
        </w:rPr>
      </w:pPr>
      <w:r w:rsidRPr="00C604ED">
        <w:rPr>
          <w:noProof/>
        </w:rPr>
        <w:t xml:space="preserve">McLaughlin, K. A., DeCross, S. N., Jovanovic, T., &amp; Tottenham, N. (2019). Mechanisms linking childhood adversity with psychopathology: Learning as an intervention target. </w:t>
      </w:r>
      <w:r w:rsidRPr="00C604ED">
        <w:rPr>
          <w:i/>
          <w:noProof/>
        </w:rPr>
        <w:t>Behav Res Ther</w:t>
      </w:r>
      <w:r w:rsidRPr="00C604ED">
        <w:rPr>
          <w:noProof/>
        </w:rPr>
        <w:t>,</w:t>
      </w:r>
      <w:r w:rsidRPr="00C604ED">
        <w:rPr>
          <w:i/>
          <w:noProof/>
        </w:rPr>
        <w:t xml:space="preserve"> 118</w:t>
      </w:r>
      <w:r w:rsidRPr="00C604ED">
        <w:rPr>
          <w:noProof/>
        </w:rPr>
        <w:t xml:space="preserve">, 101-109. </w:t>
      </w:r>
      <w:hyperlink r:id="rId40" w:history="1">
        <w:r w:rsidRPr="00C604ED">
          <w:rPr>
            <w:rStyle w:val="Hyperlink"/>
            <w:noProof/>
          </w:rPr>
          <w:t>https://doi.org/10.1016/j.brat.2019.04.008</w:t>
        </w:r>
      </w:hyperlink>
      <w:r w:rsidRPr="00C604ED">
        <w:rPr>
          <w:noProof/>
        </w:rPr>
        <w:t xml:space="preserve"> </w:t>
      </w:r>
    </w:p>
    <w:p w14:paraId="7EE17C5E" w14:textId="2EE6791D" w:rsidR="00C604ED" w:rsidRPr="00C604ED" w:rsidRDefault="00C604ED" w:rsidP="00C604ED">
      <w:pPr>
        <w:pStyle w:val="EndNoteBibliography"/>
        <w:ind w:left="720" w:hanging="720"/>
        <w:rPr>
          <w:noProof/>
        </w:rPr>
      </w:pPr>
      <w:r w:rsidRPr="00C604ED">
        <w:rPr>
          <w:noProof/>
        </w:rPr>
        <w:t xml:space="preserve">McLaughlin, K. A., Greif Green, J., Gruber, M. J., Sampson, N. A., Zaslavsky, A. M., &amp; Kessler, R. C. (2012). Childhood adversities and first onset of psychiatric disorders in a national sample of US adolescents. </w:t>
      </w:r>
      <w:r w:rsidRPr="00C604ED">
        <w:rPr>
          <w:i/>
          <w:noProof/>
        </w:rPr>
        <w:t>Arch Gen Psychiatry</w:t>
      </w:r>
      <w:r w:rsidRPr="00C604ED">
        <w:rPr>
          <w:noProof/>
        </w:rPr>
        <w:t>,</w:t>
      </w:r>
      <w:r w:rsidRPr="00C604ED">
        <w:rPr>
          <w:i/>
          <w:noProof/>
        </w:rPr>
        <w:t xml:space="preserve"> 69</w:t>
      </w:r>
      <w:r w:rsidRPr="00C604ED">
        <w:rPr>
          <w:noProof/>
        </w:rPr>
        <w:t xml:space="preserve">(11), 1151-1160. </w:t>
      </w:r>
      <w:hyperlink r:id="rId41" w:history="1">
        <w:r w:rsidRPr="00C604ED">
          <w:rPr>
            <w:rStyle w:val="Hyperlink"/>
            <w:noProof/>
          </w:rPr>
          <w:t>https://doi.org/10.1001/archgenpsychiatry.2011.2277</w:t>
        </w:r>
      </w:hyperlink>
      <w:r w:rsidRPr="00C604ED">
        <w:rPr>
          <w:noProof/>
        </w:rPr>
        <w:t xml:space="preserve"> </w:t>
      </w:r>
    </w:p>
    <w:p w14:paraId="11FFE8B9" w14:textId="04FB6932" w:rsidR="00C604ED" w:rsidRPr="00C604ED" w:rsidRDefault="00C604ED" w:rsidP="00C604ED">
      <w:pPr>
        <w:pStyle w:val="EndNoteBibliography"/>
        <w:ind w:left="720" w:hanging="720"/>
        <w:rPr>
          <w:noProof/>
        </w:rPr>
      </w:pPr>
      <w:r w:rsidRPr="00C604ED">
        <w:rPr>
          <w:noProof/>
        </w:rPr>
        <w:lastRenderedPageBreak/>
        <w:t xml:space="preserve">McLaughlin, K. A., &amp; Sheridan, M. A. (2016). Beyond Cumulative Risk: A Dimensional Approach to Childhood Adversity. </w:t>
      </w:r>
      <w:r w:rsidRPr="00C604ED">
        <w:rPr>
          <w:i/>
          <w:noProof/>
        </w:rPr>
        <w:t>Curr Dir Psychol Sci</w:t>
      </w:r>
      <w:r w:rsidRPr="00C604ED">
        <w:rPr>
          <w:noProof/>
        </w:rPr>
        <w:t>,</w:t>
      </w:r>
      <w:r w:rsidRPr="00C604ED">
        <w:rPr>
          <w:i/>
          <w:noProof/>
        </w:rPr>
        <w:t xml:space="preserve"> 25</w:t>
      </w:r>
      <w:r w:rsidRPr="00C604ED">
        <w:rPr>
          <w:noProof/>
        </w:rPr>
        <w:t xml:space="preserve">(4), 239-245. </w:t>
      </w:r>
      <w:hyperlink r:id="rId42" w:history="1">
        <w:r w:rsidRPr="00C604ED">
          <w:rPr>
            <w:rStyle w:val="Hyperlink"/>
            <w:noProof/>
          </w:rPr>
          <w:t>https://doi.org/10.1177/0963721416655883</w:t>
        </w:r>
      </w:hyperlink>
      <w:r w:rsidRPr="00C604ED">
        <w:rPr>
          <w:noProof/>
        </w:rPr>
        <w:t xml:space="preserve"> </w:t>
      </w:r>
    </w:p>
    <w:p w14:paraId="0B95755D" w14:textId="46961900" w:rsidR="00C604ED" w:rsidRPr="00C604ED" w:rsidRDefault="00C604ED" w:rsidP="00C604ED">
      <w:pPr>
        <w:pStyle w:val="EndNoteBibliography"/>
        <w:ind w:left="720" w:hanging="720"/>
        <w:rPr>
          <w:noProof/>
        </w:rPr>
      </w:pPr>
      <w:r w:rsidRPr="00C604ED">
        <w:rPr>
          <w:noProof/>
        </w:rPr>
        <w:t xml:space="preserve">McLaughlin, K. A., Sheridan, M. A., Gold, A. L., Duys, A., Lambert, H. K., Peverill, M., Heleniak, C., Shechner, T., Wojcieszak, Z., &amp; Pine, D. S. (2016). Maltreatment Exposure, Brain Structure, and Fear Conditioning in Children and Adolescents. </w:t>
      </w:r>
      <w:r w:rsidRPr="00C604ED">
        <w:rPr>
          <w:i/>
          <w:noProof/>
        </w:rPr>
        <w:t>Neuropsychopharmacology (New York, N.Y.)</w:t>
      </w:r>
      <w:r w:rsidRPr="00C604ED">
        <w:rPr>
          <w:noProof/>
        </w:rPr>
        <w:t>,</w:t>
      </w:r>
      <w:r w:rsidRPr="00C604ED">
        <w:rPr>
          <w:i/>
          <w:noProof/>
        </w:rPr>
        <w:t xml:space="preserve"> 41</w:t>
      </w:r>
      <w:r w:rsidRPr="00C604ED">
        <w:rPr>
          <w:noProof/>
        </w:rPr>
        <w:t xml:space="preserve">(8), 1956-1964. </w:t>
      </w:r>
      <w:hyperlink r:id="rId43" w:history="1">
        <w:r w:rsidRPr="00C604ED">
          <w:rPr>
            <w:rStyle w:val="Hyperlink"/>
            <w:noProof/>
          </w:rPr>
          <w:t>https://doi.org/10.1038/npp.2015.365</w:t>
        </w:r>
      </w:hyperlink>
      <w:r w:rsidRPr="00C604ED">
        <w:rPr>
          <w:noProof/>
        </w:rPr>
        <w:t xml:space="preserve"> </w:t>
      </w:r>
    </w:p>
    <w:p w14:paraId="7BFD8F40" w14:textId="748A6C1F" w:rsidR="00C604ED" w:rsidRPr="00C604ED" w:rsidRDefault="00C604ED" w:rsidP="00C604ED">
      <w:pPr>
        <w:pStyle w:val="EndNoteBibliography"/>
        <w:ind w:left="720" w:hanging="720"/>
        <w:rPr>
          <w:noProof/>
        </w:rPr>
      </w:pPr>
      <w:r w:rsidRPr="00C604ED">
        <w:rPr>
          <w:noProof/>
        </w:rPr>
        <w:t xml:space="preserve">McLaughlin, K. A., Sheridan, M. A., &amp; Lambert, H. K. (2014). Childhood adversity and neural development: Deprivation and threat as distinct dimensions of early experience. </w:t>
      </w:r>
      <w:r w:rsidRPr="00C604ED">
        <w:rPr>
          <w:i/>
          <w:noProof/>
        </w:rPr>
        <w:t>Neuroscience &amp; Biobehavioral Reviews</w:t>
      </w:r>
      <w:r w:rsidRPr="00C604ED">
        <w:rPr>
          <w:noProof/>
        </w:rPr>
        <w:t>,</w:t>
      </w:r>
      <w:r w:rsidRPr="00C604ED">
        <w:rPr>
          <w:i/>
          <w:noProof/>
        </w:rPr>
        <w:t xml:space="preserve"> 47</w:t>
      </w:r>
      <w:r w:rsidRPr="00C604ED">
        <w:rPr>
          <w:noProof/>
        </w:rPr>
        <w:t xml:space="preserve">, 578-591. </w:t>
      </w:r>
      <w:hyperlink r:id="rId44" w:history="1">
        <w:r w:rsidRPr="00C604ED">
          <w:rPr>
            <w:rStyle w:val="Hyperlink"/>
            <w:noProof/>
          </w:rPr>
          <w:t>https://doi.org/https://doi.org/10.1016/j.neubiorev.2014.10.012</w:t>
        </w:r>
      </w:hyperlink>
      <w:r w:rsidRPr="00C604ED">
        <w:rPr>
          <w:noProof/>
        </w:rPr>
        <w:t xml:space="preserve"> </w:t>
      </w:r>
    </w:p>
    <w:p w14:paraId="1624D56D" w14:textId="44E58264" w:rsidR="00C604ED" w:rsidRPr="00C604ED" w:rsidRDefault="00C604ED" w:rsidP="00C604ED">
      <w:pPr>
        <w:pStyle w:val="EndNoteBibliography"/>
        <w:ind w:left="720" w:hanging="720"/>
        <w:rPr>
          <w:noProof/>
        </w:rPr>
      </w:pPr>
      <w:r w:rsidRPr="00C604ED">
        <w:rPr>
          <w:noProof/>
        </w:rPr>
        <w:t xml:space="preserve">McLaughlin, K. A., Weissman, D., &amp; Bitran, D. (2019). Childhood Adversity and Neural Development: A Systematic Review. </w:t>
      </w:r>
      <w:r w:rsidRPr="00C604ED">
        <w:rPr>
          <w:i/>
          <w:noProof/>
        </w:rPr>
        <w:t>Annu Rev Dev Psychol</w:t>
      </w:r>
      <w:r w:rsidRPr="00C604ED">
        <w:rPr>
          <w:noProof/>
        </w:rPr>
        <w:t>,</w:t>
      </w:r>
      <w:r w:rsidRPr="00C604ED">
        <w:rPr>
          <w:i/>
          <w:noProof/>
        </w:rPr>
        <w:t xml:space="preserve"> 1</w:t>
      </w:r>
      <w:r w:rsidRPr="00C604ED">
        <w:rPr>
          <w:noProof/>
        </w:rPr>
        <w:t xml:space="preserve">, 277-312. </w:t>
      </w:r>
      <w:hyperlink r:id="rId45" w:history="1">
        <w:r w:rsidRPr="00C604ED">
          <w:rPr>
            <w:rStyle w:val="Hyperlink"/>
            <w:noProof/>
          </w:rPr>
          <w:t>https://doi.org/10.1146/annurev-devpsych-121318-084950</w:t>
        </w:r>
      </w:hyperlink>
      <w:r w:rsidRPr="00C604ED">
        <w:rPr>
          <w:noProof/>
        </w:rPr>
        <w:t xml:space="preserve"> </w:t>
      </w:r>
    </w:p>
    <w:p w14:paraId="39FEBE76" w14:textId="11AAC722" w:rsidR="00C604ED" w:rsidRPr="00C604ED" w:rsidRDefault="00C604ED" w:rsidP="00C604ED">
      <w:pPr>
        <w:pStyle w:val="EndNoteBibliography"/>
        <w:ind w:left="720" w:hanging="720"/>
        <w:rPr>
          <w:noProof/>
        </w:rPr>
      </w:pPr>
      <w:r w:rsidRPr="00C604ED">
        <w:rPr>
          <w:noProof/>
        </w:rPr>
        <w:t xml:space="preserve">McNeilly, E. A., Peverill, M., Jung, J., &amp; McLaughlin, K. A. (2021). Executive function as a mechanism linking socioeconomic status to internalizing and externalizing psychopathology in children and adolescents. </w:t>
      </w:r>
      <w:r w:rsidRPr="00C604ED">
        <w:rPr>
          <w:i/>
          <w:noProof/>
        </w:rPr>
        <w:t>Journal of adolescence (London, England.)</w:t>
      </w:r>
      <w:r w:rsidRPr="00C604ED">
        <w:rPr>
          <w:noProof/>
        </w:rPr>
        <w:t>,</w:t>
      </w:r>
      <w:r w:rsidRPr="00C604ED">
        <w:rPr>
          <w:i/>
          <w:noProof/>
        </w:rPr>
        <w:t xml:space="preserve"> 89</w:t>
      </w:r>
      <w:r w:rsidRPr="00C604ED">
        <w:rPr>
          <w:noProof/>
        </w:rPr>
        <w:t xml:space="preserve">, 149-160. </w:t>
      </w:r>
      <w:hyperlink r:id="rId46" w:history="1">
        <w:r w:rsidRPr="00C604ED">
          <w:rPr>
            <w:rStyle w:val="Hyperlink"/>
            <w:noProof/>
          </w:rPr>
          <w:t>https://doi.org/10.1016/j.adolescence.2021.04.010</w:t>
        </w:r>
      </w:hyperlink>
      <w:r w:rsidRPr="00C604ED">
        <w:rPr>
          <w:noProof/>
        </w:rPr>
        <w:t xml:space="preserve"> </w:t>
      </w:r>
    </w:p>
    <w:p w14:paraId="54E82D4A" w14:textId="208EF1AC" w:rsidR="00C604ED" w:rsidRPr="00C604ED" w:rsidRDefault="00C604ED" w:rsidP="00C604ED">
      <w:pPr>
        <w:pStyle w:val="EndNoteBibliography"/>
        <w:ind w:left="720" w:hanging="720"/>
        <w:rPr>
          <w:noProof/>
        </w:rPr>
      </w:pPr>
      <w:r w:rsidRPr="00C604ED">
        <w:rPr>
          <w:noProof/>
        </w:rPr>
        <w:t xml:space="preserve">Mehta, M. A., Gore-Langton, E., Golembo, N., Colvert, E., Williams, S. C. R., &amp; Sonuga-Barke, E. (2010). Hyporesponsive Reward Anticipation in the Basal Ganglia following Severe Institutional Deprivation Early in Life. </w:t>
      </w:r>
      <w:r w:rsidRPr="00C604ED">
        <w:rPr>
          <w:i/>
          <w:noProof/>
        </w:rPr>
        <w:t>Journal of cognitive neuroscience</w:t>
      </w:r>
      <w:r w:rsidRPr="00C604ED">
        <w:rPr>
          <w:noProof/>
        </w:rPr>
        <w:t>,</w:t>
      </w:r>
      <w:r w:rsidRPr="00C604ED">
        <w:rPr>
          <w:i/>
          <w:noProof/>
        </w:rPr>
        <w:t xml:space="preserve"> 22</w:t>
      </w:r>
      <w:r w:rsidRPr="00C604ED">
        <w:rPr>
          <w:noProof/>
        </w:rPr>
        <w:t xml:space="preserve">(10), 2316-2325. </w:t>
      </w:r>
      <w:hyperlink r:id="rId47" w:history="1">
        <w:r w:rsidRPr="00C604ED">
          <w:rPr>
            <w:rStyle w:val="Hyperlink"/>
            <w:noProof/>
          </w:rPr>
          <w:t>https://doi.org/10.1162/jocn.2009.21394</w:t>
        </w:r>
      </w:hyperlink>
      <w:r w:rsidRPr="00C604ED">
        <w:rPr>
          <w:noProof/>
        </w:rPr>
        <w:t xml:space="preserve"> </w:t>
      </w:r>
    </w:p>
    <w:p w14:paraId="6A42AF18" w14:textId="2A61DC9D" w:rsidR="00C604ED" w:rsidRPr="00C604ED" w:rsidRDefault="00C604ED" w:rsidP="00C604ED">
      <w:pPr>
        <w:pStyle w:val="EndNoteBibliography"/>
        <w:ind w:left="720" w:hanging="720"/>
        <w:rPr>
          <w:noProof/>
        </w:rPr>
      </w:pPr>
      <w:r w:rsidRPr="00C604ED">
        <w:rPr>
          <w:noProof/>
        </w:rPr>
        <w:t xml:space="preserve">Miller, A. B., Machlin, L., McLaughlin, K. A., &amp; Sheridan, M. A. (2021). Deprivation and psychopathology in the Fragile Families Study: A 15-year longitudinal investigation. </w:t>
      </w:r>
      <w:r w:rsidRPr="00C604ED">
        <w:rPr>
          <w:i/>
          <w:noProof/>
        </w:rPr>
        <w:t>J Child Psychol Psychiatry</w:t>
      </w:r>
      <w:r w:rsidRPr="00C604ED">
        <w:rPr>
          <w:noProof/>
        </w:rPr>
        <w:t>,</w:t>
      </w:r>
      <w:r w:rsidRPr="00C604ED">
        <w:rPr>
          <w:i/>
          <w:noProof/>
        </w:rPr>
        <w:t xml:space="preserve"> 62</w:t>
      </w:r>
      <w:r w:rsidRPr="00C604ED">
        <w:rPr>
          <w:noProof/>
        </w:rPr>
        <w:t xml:space="preserve">(4), 382-391. </w:t>
      </w:r>
      <w:hyperlink r:id="rId48" w:history="1">
        <w:r w:rsidRPr="00C604ED">
          <w:rPr>
            <w:rStyle w:val="Hyperlink"/>
            <w:noProof/>
          </w:rPr>
          <w:t>https://doi.org/10.1111/jcpp.13260</w:t>
        </w:r>
      </w:hyperlink>
      <w:r w:rsidRPr="00C604ED">
        <w:rPr>
          <w:noProof/>
        </w:rPr>
        <w:t xml:space="preserve"> </w:t>
      </w:r>
    </w:p>
    <w:p w14:paraId="64E35EDF" w14:textId="27295B3E" w:rsidR="00C604ED" w:rsidRPr="00C604ED" w:rsidRDefault="00C604ED" w:rsidP="00C604ED">
      <w:pPr>
        <w:pStyle w:val="EndNoteBibliography"/>
        <w:ind w:left="720" w:hanging="720"/>
        <w:rPr>
          <w:noProof/>
        </w:rPr>
      </w:pPr>
      <w:r w:rsidRPr="00C604ED">
        <w:rPr>
          <w:noProof/>
        </w:rPr>
        <w:t xml:space="preserve">Miller, A. B., Sheridan, M. A., Hanson, J. L., McLaughlin, K. A., Bates, J. E., Lansford, J. E., Pettit, G. S., &amp; Dodge, K. A. (2018). Dimensions of deprivation and threat, psychopathology, and potential mediators: A multi-year longitudinal analysis. </w:t>
      </w:r>
      <w:r w:rsidRPr="00C604ED">
        <w:rPr>
          <w:i/>
          <w:noProof/>
        </w:rPr>
        <w:t>J Abnorm Psychol</w:t>
      </w:r>
      <w:r w:rsidRPr="00C604ED">
        <w:rPr>
          <w:noProof/>
        </w:rPr>
        <w:t>,</w:t>
      </w:r>
      <w:r w:rsidRPr="00C604ED">
        <w:rPr>
          <w:i/>
          <w:noProof/>
        </w:rPr>
        <w:t xml:space="preserve"> 127</w:t>
      </w:r>
      <w:r w:rsidRPr="00C604ED">
        <w:rPr>
          <w:noProof/>
        </w:rPr>
        <w:t xml:space="preserve">(2), 160-170. </w:t>
      </w:r>
      <w:hyperlink r:id="rId49" w:history="1">
        <w:r w:rsidRPr="00C604ED">
          <w:rPr>
            <w:rStyle w:val="Hyperlink"/>
            <w:noProof/>
          </w:rPr>
          <w:t>https://doi.org/10.1037/abn0000331</w:t>
        </w:r>
      </w:hyperlink>
      <w:r w:rsidRPr="00C604ED">
        <w:rPr>
          <w:noProof/>
        </w:rPr>
        <w:t xml:space="preserve"> </w:t>
      </w:r>
    </w:p>
    <w:p w14:paraId="3B28AF9A" w14:textId="77777777" w:rsidR="00C604ED" w:rsidRPr="00C604ED" w:rsidRDefault="00C604ED" w:rsidP="00C604ED">
      <w:pPr>
        <w:pStyle w:val="EndNoteBibliography"/>
        <w:ind w:left="720" w:hanging="720"/>
        <w:rPr>
          <w:noProof/>
        </w:rPr>
      </w:pPr>
      <w:r w:rsidRPr="00C604ED">
        <w:rPr>
          <w:noProof/>
        </w:rPr>
        <w:t xml:space="preserve">Mott, F. L. (2004). The utility of the HOME-SF scale for child development research in a large national longitudinal survey: the National Longitudinal Survey of Youth 1979 cohort. </w:t>
      </w:r>
      <w:r w:rsidRPr="00C604ED">
        <w:rPr>
          <w:i/>
          <w:noProof/>
        </w:rPr>
        <w:t>Parenting</w:t>
      </w:r>
      <w:r w:rsidRPr="00C604ED">
        <w:rPr>
          <w:noProof/>
        </w:rPr>
        <w:t>,</w:t>
      </w:r>
      <w:r w:rsidRPr="00C604ED">
        <w:rPr>
          <w:i/>
          <w:noProof/>
        </w:rPr>
        <w:t xml:space="preserve"> 4</w:t>
      </w:r>
      <w:r w:rsidRPr="00C604ED">
        <w:rPr>
          <w:noProof/>
        </w:rPr>
        <w:t xml:space="preserve">(2-3), 259-270. </w:t>
      </w:r>
    </w:p>
    <w:p w14:paraId="68C748C9" w14:textId="4FC425F0" w:rsidR="00C604ED" w:rsidRPr="00C604ED" w:rsidRDefault="00C604ED" w:rsidP="00C604ED">
      <w:pPr>
        <w:pStyle w:val="EndNoteBibliography"/>
        <w:ind w:left="720" w:hanging="720"/>
        <w:rPr>
          <w:noProof/>
        </w:rPr>
      </w:pPr>
      <w:r w:rsidRPr="00C604ED">
        <w:rPr>
          <w:noProof/>
        </w:rPr>
        <w:t xml:space="preserve">Mueller, S. C., Maheu, F. S., Dozier, M., Peloso, E., Mandell, D., Leibenluft, E., Pine, D. S., &amp; Ernst, M. (2010). Early-life stress is associated with impairment in cognitive control in adolescence: An fMRI study. </w:t>
      </w:r>
      <w:r w:rsidRPr="00C604ED">
        <w:rPr>
          <w:i/>
          <w:noProof/>
        </w:rPr>
        <w:t>Neuropsychologia</w:t>
      </w:r>
      <w:r w:rsidRPr="00C604ED">
        <w:rPr>
          <w:noProof/>
        </w:rPr>
        <w:t>,</w:t>
      </w:r>
      <w:r w:rsidRPr="00C604ED">
        <w:rPr>
          <w:i/>
          <w:noProof/>
        </w:rPr>
        <w:t xml:space="preserve"> 48</w:t>
      </w:r>
      <w:r w:rsidRPr="00C604ED">
        <w:rPr>
          <w:noProof/>
        </w:rPr>
        <w:t xml:space="preserve">(10), 3037-3044. </w:t>
      </w:r>
      <w:hyperlink r:id="rId50" w:history="1">
        <w:r w:rsidRPr="00C604ED">
          <w:rPr>
            <w:rStyle w:val="Hyperlink"/>
            <w:noProof/>
          </w:rPr>
          <w:t>https://doi.org/10.1016/j.neuropsychologia.2010.06.013</w:t>
        </w:r>
      </w:hyperlink>
      <w:r w:rsidRPr="00C604ED">
        <w:rPr>
          <w:noProof/>
        </w:rPr>
        <w:t xml:space="preserve"> </w:t>
      </w:r>
    </w:p>
    <w:p w14:paraId="7FCBE61E" w14:textId="77777777" w:rsidR="00C604ED" w:rsidRPr="00C604ED" w:rsidRDefault="00C604ED" w:rsidP="00C604ED">
      <w:pPr>
        <w:pStyle w:val="EndNoteBibliography"/>
        <w:ind w:left="720" w:hanging="720"/>
        <w:rPr>
          <w:noProof/>
        </w:rPr>
      </w:pPr>
      <w:r w:rsidRPr="00C604ED">
        <w:rPr>
          <w:noProof/>
        </w:rPr>
        <w:t xml:space="preserve">Muthén, L. K., &amp; Muthén, B. (2017). </w:t>
      </w:r>
      <w:r w:rsidRPr="00C604ED">
        <w:rPr>
          <w:i/>
          <w:noProof/>
        </w:rPr>
        <w:t>Mplus user's guide: Statistical analysis with latent variables, user's guide</w:t>
      </w:r>
      <w:r w:rsidRPr="00C604ED">
        <w:rPr>
          <w:noProof/>
        </w:rPr>
        <w:t xml:space="preserve">. Muthén &amp; Muthén. </w:t>
      </w:r>
    </w:p>
    <w:p w14:paraId="03B87F7F" w14:textId="471F0846" w:rsidR="00C604ED" w:rsidRPr="00C604ED" w:rsidRDefault="00C604ED" w:rsidP="00C604ED">
      <w:pPr>
        <w:pStyle w:val="EndNoteBibliography"/>
        <w:ind w:left="720" w:hanging="720"/>
        <w:rPr>
          <w:noProof/>
        </w:rPr>
      </w:pPr>
      <w:r w:rsidRPr="00C604ED">
        <w:rPr>
          <w:noProof/>
        </w:rPr>
        <w:t xml:space="preserve">Nusslock, R., &amp; Alloy, L. B. (2017). Reward processing and mood-related symptoms: An RDoC and translational neuroscience perspective. </w:t>
      </w:r>
      <w:r w:rsidRPr="00C604ED">
        <w:rPr>
          <w:i/>
          <w:noProof/>
        </w:rPr>
        <w:t>J Affect Disord</w:t>
      </w:r>
      <w:r w:rsidRPr="00C604ED">
        <w:rPr>
          <w:noProof/>
        </w:rPr>
        <w:t>,</w:t>
      </w:r>
      <w:r w:rsidRPr="00C604ED">
        <w:rPr>
          <w:i/>
          <w:noProof/>
        </w:rPr>
        <w:t xml:space="preserve"> 216</w:t>
      </w:r>
      <w:r w:rsidRPr="00C604ED">
        <w:rPr>
          <w:noProof/>
        </w:rPr>
        <w:t xml:space="preserve">, 3-16. </w:t>
      </w:r>
      <w:hyperlink r:id="rId51" w:history="1">
        <w:r w:rsidRPr="00C604ED">
          <w:rPr>
            <w:rStyle w:val="Hyperlink"/>
            <w:noProof/>
          </w:rPr>
          <w:t>https://doi.org/10.1016/j.jad.2017.02.001</w:t>
        </w:r>
      </w:hyperlink>
      <w:r w:rsidRPr="00C604ED">
        <w:rPr>
          <w:noProof/>
        </w:rPr>
        <w:t xml:space="preserve"> </w:t>
      </w:r>
    </w:p>
    <w:p w14:paraId="3C460C10" w14:textId="524E1B5E" w:rsidR="00C604ED" w:rsidRPr="00C604ED" w:rsidRDefault="00C604ED" w:rsidP="00C604ED">
      <w:pPr>
        <w:pStyle w:val="EndNoteBibliography"/>
        <w:ind w:left="720" w:hanging="720"/>
        <w:rPr>
          <w:noProof/>
        </w:rPr>
      </w:pPr>
      <w:r w:rsidRPr="00C604ED">
        <w:rPr>
          <w:noProof/>
        </w:rPr>
        <w:lastRenderedPageBreak/>
        <w:t xml:space="preserve">Oltean, L.-E., Șoflău, R., Miu, A. C., &amp; Szentágotai-Tătar, A. (2022). Childhood adversity and impaired reward processing: A meta-analysis. </w:t>
      </w:r>
      <w:r w:rsidRPr="00C604ED">
        <w:rPr>
          <w:i/>
          <w:noProof/>
        </w:rPr>
        <w:t>Child abuse &amp; neglect</w:t>
      </w:r>
      <w:r w:rsidRPr="00C604ED">
        <w:rPr>
          <w:noProof/>
        </w:rPr>
        <w:t xml:space="preserve">, 105596-105596. </w:t>
      </w:r>
      <w:hyperlink r:id="rId52" w:history="1">
        <w:r w:rsidRPr="00C604ED">
          <w:rPr>
            <w:rStyle w:val="Hyperlink"/>
            <w:noProof/>
          </w:rPr>
          <w:t>https://doi.org/10.1016/j.chiabu.2022.105596</w:t>
        </w:r>
      </w:hyperlink>
      <w:r w:rsidRPr="00C604ED">
        <w:rPr>
          <w:noProof/>
        </w:rPr>
        <w:t xml:space="preserve"> </w:t>
      </w:r>
    </w:p>
    <w:p w14:paraId="2D86CE24" w14:textId="77777777" w:rsidR="00C604ED" w:rsidRPr="00C604ED" w:rsidRDefault="00C604ED" w:rsidP="00C604ED">
      <w:pPr>
        <w:pStyle w:val="EndNoteBibliography"/>
        <w:ind w:left="720" w:hanging="720"/>
        <w:rPr>
          <w:noProof/>
        </w:rPr>
      </w:pPr>
      <w:r w:rsidRPr="00C604ED">
        <w:rPr>
          <w:noProof/>
        </w:rPr>
        <w:t xml:space="preserve">Ono, M., &amp; Miller, H. P. (1969). </w:t>
      </w:r>
      <w:r w:rsidRPr="00C604ED">
        <w:rPr>
          <w:i/>
          <w:noProof/>
        </w:rPr>
        <w:t>Income nonresponses in the current population survey</w:t>
      </w:r>
      <w:r w:rsidRPr="00C604ED">
        <w:rPr>
          <w:noProof/>
        </w:rPr>
        <w:t xml:space="preserve">. US Bureau of the Census. </w:t>
      </w:r>
    </w:p>
    <w:p w14:paraId="6BF03056" w14:textId="5324F8F0" w:rsidR="00C604ED" w:rsidRPr="00C604ED" w:rsidRDefault="00C604ED" w:rsidP="00C604ED">
      <w:pPr>
        <w:pStyle w:val="EndNoteBibliography"/>
        <w:ind w:left="720" w:hanging="720"/>
        <w:rPr>
          <w:noProof/>
        </w:rPr>
      </w:pPr>
      <w:r w:rsidRPr="00C604ED">
        <w:rPr>
          <w:noProof/>
        </w:rPr>
        <w:t xml:space="preserve">Pollak, S. D., Cicchetti, D., Hornung, K., &amp; Reed, A. (2000). Recognizing Emotion in Faces: Developmental Effects of Child Abuse and Neglect. </w:t>
      </w:r>
      <w:r w:rsidRPr="00C604ED">
        <w:rPr>
          <w:i/>
          <w:noProof/>
        </w:rPr>
        <w:t>Developmental psychology</w:t>
      </w:r>
      <w:r w:rsidRPr="00C604ED">
        <w:rPr>
          <w:noProof/>
        </w:rPr>
        <w:t>,</w:t>
      </w:r>
      <w:r w:rsidRPr="00C604ED">
        <w:rPr>
          <w:i/>
          <w:noProof/>
        </w:rPr>
        <w:t xml:space="preserve"> 36</w:t>
      </w:r>
      <w:r w:rsidRPr="00C604ED">
        <w:rPr>
          <w:noProof/>
        </w:rPr>
        <w:t xml:space="preserve">(5), 679-688. </w:t>
      </w:r>
      <w:hyperlink r:id="rId53" w:history="1">
        <w:r w:rsidRPr="00C604ED">
          <w:rPr>
            <w:rStyle w:val="Hyperlink"/>
            <w:noProof/>
          </w:rPr>
          <w:t>https://doi.org/10.1037/0012-1649.36.5.679</w:t>
        </w:r>
      </w:hyperlink>
      <w:r w:rsidRPr="00C604ED">
        <w:rPr>
          <w:noProof/>
        </w:rPr>
        <w:t xml:space="preserve"> </w:t>
      </w:r>
    </w:p>
    <w:p w14:paraId="112995FE" w14:textId="77777777" w:rsidR="00C604ED" w:rsidRPr="00C604ED" w:rsidRDefault="00C604ED" w:rsidP="00C604ED">
      <w:pPr>
        <w:pStyle w:val="EndNoteBibliography"/>
        <w:ind w:left="720" w:hanging="720"/>
        <w:rPr>
          <w:noProof/>
        </w:rPr>
      </w:pPr>
      <w:r w:rsidRPr="00C604ED">
        <w:rPr>
          <w:noProof/>
        </w:rPr>
        <w:t xml:space="preserve">Raviv, A., Raviv, A., Shimoni, H., Fox, N. A., &amp; Leavitt, L. A. (1999). Children's self-report of exposure to violence and its relation to emotional distress. </w:t>
      </w:r>
      <w:r w:rsidRPr="00C604ED">
        <w:rPr>
          <w:i/>
          <w:noProof/>
        </w:rPr>
        <w:t>Journal of Applied Developmental Psychology</w:t>
      </w:r>
      <w:r w:rsidRPr="00C604ED">
        <w:rPr>
          <w:noProof/>
        </w:rPr>
        <w:t>,</w:t>
      </w:r>
      <w:r w:rsidRPr="00C604ED">
        <w:rPr>
          <w:i/>
          <w:noProof/>
        </w:rPr>
        <w:t xml:space="preserve"> 20</w:t>
      </w:r>
      <w:r w:rsidRPr="00C604ED">
        <w:rPr>
          <w:noProof/>
        </w:rPr>
        <w:t xml:space="preserve">(2), 337-353. </w:t>
      </w:r>
    </w:p>
    <w:p w14:paraId="1C1D586F" w14:textId="44115C81" w:rsidR="00C604ED" w:rsidRPr="00C604ED" w:rsidRDefault="00C604ED" w:rsidP="00C604ED">
      <w:pPr>
        <w:pStyle w:val="EndNoteBibliography"/>
        <w:ind w:left="720" w:hanging="720"/>
        <w:rPr>
          <w:noProof/>
        </w:rPr>
      </w:pPr>
      <w:r w:rsidRPr="00C604ED">
        <w:rPr>
          <w:noProof/>
        </w:rPr>
        <w:t xml:space="preserve">Shackman, J. E., Shackman, A. J., &amp; Pollak, S. D. (2007). Physical abuse amplifies attention to threat and increases anxiety in children. </w:t>
      </w:r>
      <w:r w:rsidRPr="00C604ED">
        <w:rPr>
          <w:i/>
          <w:noProof/>
        </w:rPr>
        <w:t>Emotion</w:t>
      </w:r>
      <w:r w:rsidRPr="00C604ED">
        <w:rPr>
          <w:noProof/>
        </w:rPr>
        <w:t>,</w:t>
      </w:r>
      <w:r w:rsidRPr="00C604ED">
        <w:rPr>
          <w:i/>
          <w:noProof/>
        </w:rPr>
        <w:t xml:space="preserve"> 7</w:t>
      </w:r>
      <w:r w:rsidRPr="00C604ED">
        <w:rPr>
          <w:noProof/>
        </w:rPr>
        <w:t xml:space="preserve">(4), 838-852. </w:t>
      </w:r>
      <w:hyperlink r:id="rId54" w:history="1">
        <w:r w:rsidRPr="00C604ED">
          <w:rPr>
            <w:rStyle w:val="Hyperlink"/>
            <w:noProof/>
          </w:rPr>
          <w:t>https://doi.org/10.1037/1528-3542.7.4.838</w:t>
        </w:r>
      </w:hyperlink>
      <w:r w:rsidRPr="00C604ED">
        <w:rPr>
          <w:noProof/>
        </w:rPr>
        <w:t xml:space="preserve"> </w:t>
      </w:r>
    </w:p>
    <w:p w14:paraId="016382C7" w14:textId="3E42866A" w:rsidR="00C604ED" w:rsidRPr="00C604ED" w:rsidRDefault="00C604ED" w:rsidP="00C604ED">
      <w:pPr>
        <w:pStyle w:val="EndNoteBibliography"/>
        <w:ind w:left="720" w:hanging="720"/>
        <w:rPr>
          <w:noProof/>
        </w:rPr>
      </w:pPr>
      <w:r w:rsidRPr="00C604ED">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C604ED">
        <w:rPr>
          <w:i/>
          <w:noProof/>
        </w:rPr>
        <w:t>Depress Anxiety</w:t>
      </w:r>
      <w:r w:rsidRPr="00C604ED">
        <w:rPr>
          <w:noProof/>
        </w:rPr>
        <w:t>,</w:t>
      </w:r>
      <w:r w:rsidRPr="00C604ED">
        <w:rPr>
          <w:i/>
          <w:noProof/>
        </w:rPr>
        <w:t xml:space="preserve"> 32</w:t>
      </w:r>
      <w:r w:rsidRPr="00C604ED">
        <w:rPr>
          <w:noProof/>
        </w:rPr>
        <w:t xml:space="preserve">(4), 277-288. </w:t>
      </w:r>
      <w:hyperlink r:id="rId55" w:history="1">
        <w:r w:rsidRPr="00C604ED">
          <w:rPr>
            <w:rStyle w:val="Hyperlink"/>
            <w:noProof/>
          </w:rPr>
          <w:t>https://doi.org/10.1002/da.22318</w:t>
        </w:r>
      </w:hyperlink>
      <w:r w:rsidRPr="00C604ED">
        <w:rPr>
          <w:noProof/>
        </w:rPr>
        <w:t xml:space="preserve"> </w:t>
      </w:r>
    </w:p>
    <w:p w14:paraId="4D8B58A8" w14:textId="221D566E" w:rsidR="00C604ED" w:rsidRPr="00C604ED" w:rsidRDefault="00C604ED" w:rsidP="00C604ED">
      <w:pPr>
        <w:pStyle w:val="EndNoteBibliography"/>
        <w:ind w:left="720" w:hanging="720"/>
        <w:rPr>
          <w:noProof/>
        </w:rPr>
      </w:pPr>
      <w:r w:rsidRPr="00C604ED">
        <w:rPr>
          <w:noProof/>
        </w:rPr>
        <w:t xml:space="preserve">Sheridan, M. A., &amp; McLaughlin, K. A. (2014). Dimensions of early experience and neural development: deprivation and threat. </w:t>
      </w:r>
      <w:r w:rsidRPr="00C604ED">
        <w:rPr>
          <w:i/>
          <w:noProof/>
        </w:rPr>
        <w:t>Trends Cogn Sci</w:t>
      </w:r>
      <w:r w:rsidRPr="00C604ED">
        <w:rPr>
          <w:noProof/>
        </w:rPr>
        <w:t>,</w:t>
      </w:r>
      <w:r w:rsidRPr="00C604ED">
        <w:rPr>
          <w:i/>
          <w:noProof/>
        </w:rPr>
        <w:t xml:space="preserve"> 18</w:t>
      </w:r>
      <w:r w:rsidRPr="00C604ED">
        <w:rPr>
          <w:noProof/>
        </w:rPr>
        <w:t xml:space="preserve">(11), 580-585. </w:t>
      </w:r>
      <w:hyperlink r:id="rId56" w:history="1">
        <w:r w:rsidRPr="00C604ED">
          <w:rPr>
            <w:rStyle w:val="Hyperlink"/>
            <w:noProof/>
          </w:rPr>
          <w:t>https://doi.org/10.1016/j.tics.2014.09.001</w:t>
        </w:r>
      </w:hyperlink>
      <w:r w:rsidRPr="00C604ED">
        <w:rPr>
          <w:noProof/>
        </w:rPr>
        <w:t xml:space="preserve"> </w:t>
      </w:r>
    </w:p>
    <w:p w14:paraId="22F3A1E9" w14:textId="1AB8E5BC" w:rsidR="00C604ED" w:rsidRPr="00C604ED" w:rsidRDefault="00C604ED" w:rsidP="00C604ED">
      <w:pPr>
        <w:pStyle w:val="EndNoteBibliography"/>
        <w:ind w:left="720" w:hanging="720"/>
        <w:rPr>
          <w:noProof/>
        </w:rPr>
      </w:pPr>
      <w:r w:rsidRPr="00C604ED">
        <w:rPr>
          <w:noProof/>
        </w:rPr>
        <w:t xml:space="preserve">Sheridan, M. A., &amp; McLaughlin, K. A. (2020). Neurodevelopmental mechanisms linking ACEs with psychopathology. In </w:t>
      </w:r>
      <w:r w:rsidRPr="00C604ED">
        <w:rPr>
          <w:i/>
          <w:noProof/>
        </w:rPr>
        <w:t>Adverse childhood experiences: Using evidence to advance research, practice, policy, and prevention.</w:t>
      </w:r>
      <w:r w:rsidRPr="00C604ED">
        <w:rPr>
          <w:noProof/>
        </w:rPr>
        <w:t xml:space="preserve"> (pp. 265-285). Elsevier Academic Press. </w:t>
      </w:r>
      <w:hyperlink r:id="rId57" w:history="1">
        <w:r w:rsidRPr="00C604ED">
          <w:rPr>
            <w:rStyle w:val="Hyperlink"/>
            <w:noProof/>
          </w:rPr>
          <w:t>https://doi.org/10.1016/B978-0-12-816065-7.00013-6</w:t>
        </w:r>
      </w:hyperlink>
      <w:r w:rsidRPr="00C604ED">
        <w:rPr>
          <w:noProof/>
        </w:rPr>
        <w:t xml:space="preserve"> </w:t>
      </w:r>
    </w:p>
    <w:p w14:paraId="6D9F2E61" w14:textId="07703510" w:rsidR="00C604ED" w:rsidRPr="00C604ED" w:rsidRDefault="00C604ED" w:rsidP="00C604ED">
      <w:pPr>
        <w:pStyle w:val="EndNoteBibliography"/>
        <w:ind w:left="720" w:hanging="720"/>
        <w:rPr>
          <w:noProof/>
        </w:rPr>
      </w:pPr>
      <w:r w:rsidRPr="00C604ED">
        <w:rPr>
          <w:noProof/>
        </w:rPr>
        <w:t xml:space="preserve">Sheridan, M. A., McLaughlin, K. A., Winter, W., Fox, N., Zeanah, C., &amp; Nelson, C. A. (2018). Early deprivation disruption of associative learning is a developmental pathway to depression and social problems. </w:t>
      </w:r>
      <w:r w:rsidRPr="00C604ED">
        <w:rPr>
          <w:i/>
          <w:noProof/>
        </w:rPr>
        <w:t>Nat Commun</w:t>
      </w:r>
      <w:r w:rsidRPr="00C604ED">
        <w:rPr>
          <w:noProof/>
        </w:rPr>
        <w:t>,</w:t>
      </w:r>
      <w:r w:rsidRPr="00C604ED">
        <w:rPr>
          <w:i/>
          <w:noProof/>
        </w:rPr>
        <w:t xml:space="preserve"> 9</w:t>
      </w:r>
      <w:r w:rsidRPr="00C604ED">
        <w:rPr>
          <w:noProof/>
        </w:rPr>
        <w:t xml:space="preserve">(1), 2216. </w:t>
      </w:r>
      <w:hyperlink r:id="rId58" w:history="1">
        <w:r w:rsidRPr="00C604ED">
          <w:rPr>
            <w:rStyle w:val="Hyperlink"/>
            <w:noProof/>
          </w:rPr>
          <w:t>https://doi.org/10.1038/s41467-018-04381-8</w:t>
        </w:r>
      </w:hyperlink>
      <w:r w:rsidRPr="00C604ED">
        <w:rPr>
          <w:noProof/>
        </w:rPr>
        <w:t xml:space="preserve"> </w:t>
      </w:r>
    </w:p>
    <w:p w14:paraId="1F308D89" w14:textId="676FFFC4" w:rsidR="00C604ED" w:rsidRPr="00C604ED" w:rsidRDefault="00C604ED" w:rsidP="00C604ED">
      <w:pPr>
        <w:pStyle w:val="EndNoteBibliography"/>
        <w:ind w:left="720" w:hanging="720"/>
        <w:rPr>
          <w:noProof/>
        </w:rPr>
      </w:pPr>
      <w:r w:rsidRPr="00C604ED">
        <w:rPr>
          <w:noProof/>
        </w:rPr>
        <w:t xml:space="preserve">Shi, B., Choirat, C., Coull, B. A., VanderWeele, T. J., &amp; Valeri, L. (2021). CMAverse: A Suite of Functions for Reproducible Causal Mediation Analyses. </w:t>
      </w:r>
      <w:r w:rsidRPr="00C604ED">
        <w:rPr>
          <w:i/>
          <w:noProof/>
        </w:rPr>
        <w:t>Epidemiology (Cambridge, Mass.)</w:t>
      </w:r>
      <w:r w:rsidRPr="00C604ED">
        <w:rPr>
          <w:noProof/>
        </w:rPr>
        <w:t>,</w:t>
      </w:r>
      <w:r w:rsidRPr="00C604ED">
        <w:rPr>
          <w:i/>
          <w:noProof/>
        </w:rPr>
        <w:t xml:space="preserve"> 32</w:t>
      </w:r>
      <w:r w:rsidRPr="00C604ED">
        <w:rPr>
          <w:noProof/>
        </w:rPr>
        <w:t xml:space="preserve">(5), E20-E22. </w:t>
      </w:r>
      <w:hyperlink r:id="rId59" w:history="1">
        <w:r w:rsidRPr="00C604ED">
          <w:rPr>
            <w:rStyle w:val="Hyperlink"/>
            <w:noProof/>
          </w:rPr>
          <w:t>https://doi.org/10.1097/EDE.0000000000001378</w:t>
        </w:r>
      </w:hyperlink>
      <w:r w:rsidRPr="00C604ED">
        <w:rPr>
          <w:noProof/>
        </w:rPr>
        <w:t xml:space="preserve"> </w:t>
      </w:r>
    </w:p>
    <w:p w14:paraId="4C11C066" w14:textId="47F2BF14" w:rsidR="00C604ED" w:rsidRPr="00C604ED" w:rsidRDefault="00C604ED" w:rsidP="00C604ED">
      <w:pPr>
        <w:pStyle w:val="EndNoteBibliography"/>
        <w:ind w:left="720" w:hanging="720"/>
        <w:rPr>
          <w:noProof/>
        </w:rPr>
      </w:pPr>
      <w:r w:rsidRPr="00C604ED">
        <w:rPr>
          <w:noProof/>
        </w:rPr>
        <w:t xml:space="preserve">Steinberg, A. M., Brymer, M. J., Decker, K. B., &amp; Pynoos, R. S. (2004). The University of California at Los Angeles Post-traumatic Stress Disorder Reaction Index. </w:t>
      </w:r>
      <w:r w:rsidRPr="00C604ED">
        <w:rPr>
          <w:i/>
          <w:noProof/>
        </w:rPr>
        <w:t>Curr Psychiatry Rep</w:t>
      </w:r>
      <w:r w:rsidRPr="00C604ED">
        <w:rPr>
          <w:noProof/>
        </w:rPr>
        <w:t>,</w:t>
      </w:r>
      <w:r w:rsidRPr="00C604ED">
        <w:rPr>
          <w:i/>
          <w:noProof/>
        </w:rPr>
        <w:t xml:space="preserve"> 6</w:t>
      </w:r>
      <w:r w:rsidRPr="00C604ED">
        <w:rPr>
          <w:noProof/>
        </w:rPr>
        <w:t xml:space="preserve">(2), 96-100. </w:t>
      </w:r>
      <w:hyperlink r:id="rId60" w:history="1">
        <w:r w:rsidRPr="00C604ED">
          <w:rPr>
            <w:rStyle w:val="Hyperlink"/>
            <w:noProof/>
          </w:rPr>
          <w:t>https://doi.org/10.1007/s11920-004-0048-2</w:t>
        </w:r>
      </w:hyperlink>
      <w:r w:rsidRPr="00C604ED">
        <w:rPr>
          <w:noProof/>
        </w:rPr>
        <w:t xml:space="preserve"> </w:t>
      </w:r>
    </w:p>
    <w:p w14:paraId="3895E0AC" w14:textId="77777777" w:rsidR="00C604ED" w:rsidRPr="00C604ED" w:rsidRDefault="00C604ED" w:rsidP="00C604ED">
      <w:pPr>
        <w:pStyle w:val="EndNoteBibliography"/>
        <w:ind w:left="720" w:hanging="720"/>
        <w:rPr>
          <w:noProof/>
        </w:rPr>
      </w:pPr>
      <w:r w:rsidRPr="00C604ED">
        <w:rPr>
          <w:noProof/>
        </w:rPr>
        <w:t xml:space="preserve">Stroop, J. R. (1935). </w:t>
      </w:r>
      <w:r w:rsidRPr="00C604ED">
        <w:rPr>
          <w:i/>
          <w:noProof/>
        </w:rPr>
        <w:t>Studies of interference in serial verbal reactions</w:t>
      </w:r>
      <w:r w:rsidRPr="00C604ED">
        <w:rPr>
          <w:noProof/>
        </w:rPr>
        <w:t xml:space="preserve"> George Peabody College for Teachers]. Nashville, Tenn. </w:t>
      </w:r>
    </w:p>
    <w:p w14:paraId="3D7F289D" w14:textId="4CFB057C" w:rsidR="00C604ED" w:rsidRPr="00C604ED" w:rsidRDefault="00C604ED" w:rsidP="00C604ED">
      <w:pPr>
        <w:pStyle w:val="EndNoteBibliography"/>
        <w:ind w:left="720" w:hanging="720"/>
        <w:rPr>
          <w:noProof/>
        </w:rPr>
      </w:pPr>
      <w:r w:rsidRPr="00C604ED">
        <w:rPr>
          <w:noProof/>
        </w:rPr>
        <w:t xml:space="preserve">Sumner, J. A., Colich, N. L., Uddin, M., Armstrong, D., &amp; McLaughlin, K. A. (2019). Early Experiences of Threat, but Not Deprivation, Are Associated With Accelerated Biological Aging in Children and Adolescents. </w:t>
      </w:r>
      <w:r w:rsidRPr="00C604ED">
        <w:rPr>
          <w:i/>
          <w:noProof/>
        </w:rPr>
        <w:t>Biol Psychiatry</w:t>
      </w:r>
      <w:r w:rsidRPr="00C604ED">
        <w:rPr>
          <w:noProof/>
        </w:rPr>
        <w:t>,</w:t>
      </w:r>
      <w:r w:rsidRPr="00C604ED">
        <w:rPr>
          <w:i/>
          <w:noProof/>
        </w:rPr>
        <w:t xml:space="preserve"> 85</w:t>
      </w:r>
      <w:r w:rsidRPr="00C604ED">
        <w:rPr>
          <w:noProof/>
        </w:rPr>
        <w:t xml:space="preserve">(3), 268-278. </w:t>
      </w:r>
      <w:hyperlink r:id="rId61" w:history="1">
        <w:r w:rsidRPr="00C604ED">
          <w:rPr>
            <w:rStyle w:val="Hyperlink"/>
            <w:noProof/>
          </w:rPr>
          <w:t>https://doi.org/10.1016/j.biopsych.2018.09.008</w:t>
        </w:r>
      </w:hyperlink>
      <w:r w:rsidRPr="00C604ED">
        <w:rPr>
          <w:noProof/>
        </w:rPr>
        <w:t xml:space="preserve"> </w:t>
      </w:r>
    </w:p>
    <w:p w14:paraId="42915E5F" w14:textId="4817EE2C" w:rsidR="00C604ED" w:rsidRPr="00C604ED" w:rsidRDefault="00C604ED" w:rsidP="00C604ED">
      <w:pPr>
        <w:pStyle w:val="EndNoteBibliography"/>
        <w:ind w:left="720" w:hanging="720"/>
        <w:rPr>
          <w:noProof/>
        </w:rPr>
      </w:pPr>
      <w:r w:rsidRPr="00C604ED">
        <w:rPr>
          <w:noProof/>
        </w:rPr>
        <w:t xml:space="preserve">Van de Velde, S., Bracke, P., &amp; Levecque, K. (2010). Gender differences in depression in 23 European countries. Cross-national variation in the gender gap in depression. </w:t>
      </w:r>
      <w:r w:rsidRPr="00C604ED">
        <w:rPr>
          <w:i/>
          <w:noProof/>
        </w:rPr>
        <w:t>Soc Sci Med</w:t>
      </w:r>
      <w:r w:rsidRPr="00C604ED">
        <w:rPr>
          <w:noProof/>
        </w:rPr>
        <w:t>,</w:t>
      </w:r>
      <w:r w:rsidRPr="00C604ED">
        <w:rPr>
          <w:i/>
          <w:noProof/>
        </w:rPr>
        <w:t xml:space="preserve"> 71</w:t>
      </w:r>
      <w:r w:rsidRPr="00C604ED">
        <w:rPr>
          <w:noProof/>
        </w:rPr>
        <w:t xml:space="preserve">(2), 305-313. </w:t>
      </w:r>
      <w:hyperlink r:id="rId62" w:history="1">
        <w:r w:rsidRPr="00C604ED">
          <w:rPr>
            <w:rStyle w:val="Hyperlink"/>
            <w:noProof/>
          </w:rPr>
          <w:t>https://doi.org/10.1016/j.socscimed.2010.03.035</w:t>
        </w:r>
      </w:hyperlink>
      <w:r w:rsidRPr="00C604ED">
        <w:rPr>
          <w:noProof/>
        </w:rPr>
        <w:t xml:space="preserve"> </w:t>
      </w:r>
    </w:p>
    <w:p w14:paraId="30CF851A" w14:textId="3C26CDAA" w:rsidR="00C604ED" w:rsidRPr="00C604ED" w:rsidRDefault="00C604ED" w:rsidP="00C604ED">
      <w:pPr>
        <w:pStyle w:val="EndNoteBibliography"/>
        <w:ind w:left="720" w:hanging="720"/>
        <w:rPr>
          <w:noProof/>
        </w:rPr>
      </w:pPr>
      <w:r w:rsidRPr="00C604ED">
        <w:rPr>
          <w:noProof/>
        </w:rPr>
        <w:lastRenderedPageBreak/>
        <w:t xml:space="preserve">Van Den Berg, I., Franken, I., &amp; Muris, P. (2010). A New Scale for Measuring Reward Responsiveness [Original Research]. </w:t>
      </w:r>
      <w:r w:rsidRPr="00C604ED">
        <w:rPr>
          <w:i/>
          <w:noProof/>
        </w:rPr>
        <w:t>Frontiers in Psychology</w:t>
      </w:r>
      <w:r w:rsidRPr="00C604ED">
        <w:rPr>
          <w:noProof/>
        </w:rPr>
        <w:t>,</w:t>
      </w:r>
      <w:r w:rsidRPr="00C604ED">
        <w:rPr>
          <w:i/>
          <w:noProof/>
        </w:rPr>
        <w:t xml:space="preserve"> 1</w:t>
      </w:r>
      <w:r w:rsidRPr="00C604ED">
        <w:rPr>
          <w:noProof/>
        </w:rPr>
        <w:t xml:space="preserve">. </w:t>
      </w:r>
      <w:hyperlink r:id="rId63" w:history="1">
        <w:r w:rsidRPr="00C604ED">
          <w:rPr>
            <w:rStyle w:val="Hyperlink"/>
            <w:noProof/>
          </w:rPr>
          <w:t>https://doi.org/10.3389/fpsyg.2010.00239</w:t>
        </w:r>
      </w:hyperlink>
      <w:r w:rsidRPr="00C604ED">
        <w:rPr>
          <w:noProof/>
        </w:rPr>
        <w:t xml:space="preserve"> </w:t>
      </w:r>
    </w:p>
    <w:p w14:paraId="2F25F68D" w14:textId="0EC9371E" w:rsidR="00C604ED" w:rsidRPr="00C604ED" w:rsidRDefault="00C604ED" w:rsidP="00C604ED">
      <w:pPr>
        <w:pStyle w:val="EndNoteBibliography"/>
        <w:ind w:left="720" w:hanging="720"/>
        <w:rPr>
          <w:noProof/>
        </w:rPr>
      </w:pPr>
      <w:r w:rsidRPr="00C604ED">
        <w:rPr>
          <w:noProof/>
        </w:rPr>
        <w:t xml:space="preserve">Verbruggen, F., &amp; Logan, G. D. (2008). Automatic and Controlled Response Inhibition: Associative Learning in the Go/No-Go and Stop-Signal Paradigms. </w:t>
      </w:r>
      <w:r w:rsidRPr="00C604ED">
        <w:rPr>
          <w:i/>
          <w:noProof/>
        </w:rPr>
        <w:t>Journal of experimental psychology. General</w:t>
      </w:r>
      <w:r w:rsidRPr="00C604ED">
        <w:rPr>
          <w:noProof/>
        </w:rPr>
        <w:t>,</w:t>
      </w:r>
      <w:r w:rsidRPr="00C604ED">
        <w:rPr>
          <w:i/>
          <w:noProof/>
        </w:rPr>
        <w:t xml:space="preserve"> 137</w:t>
      </w:r>
      <w:r w:rsidRPr="00C604ED">
        <w:rPr>
          <w:noProof/>
        </w:rPr>
        <w:t xml:space="preserve">(4), 649-672. </w:t>
      </w:r>
      <w:hyperlink r:id="rId64" w:history="1">
        <w:r w:rsidRPr="00C604ED">
          <w:rPr>
            <w:rStyle w:val="Hyperlink"/>
            <w:noProof/>
          </w:rPr>
          <w:t>https://doi.org/10.1037/a0013170</w:t>
        </w:r>
      </w:hyperlink>
      <w:r w:rsidRPr="00C604ED">
        <w:rPr>
          <w:noProof/>
        </w:rPr>
        <w:t xml:space="preserve"> </w:t>
      </w:r>
    </w:p>
    <w:p w14:paraId="62B5D62B" w14:textId="76B744B0" w:rsidR="00C604ED" w:rsidRPr="00C604ED" w:rsidRDefault="00C604ED" w:rsidP="00C604ED">
      <w:pPr>
        <w:pStyle w:val="EndNoteBibliography"/>
        <w:ind w:left="720" w:hanging="720"/>
        <w:rPr>
          <w:noProof/>
        </w:rPr>
      </w:pPr>
      <w:r w:rsidRPr="00C604ED">
        <w:rPr>
          <w:noProof/>
        </w:rPr>
        <w:t xml:space="preserve">Wade, M., Zeanah, C. H., Fox, N. A., &amp; Nelson, C. A. (2020). Global deficits in executive functioning are transdiagnostic mediators between severe childhood neglect and psychopathology in adolescence. </w:t>
      </w:r>
      <w:r w:rsidRPr="00C604ED">
        <w:rPr>
          <w:i/>
          <w:noProof/>
        </w:rPr>
        <w:t>Psychological medicine</w:t>
      </w:r>
      <w:r w:rsidRPr="00C604ED">
        <w:rPr>
          <w:noProof/>
        </w:rPr>
        <w:t>,</w:t>
      </w:r>
      <w:r w:rsidRPr="00C604ED">
        <w:rPr>
          <w:i/>
          <w:noProof/>
        </w:rPr>
        <w:t xml:space="preserve"> 50</w:t>
      </w:r>
      <w:r w:rsidRPr="00C604ED">
        <w:rPr>
          <w:noProof/>
        </w:rPr>
        <w:t xml:space="preserve">(10), 1687-1694. </w:t>
      </w:r>
      <w:hyperlink r:id="rId65" w:history="1">
        <w:r w:rsidRPr="00C604ED">
          <w:rPr>
            <w:rStyle w:val="Hyperlink"/>
            <w:noProof/>
          </w:rPr>
          <w:t>https://doi.org/10.1017/S0033291719001764</w:t>
        </w:r>
      </w:hyperlink>
      <w:r w:rsidRPr="00C604ED">
        <w:rPr>
          <w:noProof/>
        </w:rPr>
        <w:t xml:space="preserve"> </w:t>
      </w:r>
    </w:p>
    <w:p w14:paraId="45DD9E51" w14:textId="77777777" w:rsidR="00C604ED" w:rsidRPr="00C604ED" w:rsidRDefault="00C604ED" w:rsidP="00C604ED">
      <w:pPr>
        <w:pStyle w:val="EndNoteBibliography"/>
        <w:ind w:left="720" w:hanging="720"/>
        <w:rPr>
          <w:noProof/>
        </w:rPr>
      </w:pPr>
      <w:r w:rsidRPr="00C604ED">
        <w:rPr>
          <w:noProof/>
        </w:rPr>
        <w:t xml:space="preserve">Wechsler, D. (1999). Wechsler abbreviated scale of intelligence. </w:t>
      </w:r>
    </w:p>
    <w:p w14:paraId="768D888E" w14:textId="649F8BC5" w:rsidR="00C604ED" w:rsidRPr="00C604ED" w:rsidRDefault="00C604ED" w:rsidP="00C604ED">
      <w:pPr>
        <w:pStyle w:val="EndNoteBibliography"/>
        <w:ind w:left="720" w:hanging="720"/>
        <w:rPr>
          <w:noProof/>
        </w:rPr>
      </w:pPr>
      <w:r w:rsidRPr="00C604ED">
        <w:rPr>
          <w:noProof/>
        </w:rPr>
        <w:t xml:space="preserve">Weissman, D. G., Bitran, D., Miller, A. B., Schaefer, J. D., Sheridan, M. A., &amp; McLaughlin, K. A. (2019). Difficulties with emotion regulation as a transdiagnostic mechanism linking child maltreatment with the emergence of psychopathology. </w:t>
      </w:r>
      <w:r w:rsidRPr="00C604ED">
        <w:rPr>
          <w:i/>
          <w:noProof/>
        </w:rPr>
        <w:t>Dev Psychopathol</w:t>
      </w:r>
      <w:r w:rsidRPr="00C604ED">
        <w:rPr>
          <w:noProof/>
        </w:rPr>
        <w:t>,</w:t>
      </w:r>
      <w:r w:rsidRPr="00C604ED">
        <w:rPr>
          <w:i/>
          <w:noProof/>
        </w:rPr>
        <w:t xml:space="preserve"> 31</w:t>
      </w:r>
      <w:r w:rsidRPr="00C604ED">
        <w:rPr>
          <w:noProof/>
        </w:rPr>
        <w:t xml:space="preserve">(3), 899-915. </w:t>
      </w:r>
      <w:hyperlink r:id="rId66" w:history="1">
        <w:r w:rsidRPr="00C604ED">
          <w:rPr>
            <w:rStyle w:val="Hyperlink"/>
            <w:noProof/>
          </w:rPr>
          <w:t>https://doi.org/10.1017/S0954579419000348</w:t>
        </w:r>
      </w:hyperlink>
      <w:r w:rsidRPr="00C604ED">
        <w:rPr>
          <w:noProof/>
        </w:rPr>
        <w:t xml:space="preserve"> </w:t>
      </w:r>
    </w:p>
    <w:p w14:paraId="62DC2930" w14:textId="1023915F" w:rsidR="00C604ED" w:rsidRPr="00C604ED" w:rsidRDefault="00C604ED" w:rsidP="00C604ED">
      <w:pPr>
        <w:pStyle w:val="EndNoteBibliography"/>
        <w:ind w:left="720" w:hanging="720"/>
        <w:rPr>
          <w:noProof/>
        </w:rPr>
      </w:pPr>
      <w:r w:rsidRPr="00C604ED">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C604ED">
        <w:rPr>
          <w:i/>
          <w:noProof/>
        </w:rPr>
        <w:t>Journal of the American Academy of Child and Adolescent Psychiatry</w:t>
      </w:r>
      <w:r w:rsidRPr="00C604ED">
        <w:rPr>
          <w:noProof/>
        </w:rPr>
        <w:t>,</w:t>
      </w:r>
      <w:r w:rsidRPr="00C604ED">
        <w:rPr>
          <w:i/>
          <w:noProof/>
        </w:rPr>
        <w:t xml:space="preserve"> 59</w:t>
      </w:r>
      <w:r w:rsidRPr="00C604ED">
        <w:rPr>
          <w:noProof/>
        </w:rPr>
        <w:t xml:space="preserve">(11), 1274-1284. </w:t>
      </w:r>
      <w:hyperlink r:id="rId67" w:history="1">
        <w:r w:rsidRPr="00C604ED">
          <w:rPr>
            <w:rStyle w:val="Hyperlink"/>
            <w:noProof/>
          </w:rPr>
          <w:t>https://doi.org/10.1016/j.jaac.2019.08.471</w:t>
        </w:r>
      </w:hyperlink>
      <w:r w:rsidRPr="00C604ED">
        <w:rPr>
          <w:noProof/>
        </w:rPr>
        <w:t xml:space="preserve"> </w:t>
      </w:r>
    </w:p>
    <w:p w14:paraId="782584BE" w14:textId="5F2ADFA9" w:rsidR="00C604ED" w:rsidRPr="00C604ED" w:rsidRDefault="00C604ED" w:rsidP="00C604ED">
      <w:pPr>
        <w:pStyle w:val="EndNoteBibliography"/>
        <w:ind w:left="720" w:hanging="720"/>
        <w:rPr>
          <w:noProof/>
        </w:rPr>
      </w:pPr>
      <w:r w:rsidRPr="00C604ED">
        <w:rPr>
          <w:noProof/>
        </w:rPr>
        <w:t xml:space="preserve">Weissman, D. G., Nook, E. C., Dews, A. A., Miller, A. B., Lambert, H. K., Sasse, S. F., Somerville, L. H., &amp; McLaughlin, K. A. (2020). Low Emotional Awareness as a Transdiagnostic Mechanism Underlying Psychopathology in Adolescence. </w:t>
      </w:r>
      <w:r w:rsidRPr="00C604ED">
        <w:rPr>
          <w:i/>
          <w:noProof/>
        </w:rPr>
        <w:t>Clin Psychol Sci</w:t>
      </w:r>
      <w:r w:rsidRPr="00C604ED">
        <w:rPr>
          <w:noProof/>
        </w:rPr>
        <w:t>,</w:t>
      </w:r>
      <w:r w:rsidRPr="00C604ED">
        <w:rPr>
          <w:i/>
          <w:noProof/>
        </w:rPr>
        <w:t xml:space="preserve"> 8</w:t>
      </w:r>
      <w:r w:rsidRPr="00C604ED">
        <w:rPr>
          <w:noProof/>
        </w:rPr>
        <w:t xml:space="preserve">(6), 971-988. </w:t>
      </w:r>
      <w:hyperlink r:id="rId68" w:history="1">
        <w:r w:rsidRPr="00C604ED">
          <w:rPr>
            <w:rStyle w:val="Hyperlink"/>
            <w:noProof/>
          </w:rPr>
          <w:t>https://doi.org/10.1177/2167702620923649</w:t>
        </w:r>
      </w:hyperlink>
      <w:r w:rsidRPr="00C604ED">
        <w:rPr>
          <w:noProof/>
        </w:rPr>
        <w:t xml:space="preserve"> </w:t>
      </w:r>
    </w:p>
    <w:p w14:paraId="18D63DCA" w14:textId="74D56220" w:rsidR="00C604ED" w:rsidRPr="00C604ED" w:rsidRDefault="00C604ED" w:rsidP="00C604ED">
      <w:pPr>
        <w:pStyle w:val="EndNoteBibliography"/>
        <w:ind w:left="720" w:hanging="720"/>
        <w:rPr>
          <w:noProof/>
        </w:rPr>
      </w:pPr>
      <w:r w:rsidRPr="00C604ED">
        <w:rPr>
          <w:noProof/>
        </w:rPr>
        <w:t xml:space="preserve">Zalewski, M., Lengua, L. J., Kiff, C. J., &amp; Fisher, P. A. (2012). Understanding the Relation of Low Income to HPA-Axis Functioning in Preschool Children: Cumulative Family Risk and Parenting As Pathways to Disruptions in Cortisol. </w:t>
      </w:r>
      <w:r w:rsidRPr="00C604ED">
        <w:rPr>
          <w:i/>
          <w:noProof/>
        </w:rPr>
        <w:t>Child psychiatry and human development</w:t>
      </w:r>
      <w:r w:rsidRPr="00C604ED">
        <w:rPr>
          <w:noProof/>
        </w:rPr>
        <w:t>,</w:t>
      </w:r>
      <w:r w:rsidRPr="00C604ED">
        <w:rPr>
          <w:i/>
          <w:noProof/>
        </w:rPr>
        <w:t xml:space="preserve"> 43</w:t>
      </w:r>
      <w:r w:rsidRPr="00C604ED">
        <w:rPr>
          <w:noProof/>
        </w:rPr>
        <w:t xml:space="preserve">(6), 924-942. </w:t>
      </w:r>
      <w:hyperlink r:id="rId69" w:history="1">
        <w:r w:rsidRPr="00C604ED">
          <w:rPr>
            <w:rStyle w:val="Hyperlink"/>
            <w:noProof/>
          </w:rPr>
          <w:t>https://doi.org/10.1007/s10578-012-0304-3</w:t>
        </w:r>
      </w:hyperlink>
      <w:r w:rsidRPr="00C604ED">
        <w:rPr>
          <w:noProof/>
        </w:rPr>
        <w:t xml:space="preserve"> </w:t>
      </w:r>
    </w:p>
    <w:p w14:paraId="7586E012" w14:textId="7C464C0B" w:rsidR="00C604ED" w:rsidRPr="00C604ED" w:rsidRDefault="00C604ED" w:rsidP="00C604ED">
      <w:pPr>
        <w:pStyle w:val="EndNoteBibliography"/>
        <w:ind w:left="720" w:hanging="720"/>
        <w:rPr>
          <w:noProof/>
        </w:rPr>
      </w:pPr>
      <w:r w:rsidRPr="00C604ED">
        <w:rPr>
          <w:noProof/>
        </w:rPr>
        <w:t xml:space="preserve">Zhang, H., Zheng, Y., Zhang, Z., Gao, T., Joyce, B., Yoon, G., Zhang, W., Schwartz, J., Just, A., Colicino, E., Vokonas, P., Zhao, L., Lv, J., Baccarelli, A., Hou, L., &amp; Liu, L. (2016). Estimating and testing high-dimensional mediation effects in epigenetic studies. </w:t>
      </w:r>
      <w:r w:rsidRPr="00C604ED">
        <w:rPr>
          <w:i/>
          <w:noProof/>
        </w:rPr>
        <w:t>Bioinformatics</w:t>
      </w:r>
      <w:r w:rsidRPr="00C604ED">
        <w:rPr>
          <w:noProof/>
        </w:rPr>
        <w:t>,</w:t>
      </w:r>
      <w:r w:rsidRPr="00C604ED">
        <w:rPr>
          <w:i/>
          <w:noProof/>
        </w:rPr>
        <w:t xml:space="preserve"> 32</w:t>
      </w:r>
      <w:r w:rsidRPr="00C604ED">
        <w:rPr>
          <w:noProof/>
        </w:rPr>
        <w:t xml:space="preserve">(20), 3150-3154. </w:t>
      </w:r>
      <w:hyperlink r:id="rId70" w:history="1">
        <w:r w:rsidRPr="00C604ED">
          <w:rPr>
            <w:rStyle w:val="Hyperlink"/>
            <w:noProof/>
          </w:rPr>
          <w:t>https://doi.org/10.1093/bioinformatics/btw351</w:t>
        </w:r>
      </w:hyperlink>
      <w:r w:rsidRPr="00C604ED">
        <w:rPr>
          <w:noProof/>
        </w:rPr>
        <w:t xml:space="preserve"> </w:t>
      </w:r>
    </w:p>
    <w:p w14:paraId="2487DC29" w14:textId="08490D10"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090FE522" w14:textId="77777777" w:rsidR="00CD6B59" w:rsidRDefault="00CD6B59" w:rsidP="00CD6B59">
      <w:r>
        <w:rPr>
          <w:rStyle w:val="CommentReference"/>
        </w:rPr>
        <w:annotationRef/>
      </w:r>
      <w:r>
        <w:rPr>
          <w:rFonts w:eastAsiaTheme="minorHAnsi" w:cstheme="minorBidi"/>
          <w:sz w:val="20"/>
          <w:szCs w:val="20"/>
        </w:rPr>
        <w:t>Please confirm primary affiliations</w:t>
      </w:r>
    </w:p>
  </w:comment>
  <w:comment w:id="1" w:author="Ekaterina Sadikova" w:date="2023-01-31T14:20:00Z" w:initials="ES">
    <w:p w14:paraId="41D5EE71" w14:textId="77777777"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2-27T10:03:00Z" w:initials="ES">
    <w:p w14:paraId="5053AB09" w14:textId="77777777" w:rsidR="00954AB2" w:rsidRDefault="00954AB2" w:rsidP="004149DF">
      <w:r>
        <w:rPr>
          <w:rStyle w:val="CommentReference"/>
        </w:rPr>
        <w:annotationRef/>
      </w:r>
      <w:r>
        <w:rPr>
          <w:color w:val="000000"/>
          <w:sz w:val="20"/>
          <w:szCs w:val="20"/>
        </w:rPr>
        <w:t>Was the ToM task designed for DT?</w:t>
      </w:r>
    </w:p>
  </w:comment>
  <w:comment w:id="3" w:author="Ekaterina Sadikova" w:date="2023-01-29T19:18:00Z" w:initials="ES">
    <w:p w14:paraId="35BEAF80" w14:textId="52D30C2A" w:rsidR="00D426E6" w:rsidRDefault="00BB560F" w:rsidP="0061649E">
      <w:r>
        <w:rPr>
          <w:rStyle w:val="CommentReference"/>
        </w:rPr>
        <w:annotationRef/>
      </w:r>
      <w:r w:rsidR="00D426E6">
        <w:rPr>
          <w:sz w:val="20"/>
          <w:szCs w:val="20"/>
        </w:rPr>
        <w:t>Need to get age at follow-up - following up with David</w:t>
      </w:r>
    </w:p>
  </w:comment>
  <w:comment w:id="4" w:author="Ekaterina Sadikova" w:date="2023-02-26T17:24:00Z" w:initials="ES">
    <w:p w14:paraId="04648F17" w14:textId="6833687F" w:rsidR="005B4A9C" w:rsidRDefault="005B4A9C" w:rsidP="00EE6426">
      <w:r>
        <w:rPr>
          <w:rStyle w:val="CommentReference"/>
        </w:rPr>
        <w:annotationRef/>
      </w:r>
      <w:r>
        <w:rPr>
          <w:color w:val="000000"/>
          <w:sz w:val="20"/>
          <w:szCs w:val="20"/>
        </w:rPr>
        <w:t>This table with extra columns for boys and girls separately included in Appendix as Table A.3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FE522" w15:done="0"/>
  <w15:commentEx w15:paraId="41D5EE71" w15:done="0"/>
  <w15:commentEx w15:paraId="5053AB09" w15:done="0"/>
  <w15:commentEx w15:paraId="35BEAF80" w15:done="0"/>
  <w15:commentEx w15:paraId="04648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A6FE82" w16cex:dateUtc="2023-02-27T15:03:00Z"/>
  <w16cex:commentExtensible w16cex:durableId="27814503" w16cex:dateUtc="2023-01-30T00:18:00Z"/>
  <w16cex:commentExtensible w16cex:durableId="27A6146B" w16cex:dateUtc="2023-02-26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FE522" w16cid:durableId="26A0DDE7"/>
  <w16cid:commentId w16cid:paraId="41D5EE71" w16cid:durableId="2783A240"/>
  <w16cid:commentId w16cid:paraId="5053AB09" w16cid:durableId="27A6FE82"/>
  <w16cid:commentId w16cid:paraId="35BEAF80" w16cid:durableId="27814503"/>
  <w16cid:commentId w16cid:paraId="04648F17" w16cid:durableId="27A61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0F14" w14:textId="77777777" w:rsidR="00E6327B" w:rsidRDefault="00E6327B" w:rsidP="00C604ED">
      <w:r>
        <w:separator/>
      </w:r>
    </w:p>
  </w:endnote>
  <w:endnote w:type="continuationSeparator" w:id="0">
    <w:p w14:paraId="234E2989" w14:textId="77777777" w:rsidR="00E6327B" w:rsidRDefault="00E6327B"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B3BE" w14:textId="77777777" w:rsidR="00E6327B" w:rsidRDefault="00E6327B" w:rsidP="00C604ED">
      <w:r>
        <w:separator/>
      </w:r>
    </w:p>
  </w:footnote>
  <w:footnote w:type="continuationSeparator" w:id="0">
    <w:p w14:paraId="1E6A1447" w14:textId="77777777" w:rsidR="00E6327B" w:rsidRDefault="00E6327B"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item&gt;53&lt;/item&gt;&lt;item&gt;54&lt;/item&gt;&lt;item&gt;56&lt;/item&gt;&lt;item&gt;57&lt;/item&gt;&lt;item&gt;67&lt;/item&gt;&lt;item&gt;80&lt;/item&gt;&lt;item&gt;101&lt;/item&gt;&lt;item&gt;102&lt;/item&gt;&lt;item&gt;105&lt;/item&gt;&lt;item&gt;116&lt;/item&gt;&lt;item&gt;117&lt;/item&gt;&lt;item&gt;118&lt;/item&gt;&lt;item&gt;119&lt;/item&gt;&lt;item&gt;120&lt;/item&gt;&lt;item&gt;121&lt;/item&gt;&lt;item&gt;122&lt;/item&gt;&lt;item&gt;126&lt;/item&gt;&lt;item&gt;127&lt;/item&gt;&lt;item&gt;129&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9&lt;/item&gt;&lt;item&gt;170&lt;/item&gt;&lt;/record-ids&gt;&lt;/item&gt;&lt;/Libraries&gt;"/>
  </w:docVars>
  <w:rsids>
    <w:rsidRoot w:val="00CD6B59"/>
    <w:rsid w:val="000016B6"/>
    <w:rsid w:val="000272B0"/>
    <w:rsid w:val="00036790"/>
    <w:rsid w:val="00036F50"/>
    <w:rsid w:val="000607EC"/>
    <w:rsid w:val="00061F22"/>
    <w:rsid w:val="00074FAA"/>
    <w:rsid w:val="0008594C"/>
    <w:rsid w:val="00094C1B"/>
    <w:rsid w:val="000A7DF4"/>
    <w:rsid w:val="000D6914"/>
    <w:rsid w:val="000E744F"/>
    <w:rsid w:val="000F2D94"/>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22E0"/>
    <w:rsid w:val="00215389"/>
    <w:rsid w:val="0023593D"/>
    <w:rsid w:val="0024609F"/>
    <w:rsid w:val="002721DC"/>
    <w:rsid w:val="002757CB"/>
    <w:rsid w:val="002B21C6"/>
    <w:rsid w:val="002B7043"/>
    <w:rsid w:val="002C0DB5"/>
    <w:rsid w:val="002E4E6B"/>
    <w:rsid w:val="002F0858"/>
    <w:rsid w:val="003201FD"/>
    <w:rsid w:val="003214D7"/>
    <w:rsid w:val="00336FFD"/>
    <w:rsid w:val="00352B9D"/>
    <w:rsid w:val="003671BE"/>
    <w:rsid w:val="00381310"/>
    <w:rsid w:val="003A4EEE"/>
    <w:rsid w:val="003F30DC"/>
    <w:rsid w:val="00420639"/>
    <w:rsid w:val="00427816"/>
    <w:rsid w:val="00463F6E"/>
    <w:rsid w:val="00491CC5"/>
    <w:rsid w:val="004C6D5D"/>
    <w:rsid w:val="004C7C34"/>
    <w:rsid w:val="00503833"/>
    <w:rsid w:val="00504FB0"/>
    <w:rsid w:val="00545CB3"/>
    <w:rsid w:val="005527EE"/>
    <w:rsid w:val="00571AB9"/>
    <w:rsid w:val="005A175C"/>
    <w:rsid w:val="005B4A9C"/>
    <w:rsid w:val="005C05FB"/>
    <w:rsid w:val="005D1A71"/>
    <w:rsid w:val="00624F6E"/>
    <w:rsid w:val="00635CA9"/>
    <w:rsid w:val="00647AAB"/>
    <w:rsid w:val="00655020"/>
    <w:rsid w:val="0068258C"/>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D52BE"/>
    <w:rsid w:val="007D6714"/>
    <w:rsid w:val="007E2AE7"/>
    <w:rsid w:val="007F488A"/>
    <w:rsid w:val="00834618"/>
    <w:rsid w:val="00842299"/>
    <w:rsid w:val="00893243"/>
    <w:rsid w:val="008946DA"/>
    <w:rsid w:val="008C2DFE"/>
    <w:rsid w:val="008F0D9C"/>
    <w:rsid w:val="0090629F"/>
    <w:rsid w:val="00907D14"/>
    <w:rsid w:val="00944FCE"/>
    <w:rsid w:val="00945D50"/>
    <w:rsid w:val="00954AB2"/>
    <w:rsid w:val="0096168F"/>
    <w:rsid w:val="00963FE0"/>
    <w:rsid w:val="00973A47"/>
    <w:rsid w:val="00980289"/>
    <w:rsid w:val="009A557C"/>
    <w:rsid w:val="00A11B29"/>
    <w:rsid w:val="00A2632A"/>
    <w:rsid w:val="00A263EE"/>
    <w:rsid w:val="00A65B40"/>
    <w:rsid w:val="00A87036"/>
    <w:rsid w:val="00A87EA5"/>
    <w:rsid w:val="00A9185D"/>
    <w:rsid w:val="00A94F27"/>
    <w:rsid w:val="00AA0B37"/>
    <w:rsid w:val="00AB7091"/>
    <w:rsid w:val="00AC3A95"/>
    <w:rsid w:val="00AC7243"/>
    <w:rsid w:val="00AF50FE"/>
    <w:rsid w:val="00B23BAA"/>
    <w:rsid w:val="00B2433F"/>
    <w:rsid w:val="00B35261"/>
    <w:rsid w:val="00B46F88"/>
    <w:rsid w:val="00B5376A"/>
    <w:rsid w:val="00B80554"/>
    <w:rsid w:val="00B92064"/>
    <w:rsid w:val="00B935E3"/>
    <w:rsid w:val="00BA432F"/>
    <w:rsid w:val="00BB560F"/>
    <w:rsid w:val="00BB6FC9"/>
    <w:rsid w:val="00BE2BE8"/>
    <w:rsid w:val="00C04085"/>
    <w:rsid w:val="00C05007"/>
    <w:rsid w:val="00C1650C"/>
    <w:rsid w:val="00C22094"/>
    <w:rsid w:val="00C2547A"/>
    <w:rsid w:val="00C25841"/>
    <w:rsid w:val="00C34B7B"/>
    <w:rsid w:val="00C604ED"/>
    <w:rsid w:val="00CD6B59"/>
    <w:rsid w:val="00D02C6E"/>
    <w:rsid w:val="00D14353"/>
    <w:rsid w:val="00D1780F"/>
    <w:rsid w:val="00D20103"/>
    <w:rsid w:val="00D426E6"/>
    <w:rsid w:val="00D441A1"/>
    <w:rsid w:val="00D47842"/>
    <w:rsid w:val="00D57216"/>
    <w:rsid w:val="00D65954"/>
    <w:rsid w:val="00D70840"/>
    <w:rsid w:val="00D773C8"/>
    <w:rsid w:val="00D970E1"/>
    <w:rsid w:val="00DC0516"/>
    <w:rsid w:val="00DF6EC9"/>
    <w:rsid w:val="00E1320F"/>
    <w:rsid w:val="00E15A08"/>
    <w:rsid w:val="00E47766"/>
    <w:rsid w:val="00E6327B"/>
    <w:rsid w:val="00E6486F"/>
    <w:rsid w:val="00E76399"/>
    <w:rsid w:val="00E823EB"/>
    <w:rsid w:val="00E85457"/>
    <w:rsid w:val="00EF6A69"/>
    <w:rsid w:val="00EF7EC6"/>
    <w:rsid w:val="00F12F11"/>
    <w:rsid w:val="00F37FA8"/>
    <w:rsid w:val="00F44E03"/>
    <w:rsid w:val="00F55C51"/>
    <w:rsid w:val="00F74119"/>
    <w:rsid w:val="00F755AA"/>
    <w:rsid w:val="00FC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3389/fpsyg.2010.00239" TargetMode="External"/><Relationship Id="rId68" Type="http://schemas.openxmlformats.org/officeDocument/2006/relationships/hyperlink" Target="https://doi.org/10.1177/2167702620923649"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954579419000348" TargetMode="Externa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1037/a0013170" TargetMode="External"/><Relationship Id="rId69" Type="http://schemas.openxmlformats.org/officeDocument/2006/relationships/hyperlink" Target="https://doi.org/10.1007/s10578-012-0304-3"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6/j.jaac.2019.08.471"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socscimed.2010.03.035" TargetMode="External"/><Relationship Id="rId70" Type="http://schemas.openxmlformats.org/officeDocument/2006/relationships/hyperlink" Target="https://doi.org/10.1093/bioinformatics/btw3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17/S003329171900176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34</Pages>
  <Words>17009</Words>
  <Characters>96957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93</cp:revision>
  <dcterms:created xsi:type="dcterms:W3CDTF">2023-02-22T00:01:00Z</dcterms:created>
  <dcterms:modified xsi:type="dcterms:W3CDTF">2023-02-27T21:16:00Z</dcterms:modified>
</cp:coreProperties>
</file>