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w:rsidP="4267BB7F" w:rsidRDefault="00000000" w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Chapitre 6. Intégration IA dans la conception</w:t>
      </w:r>
    </w:p>
    <w:p>
      <w:pPr>
        <w:spacing w:before="120" w:after="120" w:line="276" w:lineRule="auto"/>
        <w:jc w:val="both"/>
      </w:pPr>
      <w:r>
        <w:rPr>
          <w:rFonts w:ascii="Times New Roman" w:hAnsi="Times New Roman"/>
          <w:b w:val="0"/>
          <w:i w:val="0"/>
          <w:sz w:val="24"/>
        </w:rPr>
        <w:t>L'introduction de capacités d'intelligence artificielle au sein d'un Progiciel de Gestion Intégré tel qu'Odoo 17 ne se limite pas à l'appel distant d'un modèle de langage. Elle exige une conception d'ingénierie rigoureuse afin d'articuler harmonieusement les flux de données hétérogènes, de garantir la souveraineté des traitements et de maintenir le contrôle d'accès strict propre au système d'information de l'entreprise. Ce chapitre formalise l'intégration de l'IA dans le système : la définition détaillée des modules composants l'assistant MIRO AI, la caractérisation des flux de données nécessaires, la justification technique des modèles retenus (embedding dense et LLM de génération) et enfin les modalités d'intégration par microservice asynchrone.</w:t>
      </w:r>
    </w:p>
    <w:p>
      <w:pPr>
        <w:keepNext/>
        <w:spacing w:before="280" w:after="120"/>
        <w:jc w:val="left"/>
      </w:pPr>
      <w:r>
        <w:rPr>
          <w:rFonts w:ascii="Times New Roman" w:hAnsi="Times New Roman"/>
          <w:b/>
          <w:i w:val="0"/>
          <w:sz w:val="28"/>
        </w:rPr>
        <w:t>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keepNext/>
        <w:spacing w:before="280" w:after="120"/>
        <w:jc w:val="left"/>
      </w:pPr>
      <w:r>
        <w:rPr>
          <w:rFonts w:ascii="Times New Roman" w:hAnsi="Times New Roman"/>
          <w:b/>
          <w:i w:val="0"/>
          <w:sz w:val="28"/>
        </w:rPr>
        <w:t>6.2. Données nécessaires au système</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tokens avec un recouvrement de 64 tokens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 Qdrant),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keepNext/>
        <w:spacing w:before="280" w:after="120"/>
        <w:jc w:val="left"/>
      </w:pPr>
      <w:r>
        <w:rPr>
          <w:rFonts w:ascii="Times New Roman" w:hAnsi="Times New Roman"/>
          <w:b/>
          <w:i w:val="0"/>
          <w:sz w:val="28"/>
        </w:rPr>
        <w:t>6.3. Choix du modèle IA et justification</w:t>
      </w:r>
    </w:p>
    <w:p>
      <w:pPr>
        <w:spacing w:before="0" w:after="120" w:line="276" w:lineRule="auto"/>
        <w:jc w:val="both"/>
      </w:pPr>
      <w:r>
        <w:rPr>
          <w:rFonts w:ascii="Times New Roman" w:hAnsi="Times New Roman"/>
          <w:b w:val="0"/>
          <w:i w:val="0"/>
          <w:sz w:val="24"/>
        </w:rPr>
        <w:t>Dans une architecture d'IA souveraine opérant en circuit fermé sur les serveurs de Miro K.E.,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 2.5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Retenu : Modèle rapide pour la classification et le RAG léger</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 2.5 (14B) quantifié en format GGUF Q4_K_M est retenu comme moteur génératif de référence. Il combine une capacité de raisonnement et de fidélité aux instructions remarquable, un excellent traitement de la langue française et une exécution fluide sur notre serveur équipé d'une carte GPU NVIDIA RTX (tenant dans 12 Go de VRAM). Pour les environnements de test plus contraints, Llama 3.1 (8B) sert de solution alternative hautement réactive.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tokens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64 tokens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5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(RRF standard)</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0.1 à 0.2</w:t>
            </w:r>
          </w:p>
        </w:tc>
        <w:tc>
          <w:tcPr>
            <w:tcW w:type="dxa" w:w="5040"/>
          </w:tcPr>
          <w:p>
            <w:pPr>
              <w:spacing w:before="60" w:after="60"/>
              <w:jc w:val="left"/>
            </w:pPr>
            <w:r>
              <w:rPr>
                <w:rFonts w:ascii="Times New Roman" w:hAnsi="Times New Roman"/>
                <w:b w:val="0"/>
                <w:i w:val="0"/>
                <w:sz w:val="20"/>
              </w:rPr>
              <w:t>Génération quasi déterministe pour bannir toute extrapolation créative</w:t>
            </w:r>
          </w:p>
        </w:tc>
      </w:tr>
      <w:tr>
        <w:tc>
          <w:tcPr>
            <w:tcW w:type="dxa" w:w="3168"/>
          </w:tcPr>
          <w:p>
            <w:pPr>
              <w:spacing w:before="60" w:after="60"/>
              <w:jc w:val="left"/>
            </w:pPr>
            <w:r>
              <w:rPr>
                <w:rFonts w:ascii="Times New Roman" w:hAnsi="Times New Roman"/>
                <w:b w:val="0"/>
                <w:i w:val="0"/>
                <w:sz w:val="20"/>
              </w:rPr>
              <w:t>Top-p (Nucleus sampling)</w:t>
            </w:r>
          </w:p>
        </w:tc>
        <w:tc>
          <w:tcPr>
            <w:tcW w:type="dxa" w:w="2592"/>
          </w:tcPr>
          <w:p>
            <w:pPr>
              <w:spacing w:before="60" w:after="60"/>
              <w:jc w:val="center"/>
            </w:pPr>
            <w:r>
              <w:rPr>
                <w:rFonts w:ascii="Times New Roman" w:hAnsi="Times New Roman"/>
                <w:b w:val="0"/>
                <w:i w:val="0"/>
                <w:sz w:val="20"/>
              </w:rPr>
              <w:t>0.9</w:t>
            </w:r>
          </w:p>
        </w:tc>
        <w:tc>
          <w:tcPr>
            <w:tcW w:type="dxa" w:w="5040"/>
          </w:tcPr>
          <w:p>
            <w:pPr>
              <w:spacing w:before="60" w:after="60"/>
              <w:jc w:val="left"/>
            </w:pPr>
            <w:r>
              <w:rPr>
                <w:rFonts w:ascii="Times New Roman" w:hAnsi="Times New Roman"/>
                <w:b w:val="0"/>
                <w:i w:val="0"/>
                <w:sz w:val="20"/>
              </w:rPr>
              <w:t>Filtrage des jetons à faible probabilité pour une précision factuelle maximale</w:t>
            </w:r>
          </w:p>
        </w:tc>
      </w:tr>
    </w:tbl>
    <w:p>
      <w:pPr>
        <w:spacing w:before="0" w:after="120" w:line="276" w:lineRule="auto"/>
        <w:jc w:val="both"/>
      </w:pPr>
    </w:p>
    <w:p>
      <w:pPr>
        <w:keepNext/>
        <w:spacing w:before="280" w:after="120"/>
        <w:jc w:val="left"/>
      </w:pPr>
      <w:r>
        <w:rPr>
          <w:rFonts w:ascii="Times New Roman" w:hAnsi="Times New Roman"/>
          <w:b/>
          <w:i w:val="0"/>
          <w:sz w:val="28"/>
        </w:rPr>
        <w:t>6.4. Méthode d’intégration logicielle</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incompressible requis par l'inférence locale (de 2 à 5 secondes selon la complexité),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Confinement réseau absolu : </w:t>
      </w:r>
      <w:r>
        <w:rPr>
          <w:rFonts w:ascii="Times New Roman" w:hAnsi="Times New Roman"/>
          <w:b w:val="0"/>
          <w:i w:val="0"/>
          <w:sz w:val="24"/>
        </w:rPr>
        <w:t>Les communications s'opèrent exclusivement au sein du réseau local d'entreprise ou du réseau virtuel Docker interne, sans aucune exposition sur Internet.</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POST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Token HMAC de contrôle</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/api/v1/sessions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uid, limit</w:t>
            </w:r>
          </w:p>
        </w:tc>
        <w:tc>
          <w:tcPr>
            <w:tcW w:type="dxa" w:w="3168"/>
          </w:tcPr>
          <w:p>
            <w:pPr>
              <w:spacing w:before="60" w:after="60"/>
              <w:jc w:val="left"/>
            </w:pPr>
            <w:r>
              <w:rPr>
                <w:rFonts w:ascii="Times New Roman" w:hAnsi="Times New Roman"/>
                <w:b w:val="0"/>
                <w:i w:val="0"/>
                <w:sz w:val="20"/>
              </w:rPr>
              <w:t>HTTP 200 {sessions: [...]} : Liste des conversations récentes de l'utilisateur</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0" w:after="120" w:line="276" w:lineRule="auto"/>
        <w:jc w:val="both"/>
      </w:pPr>
      <w:r>
        <w:rPr>
          <w:rFonts w:ascii="Times New Roman" w:hAnsi="Times New Roman"/>
          <w:b w:val="0"/>
          <w:i w:val="0"/>
          <w:sz w:val="24"/>
        </w:rPr>
        <w:t xml:space="preserve">Après avoir mené l'analyse préalable des besoins et formalisé la conception conceptuelle et technique des composants d'intelligence artificielle, cette troisième partie est consacrée à la réalisation du système au sein de l'écosystème Odoo 17. Elle s'articule autour de quatre chapitres : l'environnement de mise en œuvre (Chapitre 7), le développement du module Odoo miro_ai et des moteurs documentaire et ORM (Chapitre 8), les tests et l'évaluation des résultats (Chapitre 9) et, en perspective, l'approche Code Intelligence, dont la réalisation reste partielle (Chapitre 10).</w:t>
      </w:r>
    </w:p>
    <w:p>
      <w:pPr>
        <w:pStyle w:val="Heading2"/>
        <w:spacing w:before="360" w:after="160"/>
        <w:jc w:val="left"/>
      </w:pPr>
      <w:r>
        <w:rPr>
          <w:rFonts w:ascii="Times New Roman" w:hAnsi="Times New Roman"/>
          <w:b/>
          <w:i w:val="0"/>
          <w:sz w:val="32"/>
        </w:rPr>
        <w:t xml:space="preserve">Chapitre 7. Environnement de mise en œuvre</w:t>
      </w:r>
    </w:p>
    <w:p>
      <w:pPr>
        <w:spacing w:before="0" w:after="120" w:line="276" w:lineRule="auto"/>
        <w:jc w:val="both"/>
      </w:pPr>
      <w:r>
        <w:rPr>
          <w:rFonts w:ascii="Times New Roman" w:hAnsi="Times New Roman"/>
          <w:b w:val="0"/>
          <w:i w:val="0"/>
          <w:sz w:val="24"/>
        </w:rPr>
        <w:t xml:space="preserve">Ce chapitre décrit l'environnement technique dans lequel MIRO AI a été développé et exécuté, l'organisation du dépôt de code et de sa configuration, ainsi que la procédure de mise en place sur un nouveau poste. L'objectif est la reproductibilité : le projet ne doit dépendre d'aucun chemin absolu ni d'aucun réglage propre à une machine.</w:t>
      </w:r>
    </w:p>
    <w:p>
      <w:pPr>
        <w:pStyle w:val="Heading3"/>
        <w:keepNext/>
        <w:spacing w:before="280" w:after="120"/>
        <w:jc w:val="left"/>
      </w:pPr>
      <w:r>
        <w:rPr>
          <w:rFonts w:ascii="Times New Roman" w:hAnsi="Times New Roman"/>
          <w:b/>
          <w:i w:val="0"/>
          <w:sz w:val="28"/>
        </w:rPr>
        <w:t xml:space="preserve">7.1. Environnement technique</w:t>
      </w:r>
    </w:p>
    <w:p>
      <w:pPr>
        <w:spacing w:before="0" w:after="120" w:line="276" w:lineRule="auto"/>
        <w:jc w:val="both"/>
      </w:pPr>
      <w:r>
        <w:rPr>
          <w:rFonts w:ascii="Times New Roman" w:hAnsi="Times New Roman"/>
          <w:b w:val="0"/>
          <w:i w:val="0"/>
          <w:sz w:val="24"/>
        </w:rPr>
        <w:t xml:space="preserve">Le Tableau 37 recense les composants utilisés. L'ensemble tourne sous Linux (Debian) dans un environnement virtuel Python, et l'inférence est confiée à un serveur privé compatible avec l'API OpenAI (Ollama ou vLLM), sans repli vers un fournisseur d'IA externe.</w:t>
      </w:r>
    </w:p>
    <w:p>
      <w:pPr>
        <w:keepNext/>
        <w:spacing w:before="120" w:after="120" w:line="276" w:lineRule="auto"/>
        <w:jc w:val="left"/>
      </w:pPr>
      <w:r>
        <w:rPr>
          <w:rFonts w:ascii="Times New Roman" w:hAnsi="Times New Roman"/>
          <w:b/>
          <w:i w:val="0"/>
          <w:sz w:val="22"/>
        </w:rPr>
        <w:t xml:space="preserve">Tableau 37. Composants de l'environnement de développement et d'exécution</w:t>
      </w:r>
    </w:p>
    <w:tbl>
      <w:tblPr>
        <w:tblStyle w:val="Table10"/>
        <w:tblW w:type="dxa" w:w="9360"/>
        <w:jc w:val="center"/>
        <w:tblLook w:firstColumn="1" w:firstRow="1" w:lastColumn="0" w:lastRow="0" w:noHBand="0" w:noVBand="1" w:val="04A0"/>
      </w:tblPr>
      <w:tblGrid>
        <w:gridCol w:w="2300"/>
        <w:gridCol w:w="3300"/>
        <w:gridCol w:w="3760"/>
      </w:tblGrid>
      <w:tr>
        <w:trPr>
          <w:tblHeader/>
        </w:trPr>
        <w:tc>
          <w:tcPr>
            <w:tcW w:type="dxa" w:w="2300"/>
          </w:tcPr>
          <w:p>
            <w:pPr>
              <w:spacing w:before="80" w:after="80"/>
              <w:jc w:val="center"/>
            </w:pPr>
            <w:r>
              <w:rPr>
                <w:rFonts w:ascii="Times New Roman" w:hAnsi="Times New Roman"/>
                <w:b/>
                <w:i w:val="0"/>
                <w:sz w:val="21"/>
              </w:rPr>
              <w:t xml:space="preserve">Composant</w:t>
            </w:r>
          </w:p>
        </w:tc>
        <w:tc>
          <w:tcPr>
            <w:tcW w:type="dxa" w:w="3300"/>
          </w:tcPr>
          <w:p>
            <w:pPr>
              <w:spacing w:before="80" w:after="80"/>
              <w:jc w:val="center"/>
            </w:pPr>
            <w:r>
              <w:rPr>
                <w:rFonts w:ascii="Times New Roman" w:hAnsi="Times New Roman"/>
                <w:b/>
                <w:i w:val="0"/>
                <w:sz w:val="21"/>
              </w:rPr>
              <w:t xml:space="preserve">Choix retenu</w:t>
            </w:r>
          </w:p>
        </w:tc>
        <w:tc>
          <w:tcPr>
            <w:tcW w:type="dxa" w:w="3760"/>
          </w:tcPr>
          <w:p>
            <w:pPr>
              <w:spacing w:before="80" w:after="80"/>
              <w:jc w:val="center"/>
            </w:pPr>
            <w:r>
              <w:rPr>
                <w:rFonts w:ascii="Times New Roman" w:hAnsi="Times New Roman"/>
                <w:b/>
                <w:i w:val="0"/>
                <w:sz w:val="21"/>
              </w:rPr>
              <w:t xml:space="preserve">Rôle dans le système</w:t>
            </w:r>
          </w:p>
        </w:tc>
      </w:tr>
      <w:tr>
        <w:trPr>
          <w:cantSplit/>
        </w:trPr>
        <w:tc>
          <w:tcPr>
            <w:tcW w:type="dxa" w:w="2300"/>
          </w:tcPr>
          <w:p>
            <w:pPr>
              <w:spacing w:before="60" w:after="60"/>
              <w:jc w:val="left"/>
            </w:pPr>
            <w:r>
              <w:rPr>
                <w:rFonts w:ascii="Times New Roman" w:hAnsi="Times New Roman"/>
                <w:b w:val="0"/>
                <w:i w:val="0"/>
                <w:sz w:val="20"/>
              </w:rPr>
              <w:t xml:space="preserve">Système d'exploitation</w:t>
            </w:r>
          </w:p>
        </w:tc>
        <w:tc>
          <w:tcPr>
            <w:tcW w:type="dxa" w:w="3300"/>
          </w:tcPr>
          <w:p>
            <w:pPr>
              <w:spacing w:before="60" w:after="60"/>
              <w:jc w:val="left"/>
            </w:pPr>
            <w:r>
              <w:rPr>
                <w:rFonts w:ascii="Times New Roman" w:hAnsi="Times New Roman"/>
                <w:b w:val="0"/>
                <w:i w:val="0"/>
                <w:sz w:val="20"/>
              </w:rPr>
              <w:t xml:space="preserve">Debian GNU/Linux</w:t>
            </w:r>
          </w:p>
        </w:tc>
        <w:tc>
          <w:tcPr>
            <w:tcW w:type="dxa" w:w="3760"/>
          </w:tcPr>
          <w:p>
            <w:pPr>
              <w:spacing w:before="60" w:after="60"/>
              <w:jc w:val="left"/>
            </w:pPr>
            <w:r>
              <w:rPr>
                <w:rFonts w:ascii="Times New Roman" w:hAnsi="Times New Roman"/>
                <w:b w:val="0"/>
                <w:i w:val="0"/>
                <w:sz w:val="20"/>
              </w:rPr>
              <w:t xml:space="preserve">Poste de développement et serveur applicatif</w:t>
            </w:r>
          </w:p>
        </w:tc>
      </w:tr>
      <w:tr>
        <w:trPr>
          <w:cantSplit/>
        </w:trPr>
        <w:tc>
          <w:tcPr>
            <w:tcW w:type="dxa" w:w="2300"/>
          </w:tcPr>
          <w:p>
            <w:pPr>
              <w:spacing w:before="60" w:after="60"/>
              <w:jc w:val="left"/>
            </w:pPr>
            <w:r>
              <w:rPr>
                <w:rFonts w:ascii="Times New Roman" w:hAnsi="Times New Roman"/>
                <w:b w:val="0"/>
                <w:i w:val="0"/>
                <w:sz w:val="20"/>
              </w:rPr>
              <w:t xml:space="preserve">Langage</w:t>
            </w:r>
          </w:p>
        </w:tc>
        <w:tc>
          <w:tcPr>
            <w:tcW w:type="dxa" w:w="3300"/>
          </w:tcPr>
          <w:p>
            <w:pPr>
              <w:spacing w:before="60" w:after="60"/>
              <w:jc w:val="left"/>
            </w:pPr>
            <w:r>
              <w:rPr>
                <w:rFonts w:ascii="Times New Roman" w:hAnsi="Times New Roman"/>
                <w:b w:val="0"/>
                <w:i w:val="0"/>
                <w:sz w:val="20"/>
              </w:rPr>
              <w:t xml:space="preserve">Python 3.11 en environnement virtuel (venv)</w:t>
            </w:r>
          </w:p>
        </w:tc>
        <w:tc>
          <w:tcPr>
            <w:tcW w:type="dxa" w:w="3760"/>
          </w:tcPr>
          <w:p>
            <w:pPr>
              <w:spacing w:before="60" w:after="60"/>
              <w:jc w:val="left"/>
            </w:pPr>
            <w:r>
              <w:rPr>
                <w:rFonts w:ascii="Times New Roman" w:hAnsi="Times New Roman"/>
                <w:b w:val="0"/>
                <w:i w:val="0"/>
                <w:sz w:val="20"/>
              </w:rPr>
              <w:t xml:space="preserve">Backend IA, ingestion, outils de lecture</w:t>
            </w:r>
          </w:p>
        </w:tc>
      </w:tr>
      <w:tr>
        <w:trPr>
          <w:cantSplit/>
        </w:trPr>
        <w:tc>
          <w:tcPr>
            <w:tcW w:type="dxa" w:w="2300"/>
          </w:tcPr>
          <w:p>
            <w:pPr>
              <w:spacing w:before="60" w:after="60"/>
              <w:jc w:val="left"/>
            </w:pPr>
            <w:r>
              <w:rPr>
                <w:rFonts w:ascii="Times New Roman" w:hAnsi="Times New Roman"/>
                <w:b w:val="0"/>
                <w:i w:val="0"/>
                <w:sz w:val="20"/>
              </w:rPr>
              <w:t xml:space="preserve">ERP</w:t>
            </w:r>
          </w:p>
        </w:tc>
        <w:tc>
          <w:tcPr>
            <w:tcW w:type="dxa" w:w="3300"/>
          </w:tcPr>
          <w:p>
            <w:pPr>
              <w:spacing w:before="60" w:after="60"/>
              <w:jc w:val="left"/>
            </w:pPr>
            <w:r>
              <w:rPr>
                <w:rFonts w:ascii="Times New Roman" w:hAnsi="Times New Roman"/>
                <w:b w:val="0"/>
                <w:i w:val="0"/>
                <w:sz w:val="20"/>
              </w:rPr>
              <w:t xml:space="preserve">Odoo 17 Community, installé depuis les sources</w:t>
            </w:r>
          </w:p>
        </w:tc>
        <w:tc>
          <w:tcPr>
            <w:tcW w:type="dxa" w:w="3760"/>
          </w:tcPr>
          <w:p>
            <w:pPr>
              <w:spacing w:before="60" w:after="60"/>
              <w:jc w:val="left"/>
            </w:pPr>
            <w:r>
              <w:rPr>
                <w:rFonts w:ascii="Times New Roman" w:hAnsi="Times New Roman"/>
                <w:b w:val="0"/>
                <w:i w:val="0"/>
                <w:sz w:val="20"/>
              </w:rPr>
              <w:t xml:space="preserve">Instance cible et hébergement du module miro_ai</w:t>
            </w:r>
          </w:p>
        </w:tc>
      </w:tr>
      <w:tr>
        <w:trPr>
          <w:cantSplit/>
        </w:trPr>
        <w:tc>
          <w:tcPr>
            <w:tcW w:type="dxa" w:w="2300"/>
          </w:tcPr>
          <w:p>
            <w:pPr>
              <w:spacing w:before="60" w:after="60"/>
              <w:jc w:val="left"/>
            </w:pPr>
            <w:r>
              <w:rPr>
                <w:rFonts w:ascii="Times New Roman" w:hAnsi="Times New Roman"/>
                <w:b w:val="0"/>
                <w:i w:val="0"/>
                <w:sz w:val="20"/>
              </w:rPr>
              <w:t xml:space="preserve">Base de données</w:t>
            </w:r>
          </w:p>
        </w:tc>
        <w:tc>
          <w:tcPr>
            <w:tcW w:type="dxa" w:w="3300"/>
          </w:tcPr>
          <w:p>
            <w:pPr>
              <w:spacing w:before="60" w:after="60"/>
              <w:jc w:val="left"/>
            </w:pPr>
            <w:r>
              <w:rPr>
                <w:rFonts w:ascii="Times New Roman" w:hAnsi="Times New Roman"/>
                <w:b w:val="0"/>
                <w:i w:val="0"/>
                <w:sz w:val="20"/>
              </w:rPr>
              <w:t xml:space="preserve">PostgreSQL 14 ou supérieur</w:t>
            </w:r>
          </w:p>
        </w:tc>
        <w:tc>
          <w:tcPr>
            <w:tcW w:type="dxa" w:w="3760"/>
          </w:tcPr>
          <w:p>
            <w:pPr>
              <w:spacing w:before="60" w:after="60"/>
              <w:jc w:val="left"/>
            </w:pPr>
            <w:r>
              <w:rPr>
                <w:rFonts w:ascii="Times New Roman" w:hAnsi="Times New Roman"/>
                <w:b w:val="0"/>
                <w:i w:val="0"/>
                <w:sz w:val="20"/>
              </w:rPr>
              <w:t xml:space="preserve">Stockage des données d'Odoo</w:t>
            </w:r>
          </w:p>
        </w:tc>
      </w:tr>
      <w:tr>
        <w:trPr>
          <w:cantSplit/>
        </w:trPr>
        <w:tc>
          <w:tcPr>
            <w:tcW w:type="dxa" w:w="2300"/>
          </w:tcPr>
          <w:p>
            <w:pPr>
              <w:spacing w:before="60" w:after="60"/>
              <w:jc w:val="left"/>
            </w:pPr>
            <w:r>
              <w:rPr>
                <w:rFonts w:ascii="Times New Roman" w:hAnsi="Times New Roman"/>
                <w:b w:val="0"/>
                <w:i w:val="0"/>
                <w:sz w:val="20"/>
              </w:rPr>
              <w:t xml:space="preserve">Interface de service</w:t>
            </w:r>
          </w:p>
        </w:tc>
        <w:tc>
          <w:tcPr>
            <w:tcW w:type="dxa" w:w="3300"/>
          </w:tcPr>
          <w:p>
            <w:pPr>
              <w:spacing w:before="60" w:after="60"/>
              <w:jc w:val="left"/>
            </w:pPr>
            <w:r>
              <w:rPr>
                <w:rFonts w:ascii="Times New Roman" w:hAnsi="Times New Roman"/>
                <w:b w:val="0"/>
                <w:i w:val="0"/>
                <w:sz w:val="20"/>
              </w:rPr>
              <w:t xml:space="preserve">FastAPI exécuté par uvicorn</w:t>
            </w:r>
          </w:p>
        </w:tc>
        <w:tc>
          <w:tcPr>
            <w:tcW w:type="dxa" w:w="3760"/>
          </w:tcPr>
          <w:p>
            <w:pPr>
              <w:spacing w:before="60" w:after="60"/>
              <w:jc w:val="left"/>
            </w:pPr>
            <w:r>
              <w:rPr>
                <w:rFonts w:ascii="Times New Roman" w:hAnsi="Times New Roman"/>
                <w:b w:val="0"/>
                <w:i w:val="0"/>
                <w:sz w:val="20"/>
              </w:rPr>
              <w:t xml:space="preserve">Middleware d'orchestration et points d'accès</w:t>
            </w:r>
          </w:p>
        </w:tc>
      </w:tr>
      <w:tr>
        <w:trPr>
          <w:cantSplit/>
        </w:trPr>
        <w:tc>
          <w:tcPr>
            <w:tcW w:type="dxa" w:w="2300"/>
          </w:tcPr>
          <w:p>
            <w:pPr>
              <w:spacing w:before="60" w:after="60"/>
              <w:jc w:val="left"/>
            </w:pPr>
            <w:r>
              <w:rPr>
                <w:rFonts w:ascii="Times New Roman" w:hAnsi="Times New Roman"/>
                <w:b w:val="0"/>
                <w:i w:val="0"/>
                <w:sz w:val="20"/>
              </w:rPr>
              <w:t xml:space="preserve">Orchestration</w:t>
            </w:r>
          </w:p>
        </w:tc>
        <w:tc>
          <w:tcPr>
            <w:tcW w:type="dxa" w:w="3300"/>
          </w:tcPr>
          <w:p>
            <w:pPr>
              <w:spacing w:before="60" w:after="60"/>
              <w:jc w:val="left"/>
            </w:pPr>
            <w:r>
              <w:rPr>
                <w:rFonts w:ascii="Times New Roman" w:hAnsi="Times New Roman"/>
                <w:b w:val="0"/>
                <w:i w:val="0"/>
                <w:sz w:val="20"/>
              </w:rPr>
              <w:t xml:space="preserve">LangGraph</w:t>
            </w:r>
          </w:p>
        </w:tc>
        <w:tc>
          <w:tcPr>
            <w:tcW w:type="dxa" w:w="3760"/>
          </w:tcPr>
          <w:p>
            <w:pPr>
              <w:spacing w:before="60" w:after="60"/>
              <w:jc w:val="left"/>
            </w:pPr>
            <w:r>
              <w:rPr>
                <w:rFonts w:ascii="Times New Roman" w:hAnsi="Times New Roman"/>
                <w:b w:val="0"/>
                <w:i w:val="0"/>
                <w:sz w:val="20"/>
              </w:rPr>
              <w:t xml:space="preserve">Classification, routage et vérification des réponses</w:t>
            </w:r>
          </w:p>
        </w:tc>
      </w:tr>
      <w:tr>
        <w:trPr>
          <w:cantSplit/>
        </w:trPr>
        <w:tc>
          <w:tcPr>
            <w:tcW w:type="dxa" w:w="2300"/>
          </w:tcPr>
          <w:p>
            <w:pPr>
              <w:spacing w:before="60" w:after="60"/>
              <w:jc w:val="left"/>
            </w:pPr>
            <w:r>
              <w:rPr>
                <w:rFonts w:ascii="Times New Roman" w:hAnsi="Times New Roman"/>
                <w:b w:val="0"/>
                <w:i w:val="0"/>
                <w:sz w:val="20"/>
              </w:rPr>
              <w:t xml:space="preserve">Serveur d'inférence</w:t>
            </w:r>
          </w:p>
        </w:tc>
        <w:tc>
          <w:tcPr>
            <w:tcW w:type="dxa" w:w="3300"/>
          </w:tcPr>
          <w:p>
            <w:pPr>
              <w:spacing w:before="60" w:after="60"/>
              <w:jc w:val="left"/>
            </w:pPr>
            <w:r>
              <w:rPr>
                <w:rFonts w:ascii="Times New Roman" w:hAnsi="Times New Roman"/>
                <w:b w:val="0"/>
                <w:i w:val="0"/>
                <w:sz w:val="20"/>
              </w:rPr>
              <w:t xml:space="preserve">Ollama ou vLLM sur un serveur privé</w:t>
            </w:r>
          </w:p>
        </w:tc>
        <w:tc>
          <w:tcPr>
            <w:tcW w:type="dxa" w:w="3760"/>
          </w:tcPr>
          <w:p>
            <w:pPr>
              <w:spacing w:before="60" w:after="60"/>
              <w:jc w:val="left"/>
            </w:pPr>
            <w:r>
              <w:rPr>
                <w:rFonts w:ascii="Times New Roman" w:hAnsi="Times New Roman"/>
                <w:b w:val="0"/>
                <w:i w:val="0"/>
                <w:sz w:val="20"/>
              </w:rPr>
              <w:t xml:space="preserve">Génération de texte et calcul des embeddings</w:t>
            </w:r>
          </w:p>
        </w:tc>
      </w:tr>
      <w:tr>
        <w:trPr>
          <w:cantSplit/>
        </w:trPr>
        <w:tc>
          <w:tcPr>
            <w:tcW w:type="dxa" w:w="2300"/>
          </w:tcPr>
          <w:p>
            <w:pPr>
              <w:spacing w:before="60" w:after="60"/>
              <w:jc w:val="left"/>
            </w:pPr>
            <w:r>
              <w:rPr>
                <w:rFonts w:ascii="Times New Roman" w:hAnsi="Times New Roman"/>
                <w:b w:val="0"/>
                <w:i w:val="0"/>
                <w:sz w:val="20"/>
              </w:rPr>
              <w:t xml:space="preserve">Modèle de génération</w:t>
            </w:r>
          </w:p>
        </w:tc>
        <w:tc>
          <w:tcPr>
            <w:tcW w:type="dxa" w:w="3300"/>
          </w:tcPr>
          <w:p>
            <w:pPr>
              <w:spacing w:before="60" w:after="60"/>
              <w:jc w:val="left"/>
            </w:pPr>
            <w:r>
              <w:rPr>
                <w:rFonts w:ascii="Times New Roman" w:hAnsi="Times New Roman"/>
                <w:b w:val="0"/>
                <w:i w:val="0"/>
                <w:sz w:val="20"/>
              </w:rPr>
              <w:t xml:space="preserve">qwen3:14b</w:t>
            </w:r>
          </w:p>
        </w:tc>
        <w:tc>
          <w:tcPr>
            <w:tcW w:type="dxa" w:w="3760"/>
          </w:tcPr>
          <w:p>
            <w:pPr>
              <w:spacing w:before="60" w:after="60"/>
              <w:jc w:val="left"/>
            </w:pPr>
            <w:r>
              <w:rPr>
                <w:rFonts w:ascii="Times New Roman" w:hAnsi="Times New Roman"/>
                <w:b w:val="0"/>
                <w:i w:val="0"/>
                <w:sz w:val="20"/>
              </w:rPr>
              <w:t xml:space="preserve">Rédaction des réponses et choix des outils</w:t>
            </w:r>
          </w:p>
        </w:tc>
      </w:tr>
      <w:tr>
        <w:trPr>
          <w:cantSplit/>
        </w:trPr>
        <w:tc>
          <w:tcPr>
            <w:tcW w:type="dxa" w:w="2300"/>
          </w:tcPr>
          <w:p>
            <w:pPr>
              <w:spacing w:before="60" w:after="60"/>
              <w:jc w:val="left"/>
            </w:pPr>
            <w:r>
              <w:rPr>
                <w:rFonts w:ascii="Times New Roman" w:hAnsi="Times New Roman"/>
                <w:b w:val="0"/>
                <w:i w:val="0"/>
                <w:sz w:val="20"/>
              </w:rPr>
              <w:t xml:space="preserve">Modèle d'embedding</w:t>
            </w:r>
          </w:p>
        </w:tc>
        <w:tc>
          <w:tcPr>
            <w:tcW w:type="dxa" w:w="3300"/>
          </w:tcPr>
          <w:p>
            <w:pPr>
              <w:spacing w:before="60" w:after="60"/>
              <w:jc w:val="left"/>
            </w:pPr>
            <w:r>
              <w:rPr>
                <w:rFonts w:ascii="Times New Roman" w:hAnsi="Times New Roman"/>
                <w:b w:val="0"/>
                <w:i w:val="0"/>
                <w:sz w:val="20"/>
              </w:rPr>
              <w:t xml:space="preserve">bge-m3</w:t>
            </w:r>
          </w:p>
        </w:tc>
        <w:tc>
          <w:tcPr>
            <w:tcW w:type="dxa" w:w="3760"/>
          </w:tcPr>
          <w:p>
            <w:pPr>
              <w:spacing w:before="60" w:after="60"/>
              <w:jc w:val="left"/>
            </w:pPr>
            <w:r>
              <w:rPr>
                <w:rFonts w:ascii="Times New Roman" w:hAnsi="Times New Roman"/>
                <w:b w:val="0"/>
                <w:i w:val="0"/>
                <w:sz w:val="20"/>
              </w:rPr>
              <w:t xml:space="preserve">Vectorisation des passages documentaires</w:t>
            </w:r>
          </w:p>
        </w:tc>
      </w:tr>
      <w:tr>
        <w:trPr>
          <w:cantSplit/>
        </w:trPr>
        <w:tc>
          <w:tcPr>
            <w:tcW w:type="dxa" w:w="2300"/>
          </w:tcPr>
          <w:p>
            <w:pPr>
              <w:spacing w:before="60" w:after="60"/>
              <w:jc w:val="left"/>
            </w:pPr>
            <w:r>
              <w:rPr>
                <w:rFonts w:ascii="Times New Roman" w:hAnsi="Times New Roman"/>
                <w:b w:val="0"/>
                <w:i w:val="0"/>
                <w:sz w:val="20"/>
              </w:rPr>
              <w:t xml:space="preserve">Base vectorielle</w:t>
            </w:r>
          </w:p>
        </w:tc>
        <w:tc>
          <w:tcPr>
            <w:tcW w:type="dxa" w:w="3300"/>
          </w:tcPr>
          <w:p>
            <w:pPr>
              <w:spacing w:before="60" w:after="60"/>
              <w:jc w:val="left"/>
            </w:pPr>
            <w:r>
              <w:rPr>
                <w:rFonts w:ascii="Times New Roman" w:hAnsi="Times New Roman"/>
                <w:b w:val="0"/>
                <w:i w:val="0"/>
                <w:sz w:val="20"/>
              </w:rPr>
              <w:t xml:space="preserve">ChromaDB (stockage local persistant)</w:t>
            </w:r>
          </w:p>
        </w:tc>
        <w:tc>
          <w:tcPr>
            <w:tcW w:type="dxa" w:w="3760"/>
          </w:tcPr>
          <w:p>
            <w:pPr>
              <w:spacing w:before="60" w:after="60"/>
              <w:jc w:val="left"/>
            </w:pPr>
            <w:r>
              <w:rPr>
                <w:rFonts w:ascii="Times New Roman" w:hAnsi="Times New Roman"/>
                <w:b w:val="0"/>
                <w:i w:val="0"/>
                <w:sz w:val="20"/>
              </w:rPr>
              <w:t xml:space="preserve">Index dense des passages</w:t>
            </w:r>
          </w:p>
        </w:tc>
      </w:tr>
      <w:tr>
        <w:trPr>
          <w:cantSplit/>
        </w:trPr>
        <w:tc>
          <w:tcPr>
            <w:tcW w:type="dxa" w:w="2300"/>
          </w:tcPr>
          <w:p>
            <w:pPr>
              <w:spacing w:before="60" w:after="60"/>
              <w:jc w:val="left"/>
            </w:pPr>
            <w:r>
              <w:rPr>
                <w:rFonts w:ascii="Times New Roman" w:hAnsi="Times New Roman"/>
                <w:b w:val="0"/>
                <w:i w:val="0"/>
                <w:sz w:val="20"/>
              </w:rPr>
              <w:t xml:space="preserve">Index lexical</w:t>
            </w:r>
          </w:p>
        </w:tc>
        <w:tc>
          <w:tcPr>
            <w:tcW w:type="dxa" w:w="3300"/>
          </w:tcPr>
          <w:p>
            <w:pPr>
              <w:spacing w:before="60" w:after="60"/>
              <w:jc w:val="left"/>
            </w:pPr>
            <w:r>
              <w:rPr>
                <w:rFonts w:ascii="Times New Roman" w:hAnsi="Times New Roman"/>
                <w:b w:val="0"/>
                <w:i w:val="0"/>
                <w:sz w:val="20"/>
              </w:rPr>
              <w:t xml:space="preserve">rank_bm25 (BM25Okapi)</w:t>
            </w:r>
          </w:p>
        </w:tc>
        <w:tc>
          <w:tcPr>
            <w:tcW w:type="dxa" w:w="3760"/>
          </w:tcPr>
          <w:p>
            <w:pPr>
              <w:spacing w:before="60" w:after="60"/>
              <w:jc w:val="left"/>
            </w:pPr>
            <w:r>
              <w:rPr>
                <w:rFonts w:ascii="Times New Roman" w:hAnsi="Times New Roman"/>
                <w:b w:val="0"/>
                <w:i w:val="0"/>
                <w:sz w:val="20"/>
              </w:rPr>
              <w:t xml:space="preserve">Recherche par mots-clés</w:t>
            </w:r>
          </w:p>
        </w:tc>
      </w:tr>
      <w:tr>
        <w:trPr>
          <w:cantSplit/>
        </w:trPr>
        <w:tc>
          <w:tcPr>
            <w:tcW w:type="dxa" w:w="2300"/>
          </w:tcPr>
          <w:p>
            <w:pPr>
              <w:spacing w:before="60" w:after="60"/>
              <w:jc w:val="left"/>
            </w:pPr>
            <w:r>
              <w:rPr>
                <w:rFonts w:ascii="Times New Roman" w:hAnsi="Times New Roman"/>
                <w:b w:val="0"/>
                <w:i w:val="0"/>
                <w:sz w:val="20"/>
              </w:rPr>
              <w:t xml:space="preserve">Gestion de versions</w:t>
            </w:r>
          </w:p>
        </w:tc>
        <w:tc>
          <w:tcPr>
            <w:tcW w:type="dxa" w:w="3300"/>
          </w:tcPr>
          <w:p>
            <w:pPr>
              <w:spacing w:before="60" w:after="60"/>
              <w:jc w:val="left"/>
            </w:pPr>
            <w:r>
              <w:rPr>
                <w:rFonts w:ascii="Times New Roman" w:hAnsi="Times New Roman"/>
                <w:b w:val="0"/>
                <w:i w:val="0"/>
                <w:sz w:val="20"/>
              </w:rPr>
              <w:t xml:space="preserve">Git, dépôt GitHub</w:t>
            </w:r>
          </w:p>
        </w:tc>
        <w:tc>
          <w:tcPr>
            <w:tcW w:type="dxa" w:w="3760"/>
          </w:tcPr>
          <w:p>
            <w:pPr>
              <w:spacing w:before="60" w:after="60"/>
              <w:jc w:val="left"/>
            </w:pPr>
            <w:r>
              <w:rPr>
                <w:rFonts w:ascii="Times New Roman" w:hAnsi="Times New Roman"/>
                <w:b w:val="0"/>
                <w:i w:val="0"/>
                <w:sz w:val="20"/>
              </w:rPr>
              <w:t xml:space="preserve">Historique des modifications</w:t>
            </w:r>
          </w:p>
        </w:tc>
      </w:tr>
    </w:tbl>
    <w:p>
      <w:pPr>
        <w:spacing w:before="0" w:after="120"/>
      </w:pPr>
    </w:p>
    <w:p>
      <w:pPr>
        <w:pStyle w:val="Heading3"/>
        <w:keepNext/>
        <w:spacing w:before="280" w:after="120"/>
        <w:jc w:val="left"/>
      </w:pPr>
      <w:r>
        <w:rPr>
          <w:rFonts w:ascii="Times New Roman" w:hAnsi="Times New Roman"/>
          <w:b/>
          <w:i w:val="0"/>
          <w:sz w:val="28"/>
        </w:rPr>
        <w:t xml:space="preserve">7.2. Organisation du dépôt et configuration</w:t>
      </w:r>
    </w:p>
    <w:p>
      <w:pPr>
        <w:spacing w:before="0" w:after="120" w:line="276" w:lineRule="auto"/>
        <w:jc w:val="both"/>
      </w:pPr>
      <w:r>
        <w:rPr>
          <w:rFonts w:ascii="Times New Roman" w:hAnsi="Times New Roman"/>
          <w:b w:val="0"/>
          <w:i w:val="0"/>
          <w:sz w:val="24"/>
        </w:rPr>
        <w:t xml:space="preserve">Le dépôt regroupe, dans un même ensemble versionné, le module Odoo, le backend et les moteurs de réponse. Chaque répertoire correspond à une responsabilité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api : </w:t>
      </w:r>
      <w:r>
        <w:rPr>
          <w:rFonts w:ascii="Times New Roman" w:hAnsi="Times New Roman"/>
          <w:b w:val="0"/>
          <w:i w:val="0"/>
          <w:sz w:val="24"/>
        </w:rPr>
        <w:t xml:space="preserve">points d'accès FastAPI, authentification et traitement des demandes longues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core : </w:t>
      </w:r>
      <w:r>
        <w:rPr>
          <w:rFonts w:ascii="Times New Roman" w:hAnsi="Times New Roman"/>
          <w:b w:val="0"/>
          <w:i w:val="0"/>
          <w:sz w:val="24"/>
        </w:rPr>
        <w:t xml:space="preserve">graphe LangGraph principal, routage de la question et vérification finale, collecte des preuves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document_rag : </w:t>
      </w:r>
      <w:r>
        <w:rPr>
          <w:rFonts w:ascii="Times New Roman" w:hAnsi="Times New Roman"/>
          <w:b w:val="0"/>
          <w:i w:val="0"/>
          <w:sz w:val="24"/>
        </w:rPr>
        <w:t xml:space="preserve">ingestion, recherche et génération pour les documents internes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erp_data : </w:t>
      </w:r>
      <w:r>
        <w:rPr>
          <w:rFonts w:ascii="Times New Roman" w:hAnsi="Times New Roman"/>
          <w:b w:val="0"/>
          <w:i w:val="0"/>
          <w:sz w:val="24"/>
        </w:rPr>
        <w:t xml:space="preserve">outils typés de lecture des données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odoo_addons/miro_ai : </w:t>
      </w:r>
      <w:r>
        <w:rPr>
          <w:rFonts w:ascii="Times New Roman" w:hAnsi="Times New Roman"/>
          <w:b w:val="0"/>
          <w:i w:val="0"/>
          <w:sz w:val="24"/>
        </w:rPr>
        <w:t xml:space="preserve">module Odoo 17 : interface de conversation et client du backend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code_intelligence : </w:t>
      </w:r>
      <w:r>
        <w:rPr>
          <w:rFonts w:ascii="Times New Roman" w:hAnsi="Times New Roman"/>
          <w:b w:val="0"/>
          <w:i w:val="0"/>
          <w:sz w:val="24"/>
        </w:rPr>
        <w:t xml:space="preserve">analyse du code source d'Odoo (présentée au Chapitre 10)</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config, scripts, tests : </w:t>
      </w:r>
      <w:r>
        <w:rPr>
          <w:rFonts w:ascii="Times New Roman" w:hAnsi="Times New Roman"/>
          <w:b w:val="0"/>
          <w:i w:val="0"/>
          <w:sz w:val="24"/>
        </w:rPr>
        <w:t xml:space="preserve">constantes de configuration, utilitaires d'installation et d'évaluation, tests automatisés</w:t>
      </w:r>
    </w:p>
    <w:p>
      <w:pPr>
        <w:spacing w:before="0" w:after="120" w:line="276" w:lineRule="auto"/>
        <w:jc w:val="both"/>
      </w:pPr>
      <w:r>
        <w:rPr>
          <w:rFonts w:ascii="Times New Roman" w:hAnsi="Times New Roman"/>
          <w:b w:val="0"/>
          <w:i w:val="0"/>
          <w:sz w:val="24"/>
        </w:rPr>
        <w:t xml:space="preserve">La configuration obéit à une règle simple. Le fichier d'environnement (.env) ne contient que ce qui change d'un poste ou d'un déploiement à l'autre : secrets, adresses du serveur d'inférence et de l'instance Odoo, emplacement des installations externes, chacun avec une valeur par défaut portable. Tout le reste (modèles, seuils, limites, comportement) est une constante du fichier config/settings.py. Les dépendances installées sont toutes consignées dans requirements.txt, et chaque modification du projet est inscrite dans un journal de travail horodaté (todo/contexte.txt), ce qui assure la traçabilité des décisions.</w:t>
      </w:r>
    </w:p>
    <w:p>
      <w:pPr>
        <w:pStyle w:val="Heading3"/>
        <w:keepNext/>
        <w:spacing w:before="280" w:after="120"/>
        <w:jc w:val="left"/>
      </w:pPr>
      <w:r>
        <w:rPr>
          <w:rFonts w:ascii="Times New Roman" w:hAnsi="Times New Roman"/>
          <w:b/>
          <w:i w:val="0"/>
          <w:sz w:val="28"/>
        </w:rPr>
        <w:t xml:space="preserve">7.3. Procédure de mise en place</w:t>
      </w:r>
    </w:p>
    <w:p>
      <w:pPr>
        <w:spacing w:before="0" w:after="120" w:line="276" w:lineRule="auto"/>
        <w:jc w:val="both"/>
      </w:pPr>
      <w:r>
        <w:rPr>
          <w:rFonts w:ascii="Times New Roman" w:hAnsi="Times New Roman"/>
          <w:b w:val="0"/>
          <w:i w:val="0"/>
          <w:sz w:val="24"/>
        </w:rPr>
        <w:t xml:space="preserve">Le Tableau 38 résume les étapes d'installation sur un nouveau poste, telles que décrites dans le fichier README du projet.</w:t>
      </w:r>
    </w:p>
    <w:p>
      <w:pPr>
        <w:keepNext/>
        <w:spacing w:before="120" w:after="120" w:line="276" w:lineRule="auto"/>
        <w:jc w:val="left"/>
      </w:pPr>
      <w:r>
        <w:rPr>
          <w:rFonts w:ascii="Times New Roman" w:hAnsi="Times New Roman"/>
          <w:b/>
          <w:i w:val="0"/>
          <w:sz w:val="22"/>
        </w:rPr>
        <w:t xml:space="preserve">Tableau 38. Étapes de mise en place du système sur un nouveau poste</w:t>
      </w:r>
    </w:p>
    <w:tbl>
      <w:tblPr>
        <w:tblStyle w:val="Table10"/>
        <w:tblW w:type="dxa" w:w="9360"/>
        <w:jc w:val="center"/>
        <w:tblLook w:firstColumn="1" w:firstRow="1" w:lastColumn="0" w:lastRow="0" w:noHBand="0" w:noVBand="1" w:val="04A0"/>
      </w:tblPr>
      <w:tblGrid>
        <w:gridCol w:w="2000"/>
        <w:gridCol w:w="4560"/>
        <w:gridCol w:w="2800"/>
      </w:tblGrid>
      <w:tr>
        <w:trPr>
          <w:tblHeader/>
        </w:trPr>
        <w:tc>
          <w:tcPr>
            <w:tcW w:type="dxa" w:w="2000"/>
          </w:tcPr>
          <w:p>
            <w:pPr>
              <w:spacing w:before="80" w:after="80"/>
              <w:jc w:val="center"/>
            </w:pPr>
            <w:r>
              <w:rPr>
                <w:rFonts w:ascii="Times New Roman" w:hAnsi="Times New Roman"/>
                <w:b/>
                <w:i w:val="0"/>
                <w:sz w:val="21"/>
              </w:rPr>
              <w:t xml:space="preserve">Étape</w:t>
            </w:r>
          </w:p>
        </w:tc>
        <w:tc>
          <w:tcPr>
            <w:tcW w:type="dxa" w:w="4560"/>
          </w:tcPr>
          <w:p>
            <w:pPr>
              <w:spacing w:before="80" w:after="80"/>
              <w:jc w:val="center"/>
            </w:pPr>
            <w:r>
              <w:rPr>
                <w:rFonts w:ascii="Times New Roman" w:hAnsi="Times New Roman"/>
                <w:b/>
                <w:i w:val="0"/>
                <w:sz w:val="21"/>
              </w:rPr>
              <w:t xml:space="preserve">Action</w:t>
            </w:r>
          </w:p>
        </w:tc>
        <w:tc>
          <w:tcPr>
            <w:tcW w:type="dxa" w:w="2800"/>
          </w:tcPr>
          <w:p>
            <w:pPr>
              <w:spacing w:before="80" w:after="80"/>
              <w:jc w:val="center"/>
            </w:pPr>
            <w:r>
              <w:rPr>
                <w:rFonts w:ascii="Times New Roman" w:hAnsi="Times New Roman"/>
                <w:b/>
                <w:i w:val="0"/>
                <w:sz w:val="21"/>
              </w:rPr>
              <w:t xml:space="preserve">Résultat attendu</w:t>
            </w:r>
          </w:p>
        </w:tc>
      </w:tr>
      <w:tr>
        <w:trPr>
          <w:cantSplit/>
        </w:trPr>
        <w:tc>
          <w:tcPr>
            <w:tcW w:type="dxa" w:w="2000"/>
          </w:tcPr>
          <w:p>
            <w:pPr>
              <w:spacing w:before="60" w:after="60"/>
              <w:jc w:val="left"/>
            </w:pPr>
            <w:r>
              <w:rPr>
                <w:rFonts w:ascii="Times New Roman" w:hAnsi="Times New Roman"/>
                <w:b w:val="0"/>
                <w:i w:val="0"/>
                <w:sz w:val="20"/>
              </w:rPr>
              <w:t xml:space="preserve">1. Dépendances et dépôt</w:t>
            </w:r>
          </w:p>
        </w:tc>
        <w:tc>
          <w:tcPr>
            <w:tcW w:type="dxa" w:w="4560"/>
          </w:tcPr>
          <w:p>
            <w:pPr>
              <w:spacing w:before="60" w:after="60"/>
              <w:jc w:val="left"/>
            </w:pPr>
            <w:r>
              <w:rPr>
                <w:rFonts w:ascii="Times New Roman" w:hAnsi="Times New Roman"/>
                <w:b w:val="0"/>
                <w:i w:val="0"/>
                <w:sz w:val="20"/>
              </w:rPr>
              <w:t xml:space="preserve">Installation des paquets système, clonage du dépôt, création du venv, installation de requirements.txt</w:t>
            </w:r>
          </w:p>
        </w:tc>
        <w:tc>
          <w:tcPr>
            <w:tcW w:type="dxa" w:w="2800"/>
          </w:tcPr>
          <w:p>
            <w:pPr>
              <w:spacing w:before="60" w:after="60"/>
              <w:jc w:val="left"/>
            </w:pPr>
            <w:r>
              <w:rPr>
                <w:rFonts w:ascii="Times New Roman" w:hAnsi="Times New Roman"/>
                <w:b w:val="0"/>
                <w:i w:val="0"/>
                <w:sz w:val="20"/>
              </w:rPr>
              <w:t xml:space="preserve">Environnement Python reproductible</w:t>
            </w:r>
          </w:p>
        </w:tc>
      </w:tr>
      <w:tr>
        <w:trPr>
          <w:cantSplit/>
        </w:trPr>
        <w:tc>
          <w:tcPr>
            <w:tcW w:type="dxa" w:w="2000"/>
          </w:tcPr>
          <w:p>
            <w:pPr>
              <w:spacing w:before="60" w:after="60"/>
              <w:jc w:val="left"/>
            </w:pPr>
            <w:r>
              <w:rPr>
                <w:rFonts w:ascii="Times New Roman" w:hAnsi="Times New Roman"/>
                <w:b w:val="0"/>
                <w:i w:val="0"/>
                <w:sz w:val="20"/>
              </w:rPr>
              <w:t xml:space="preserve">2. Configuration</w:t>
            </w:r>
          </w:p>
        </w:tc>
        <w:tc>
          <w:tcPr>
            <w:tcW w:type="dxa" w:w="4560"/>
          </w:tcPr>
          <w:p>
            <w:pPr>
              <w:spacing w:before="60" w:after="60"/>
              <w:jc w:val="left"/>
            </w:pPr>
            <w:r>
              <w:rPr>
                <w:rFonts w:ascii="Times New Roman" w:hAnsi="Times New Roman"/>
                <w:b w:val="0"/>
                <w:i w:val="0"/>
                <w:sz w:val="20"/>
              </w:rPr>
              <w:t xml:space="preserve">Copie de .env.example vers .env : adresse du serveur d'inférence, mot de passe du compte de service Odoo</w:t>
            </w:r>
          </w:p>
        </w:tc>
        <w:tc>
          <w:tcPr>
            <w:tcW w:type="dxa" w:w="2800"/>
          </w:tcPr>
          <w:p>
            <w:pPr>
              <w:spacing w:before="60" w:after="60"/>
              <w:jc w:val="left"/>
            </w:pPr>
            <w:r>
              <w:rPr>
                <w:rFonts w:ascii="Times New Roman" w:hAnsi="Times New Roman"/>
                <w:b w:val="0"/>
                <w:i w:val="0"/>
                <w:sz w:val="20"/>
              </w:rPr>
              <w:t xml:space="preserve">Secrets conservés hors du dépôt</w:t>
            </w:r>
          </w:p>
        </w:tc>
      </w:tr>
      <w:tr>
        <w:trPr>
          <w:cantSplit/>
        </w:trPr>
        <w:tc>
          <w:tcPr>
            <w:tcW w:type="dxa" w:w="2000"/>
          </w:tcPr>
          <w:p>
            <w:pPr>
              <w:spacing w:before="60" w:after="60"/>
              <w:jc w:val="left"/>
            </w:pPr>
            <w:r>
              <w:rPr>
                <w:rFonts w:ascii="Times New Roman" w:hAnsi="Times New Roman"/>
                <w:b w:val="0"/>
                <w:i w:val="0"/>
                <w:sz w:val="20"/>
              </w:rPr>
              <w:t xml:space="preserve">3. Odoo</w:t>
            </w:r>
          </w:p>
        </w:tc>
        <w:tc>
          <w:tcPr>
            <w:tcW w:type="dxa" w:w="4560"/>
          </w:tcPr>
          <w:p>
            <w:pPr>
              <w:spacing w:before="60" w:after="60"/>
              <w:jc w:val="left"/>
            </w:pPr>
            <w:r>
              <w:rPr>
                <w:rFonts w:ascii="Times New Roman" w:hAnsi="Times New Roman"/>
                <w:b w:val="0"/>
                <w:i w:val="0"/>
                <w:sz w:val="20"/>
              </w:rPr>
              <w:t xml:space="preserve">Installation des sources 17.0, création de la base PostgreSQL, odoo.conf avec odoo_addons dans addons_path</w:t>
            </w:r>
          </w:p>
        </w:tc>
        <w:tc>
          <w:tcPr>
            <w:tcW w:type="dxa" w:w="2800"/>
          </w:tcPr>
          <w:p>
            <w:pPr>
              <w:spacing w:before="60" w:after="60"/>
              <w:jc w:val="left"/>
            </w:pPr>
            <w:r>
              <w:rPr>
                <w:rFonts w:ascii="Times New Roman" w:hAnsi="Times New Roman"/>
                <w:b w:val="0"/>
                <w:i w:val="0"/>
                <w:sz w:val="20"/>
              </w:rPr>
              <w:t xml:space="preserve">Instance Odoo démarrable</w:t>
            </w:r>
          </w:p>
        </w:tc>
      </w:tr>
      <w:tr>
        <w:trPr>
          <w:cantSplit/>
        </w:trPr>
        <w:tc>
          <w:tcPr>
            <w:tcW w:type="dxa" w:w="2000"/>
          </w:tcPr>
          <w:p>
            <w:pPr>
              <w:spacing w:before="60" w:after="60"/>
              <w:jc w:val="left"/>
            </w:pPr>
            <w:r>
              <w:rPr>
                <w:rFonts w:ascii="Times New Roman" w:hAnsi="Times New Roman"/>
                <w:b w:val="0"/>
                <w:i w:val="0"/>
                <w:sz w:val="20"/>
              </w:rPr>
              <w:t xml:space="preserve">4. Modules</w:t>
            </w:r>
          </w:p>
        </w:tc>
        <w:tc>
          <w:tcPr>
            <w:tcW w:type="dxa" w:w="4560"/>
          </w:tcPr>
          <w:p>
            <w:pPr>
              <w:spacing w:before="60" w:after="60"/>
              <w:jc w:val="left"/>
            </w:pPr>
            <w:r>
              <w:rPr>
                <w:rFonts w:ascii="Times New Roman" w:hAnsi="Times New Roman"/>
                <w:b w:val="0"/>
                <w:i w:val="0"/>
                <w:sz w:val="20"/>
              </w:rPr>
              <w:t xml:space="preserve">Installation de miro_ai et des modules métiers listés dans scripts/odoo_modules_to_install.txt</w:t>
            </w:r>
          </w:p>
        </w:tc>
        <w:tc>
          <w:tcPr>
            <w:tcW w:type="dxa" w:w="2800"/>
          </w:tcPr>
          <w:p>
            <w:pPr>
              <w:spacing w:before="60" w:after="60"/>
              <w:jc w:val="left"/>
            </w:pPr>
            <w:r>
              <w:rPr>
                <w:rFonts w:ascii="Times New Roman" w:hAnsi="Times New Roman"/>
                <w:b w:val="0"/>
                <w:i w:val="0"/>
                <w:sz w:val="20"/>
              </w:rPr>
              <w:t xml:space="preserve">Modules disponibles dans Odoo</w:t>
            </w:r>
          </w:p>
        </w:tc>
      </w:tr>
      <w:tr>
        <w:trPr>
          <w:cantSplit/>
        </w:trPr>
        <w:tc>
          <w:tcPr>
            <w:tcW w:type="dxa" w:w="2000"/>
          </w:tcPr>
          <w:p>
            <w:pPr>
              <w:spacing w:before="60" w:after="60"/>
              <w:jc w:val="left"/>
            </w:pPr>
            <w:r>
              <w:rPr>
                <w:rFonts w:ascii="Times New Roman" w:hAnsi="Times New Roman"/>
                <w:b w:val="0"/>
                <w:i w:val="0"/>
                <w:sz w:val="20"/>
              </w:rPr>
              <w:t xml:space="preserve">5. Données de test</w:t>
            </w:r>
          </w:p>
        </w:tc>
        <w:tc>
          <w:tcPr>
            <w:tcW w:type="dxa" w:w="4560"/>
          </w:tcPr>
          <w:p>
            <w:pPr>
              <w:spacing w:before="60" w:after="60"/>
              <w:jc w:val="left"/>
            </w:pPr>
            <w:r>
              <w:rPr>
                <w:rFonts w:ascii="Times New Roman" w:hAnsi="Times New Roman"/>
                <w:b w:val="0"/>
                <w:i w:val="0"/>
                <w:sz w:val="20"/>
              </w:rPr>
              <w:t xml:space="preserve">Exécution du script full_setup.py (société, journaux, utilisateurs, produits)</w:t>
            </w:r>
          </w:p>
        </w:tc>
        <w:tc>
          <w:tcPr>
            <w:tcW w:type="dxa" w:w="2800"/>
          </w:tcPr>
          <w:p>
            <w:pPr>
              <w:spacing w:before="60" w:after="60"/>
              <w:jc w:val="left"/>
            </w:pPr>
            <w:r>
              <w:rPr>
                <w:rFonts w:ascii="Times New Roman" w:hAnsi="Times New Roman"/>
                <w:b w:val="0"/>
                <w:i w:val="0"/>
                <w:sz w:val="20"/>
              </w:rPr>
              <w:t xml:space="preserve">Instance de démonstration</w:t>
            </w:r>
          </w:p>
        </w:tc>
      </w:tr>
      <w:tr>
        <w:trPr>
          <w:cantSplit/>
        </w:trPr>
        <w:tc>
          <w:tcPr>
            <w:tcW w:type="dxa" w:w="2000"/>
          </w:tcPr>
          <w:p>
            <w:pPr>
              <w:spacing w:before="60" w:after="60"/>
              <w:jc w:val="left"/>
            </w:pPr>
            <w:r>
              <w:rPr>
                <w:rFonts w:ascii="Times New Roman" w:hAnsi="Times New Roman"/>
                <w:b w:val="0"/>
                <w:i w:val="0"/>
                <w:sz w:val="20"/>
              </w:rPr>
              <w:t xml:space="preserve">6. Index documentaire</w:t>
            </w:r>
          </w:p>
        </w:tc>
        <w:tc>
          <w:tcPr>
            <w:tcW w:type="dxa" w:w="4560"/>
          </w:tcPr>
          <w:p>
            <w:pPr>
              <w:spacing w:before="60" w:after="60"/>
              <w:jc w:val="left"/>
            </w:pPr>
            <w:r>
              <w:rPr>
                <w:rFonts w:ascii="Times New Roman" w:hAnsi="Times New Roman"/>
                <w:b w:val="0"/>
                <w:i w:val="0"/>
                <w:sz w:val="20"/>
              </w:rPr>
              <w:t xml:space="preserve">Exécution de document_rag.ingestion.ingest_all</w:t>
            </w:r>
          </w:p>
        </w:tc>
        <w:tc>
          <w:tcPr>
            <w:tcW w:type="dxa" w:w="2800"/>
          </w:tcPr>
          <w:p>
            <w:pPr>
              <w:spacing w:before="60" w:after="60"/>
              <w:jc w:val="left"/>
            </w:pPr>
            <w:r>
              <w:rPr>
                <w:rFonts w:ascii="Times New Roman" w:hAnsi="Times New Roman"/>
                <w:b w:val="0"/>
                <w:i w:val="0"/>
                <w:sz w:val="20"/>
              </w:rPr>
              <w:t xml:space="preserve">Base ChromaDB et index BM25 construits</w:t>
            </w:r>
          </w:p>
        </w:tc>
      </w:tr>
      <w:tr>
        <w:trPr>
          <w:cantSplit/>
        </w:trPr>
        <w:tc>
          <w:tcPr>
            <w:tcW w:type="dxa" w:w="2000"/>
          </w:tcPr>
          <w:p>
            <w:pPr>
              <w:spacing w:before="60" w:after="60"/>
              <w:jc w:val="left"/>
            </w:pPr>
            <w:r>
              <w:rPr>
                <w:rFonts w:ascii="Times New Roman" w:hAnsi="Times New Roman"/>
                <w:b w:val="0"/>
                <w:i w:val="0"/>
                <w:sz w:val="20"/>
              </w:rPr>
              <w:t xml:space="preserve">7. Démarrage</w:t>
            </w:r>
          </w:p>
        </w:tc>
        <w:tc>
          <w:tcPr>
            <w:tcW w:type="dxa" w:w="4560"/>
          </w:tcPr>
          <w:p>
            <w:pPr>
              <w:spacing w:before="60" w:after="60"/>
              <w:jc w:val="left"/>
            </w:pPr>
            <w:r>
              <w:rPr>
                <w:rFonts w:ascii="Times New Roman" w:hAnsi="Times New Roman"/>
                <w:b w:val="0"/>
                <w:i w:val="0"/>
                <w:sz w:val="20"/>
              </w:rPr>
              <w:t xml:space="preserve">Lancement d'Odoo puis de uvicorn (api.main:app)</w:t>
            </w:r>
          </w:p>
        </w:tc>
        <w:tc>
          <w:tcPr>
            <w:tcW w:type="dxa" w:w="2800"/>
          </w:tcPr>
          <w:p>
            <w:pPr>
              <w:spacing w:before="60" w:after="60"/>
              <w:jc w:val="left"/>
            </w:pPr>
            <w:r>
              <w:rPr>
                <w:rFonts w:ascii="Times New Roman" w:hAnsi="Times New Roman"/>
                <w:b w:val="0"/>
                <w:i w:val="0"/>
                <w:sz w:val="20"/>
              </w:rPr>
              <w:t xml:space="preserve">Bouton MIRO AI visible dans la barre supérieure</w:t>
            </w:r>
          </w:p>
        </w:tc>
      </w:tr>
    </w:tbl>
    <w:p>
      <w:pPr>
        <w:spacing w:before="0" w:after="120"/>
      </w:pPr>
    </w:p>
    <w:p>
      <w:pPr>
        <w:pStyle w:val="Heading2"/>
        <w:spacing w:before="360" w:after="160"/>
        <w:jc w:val="left"/>
      </w:pPr>
      <w:r>
        <w:rPr>
          <w:rFonts w:ascii="Times New Roman" w:hAnsi="Times New Roman"/>
          <w:b/>
          <w:i w:val="0"/>
          <w:sz w:val="32"/>
        </w:rPr>
        <w:t xml:space="preserve">Chapitre 8. Développement des composants</w:t>
      </w:r>
    </w:p>
    <w:p>
      <w:pPr>
        <w:spacing w:before="0" w:after="120" w:line="276" w:lineRule="auto"/>
        <w:jc w:val="both"/>
      </w:pPr>
      <w:r>
        <w:rPr>
          <w:rFonts w:ascii="Times New Roman" w:hAnsi="Times New Roman"/>
          <w:b w:val="0"/>
          <w:i w:val="0"/>
          <w:sz w:val="24"/>
        </w:rPr>
        <w:t xml:space="preserve">Ce chapitre présente les composants effectivement développés : le module Odoo miro_ai, le backend d'orchestration, le moteur de recherche documentaire et les outils de lecture des données de l'ERP. Les choix de conception justifiés au Chapitre 6 n'y sont pas répétés ; on y décrit ce que le code réalise.</w:t>
      </w:r>
    </w:p>
    <w:p>
      <w:pPr>
        <w:pStyle w:val="Heading3"/>
        <w:keepNext/>
        <w:spacing w:before="280" w:after="120"/>
        <w:jc w:val="left"/>
      </w:pPr>
      <w:r>
        <w:rPr>
          <w:rFonts w:ascii="Times New Roman" w:hAnsi="Times New Roman"/>
          <w:b/>
          <w:i w:val="0"/>
          <w:sz w:val="28"/>
        </w:rPr>
        <w:t xml:space="preserve">8.1. Module Odoo miro_ai</w:t>
      </w:r>
    </w:p>
    <w:p>
      <w:pPr>
        <w:spacing w:before="0" w:after="120" w:line="276" w:lineRule="auto"/>
        <w:jc w:val="both"/>
      </w:pPr>
      <w:r>
        <w:rPr>
          <w:rFonts w:ascii="Times New Roman" w:hAnsi="Times New Roman"/>
          <w:b w:val="0"/>
          <w:i w:val="0"/>
          <w:sz w:val="24"/>
        </w:rPr>
        <w:t xml:space="preserve">Le module miro_ai s'installe comme n'importe quel module Odoo 17. Il se compose des éléments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Contrôleurs : </w:t>
      </w:r>
      <w:r>
        <w:rPr>
          <w:rFonts w:ascii="Times New Roman" w:hAnsi="Times New Roman"/>
          <w:b w:val="0"/>
          <w:i w:val="0"/>
          <w:sz w:val="24"/>
        </w:rPr>
        <w:t xml:space="preserve">réception de la question, signature de la requête, transmission au backend et suivi de la tâche (fichiers main.py, ask_flow.py et backend_client.py)</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Modèles : </w:t>
      </w:r>
      <w:r>
        <w:rPr>
          <w:rFonts w:ascii="Times New Roman" w:hAnsi="Times New Roman"/>
          <w:b w:val="0"/>
          <w:i w:val="0"/>
          <w:sz w:val="24"/>
        </w:rPr>
        <w:t xml:space="preserve">paramètres du module (adresse du backend, secret de signature) et journal d'audit des échanges (miro_ai_settings, miro_ai_log)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 </w:t>
      </w:r>
      <w:r>
        <w:rPr>
          <w:rFonts w:ascii="Times New Roman" w:hAnsi="Times New Roman"/>
          <w:b w:val="0"/>
          <w:i w:val="0"/>
          <w:sz w:val="24"/>
        </w:rPr>
        <w:t xml:space="preserve">composant OWL accessible depuis la barre supérieure, gabarit XML, feuille de style et libellés traduits ; traduction française fournie dans le répertoire i18n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 </w:t>
      </w:r>
      <w:r>
        <w:rPr>
          <w:rFonts w:ascii="Times New Roman" w:hAnsi="Times New Roman"/>
          <w:b w:val="0"/>
          <w:i w:val="0"/>
          <w:sz w:val="24"/>
        </w:rPr>
        <w:t xml:space="preserve">groupes et droits d'accès propres au module</w:t>
      </w:r>
    </w:p>
    <w:p>
      <w:pPr>
        <w:spacing w:before="120" w:after="120"/>
        <w:jc w:val="center"/>
      </w:pPr>
      <w:r>
        <w:rPr>
          <w:rFonts w:ascii="Times New Roman" w:hAnsi="Times New Roman"/>
          <w:b w:val="0"/>
          <w:i/>
          <w:sz w:val="22"/>
          <w:highlight w:val="yellow"/>
        </w:rPr>
        <w:t xml:space="preserve">[À insérer : capture d'écran du bouton MIRO AI dans la barre supérieure d'Odoo et du panneau de conversation ouvert]</w:t>
      </w:r>
    </w:p>
    <w:p>
      <w:pPr>
        <w:spacing w:before="120" w:after="240" w:line="360" w:lineRule="auto"/>
        <w:jc w:val="center"/>
      </w:pPr>
      <w:r>
        <w:rPr>
          <w:rFonts w:ascii="Times New Roman" w:hAnsi="Times New Roman"/>
          <w:b w:val="0"/>
          <w:i/>
          <w:sz w:val="24"/>
        </w:rPr>
        <w:t xml:space="preserve">Figure 8.1 — Interface de conversation du module miro_ai dans Odoo 17</w:t>
      </w:r>
    </w:p>
    <w:p>
      <w:pPr>
        <w:pStyle w:val="Heading3"/>
        <w:keepNext/>
        <w:spacing w:before="280" w:after="120"/>
        <w:jc w:val="left"/>
      </w:pPr>
      <w:r>
        <w:rPr>
          <w:rFonts w:ascii="Times New Roman" w:hAnsi="Times New Roman"/>
          <w:b/>
          <w:i w:val="0"/>
          <w:sz w:val="28"/>
        </w:rPr>
        <w:t xml:space="preserve">8.2. Backend d'orchestration</w:t>
      </w:r>
    </w:p>
    <w:p>
      <w:pPr>
        <w:spacing w:before="0" w:after="120" w:line="276" w:lineRule="auto"/>
        <w:jc w:val="both"/>
      </w:pPr>
      <w:r>
        <w:rPr>
          <w:rFonts w:ascii="Times New Roman" w:hAnsi="Times New Roman"/>
          <w:b w:val="0"/>
          <w:i w:val="0"/>
          <w:sz w:val="24"/>
        </w:rPr>
        <w:t xml:space="preserve">Le backend FastAPI expose les points d'accès décrits au Tableau 36. La demande de réponse est asynchrone : le point d'accès de création de tâche renvoie immédiatement un identifiant avec le code 202, puis un second point d'accès permet de consulter l'état de la tâche jusqu'à la réponse complète. Des points d'accès complémentaires permettent de relancer l'indexation documentaire, de consulter son état, de déclencher un balayage planifié, de contrôler la santé du service et de lister les modules couverts.</w:t>
      </w:r>
    </w:p>
    <w:p>
      <w:pPr>
        <w:spacing w:before="0" w:after="120" w:line="276" w:lineRule="auto"/>
        <w:jc w:val="both"/>
      </w:pPr>
      <w:r>
        <w:rPr>
          <w:rFonts w:ascii="Times New Roman" w:hAnsi="Times New Roman"/>
          <w:b w:val="0"/>
          <w:i w:val="0"/>
          <w:sz w:val="24"/>
        </w:rPr>
        <w:t xml:space="preserve">Pour chaque question, le graphe LangGraph choisit d'abord la source : le choix explicite de l'utilisateur est prioritaire ; à défaut, une classification détermine la source la plus probable, et le système demande une précision lorsque la confiance est insuffisante au lieu de choisir silencieusement. La question suit ensuite l'un des deux chemins (documentation ou système Odoo), les observations collectées sont rassemblées dans un dossier de preuves, puis une vérification finale précède la réponse.</w:t>
      </w:r>
    </w:p>
    <w:p>
      <w:pPr>
        <w:pStyle w:val="Heading3"/>
        <w:keepNext/>
        <w:spacing w:before="280" w:after="120"/>
        <w:jc w:val="left"/>
      </w:pPr>
      <w:r>
        <w:rPr>
          <w:rFonts w:ascii="Times New Roman" w:hAnsi="Times New Roman"/>
          <w:b/>
          <w:i w:val="0"/>
          <w:sz w:val="28"/>
        </w:rPr>
        <w:t xml:space="preserve">8.3. Moteur de recherche documentaire</w:t>
      </w:r>
    </w:p>
    <w:p>
      <w:pPr>
        <w:keepNext/>
        <w:spacing w:before="200" w:after="100"/>
        <w:jc w:val="left"/>
      </w:pPr>
      <w:r>
        <w:rPr>
          <w:rFonts w:ascii="Times New Roman" w:hAnsi="Times New Roman"/>
          <w:b/>
          <w:i w:val="0"/>
          <w:sz w:val="24"/>
        </w:rPr>
        <w:t xml:space="preserve">8.3.1. Ingestion des documents</w:t>
      </w:r>
    </w:p>
    <w:p>
      <w:pPr>
        <w:spacing w:before="0" w:after="120" w:line="276" w:lineRule="auto"/>
        <w:jc w:val="both"/>
      </w:pPr>
      <w:r>
        <w:rPr>
          <w:rFonts w:ascii="Times New Roman" w:hAnsi="Times New Roman"/>
          <w:b w:val="0"/>
          <w:i w:val="0"/>
          <w:sz w:val="24"/>
        </w:rPr>
        <w:t xml:space="preserve">L'ingestion lit les fichiers PDF, DOCX, Markdown et texte. Les PDF numérisés peuvent être traités par reconnaissance optique de caractères (pytesseract et pdf2image). Chaque document est découpé en passages de 512 unités avec un recouvrement de 50, et chaque passage reçoit des métadonnées (position dans le document, empreinte du contenu). L'empreinte permet une ingestion incrémentale : seuls les fichiers modifiés sont réindexés. Un observateur de dossier réagit aux ajouts et modifications, et un balayage périodique (toutes les six heures) rattrape les changements manqués.</w:t>
      </w:r>
    </w:p>
    <w:p>
      <w:pPr>
        <w:spacing w:before="0" w:after="120" w:line="276" w:lineRule="auto"/>
        <w:jc w:val="both"/>
      </w:pPr>
      <w:r>
        <w:rPr>
          <w:rFonts w:ascii="Times New Roman" w:hAnsi="Times New Roman"/>
          <w:b w:val="0"/>
          <w:i w:val="0"/>
          <w:sz w:val="24"/>
        </w:rPr>
        <w:t xml:space="preserve">Le corpus de démonstration compte dix-huit documents (six PDF, deux DOCX, trois fichiers Markdown et sept fichiers texte) couvrant les achats, la facturation, la clôture comptable, les notes de frais, les ressources humaines, la sécurité informatique et le support. En production, le corpus est destiné à vivre dans un dossier Google Drive partagé : un compte de service en lecture seule lit les dossiers approuvés, un corpus approuvé correspond à une collection, et la synchronisation supprime les passages dont le document n'est plus dans le périmètre.</w:t>
      </w:r>
    </w:p>
    <w:p>
      <w:pPr>
        <w:keepNext/>
        <w:spacing w:before="200" w:after="100"/>
        <w:jc w:val="left"/>
      </w:pPr>
      <w:r>
        <w:rPr>
          <w:rFonts w:ascii="Times New Roman" w:hAnsi="Times New Roman"/>
          <w:b/>
          <w:i w:val="0"/>
          <w:sz w:val="24"/>
        </w:rPr>
        <w:t xml:space="preserve">8.3.2. Recherche hybride</w:t>
      </w:r>
    </w:p>
    <w:p>
      <w:pPr>
        <w:spacing w:before="0" w:after="120" w:line="276" w:lineRule="auto"/>
        <w:jc w:val="both"/>
      </w:pPr>
      <w:r>
        <w:rPr>
          <w:rFonts w:ascii="Times New Roman" w:hAnsi="Times New Roman"/>
          <w:b w:val="0"/>
          <w:i w:val="0"/>
          <w:sz w:val="24"/>
        </w:rPr>
        <w:t xml:space="preserve">La recherche combine une recherche vectorielle dans ChromaDB (embeddings bge-m3) et une recherche lexicale BM25 avec normalisation Unicode et suppression des mots vides français et anglais. Les deux classements sont fusionnés par Reciprocal Rank Fusion pondérée. Le jeu de candidats est volontairement large avant la sélection finale, les passages contigus des passages retenus sont ajoutés pour restituer le contexte, et les passages issus d'un document Drive qui n'existe plus sont écartés. Un reclasseur de type cross-encoder a été essayé puis retiré, ce qui a permis de supprimer la pile PyTorch des dépendances. Le Tableau 39 donne les paramètres effectifs.</w:t>
      </w:r>
    </w:p>
    <w:p>
      <w:pPr>
        <w:keepNext/>
        <w:spacing w:before="120" w:after="120" w:line="276" w:lineRule="auto"/>
        <w:jc w:val="left"/>
      </w:pPr>
      <w:r>
        <w:rPr>
          <w:rFonts w:ascii="Times New Roman" w:hAnsi="Times New Roman"/>
          <w:b/>
          <w:i w:val="0"/>
          <w:sz w:val="22"/>
        </w:rPr>
        <w:t xml:space="preserve">Tableau 39. Paramètres effectifs du moteur de recherche documentaire</w:t>
      </w:r>
    </w:p>
    <w:tbl>
      <w:tblPr>
        <w:tblStyle w:val="Table10"/>
        <w:tblW w:type="dxa" w:w="9360"/>
        <w:jc w:val="center"/>
        <w:tblLook w:firstColumn="1" w:firstRow="1" w:lastColumn="0" w:lastRow="0" w:noHBand="0" w:noVBand="1" w:val="04A0"/>
      </w:tblPr>
      <w:tblGrid>
        <w:gridCol w:w="2700"/>
        <w:gridCol w:w="2700"/>
        <w:gridCol w:w="3960"/>
      </w:tblGrid>
      <w:tr>
        <w:trPr>
          <w:tblHeader/>
        </w:trPr>
        <w:tc>
          <w:tcPr>
            <w:tcW w:type="dxa" w:w="2700"/>
          </w:tcPr>
          <w:p>
            <w:pPr>
              <w:spacing w:before="80" w:after="80"/>
              <w:jc w:val="center"/>
            </w:pPr>
            <w:r>
              <w:rPr>
                <w:rFonts w:ascii="Times New Roman" w:hAnsi="Times New Roman"/>
                <w:b/>
                <w:i w:val="0"/>
                <w:sz w:val="21"/>
              </w:rPr>
              <w:t xml:space="preserve">Paramètre</w:t>
            </w:r>
          </w:p>
        </w:tc>
        <w:tc>
          <w:tcPr>
            <w:tcW w:type="dxa" w:w="2700"/>
          </w:tcPr>
          <w:p>
            <w:pPr>
              <w:spacing w:before="80" w:after="80"/>
              <w:jc w:val="center"/>
            </w:pPr>
            <w:r>
              <w:rPr>
                <w:rFonts w:ascii="Times New Roman" w:hAnsi="Times New Roman"/>
                <w:b/>
                <w:i w:val="0"/>
                <w:sz w:val="21"/>
              </w:rPr>
              <w:t xml:space="preserve">Valeur</w:t>
            </w:r>
          </w:p>
        </w:tc>
        <w:tc>
          <w:tcPr>
            <w:tcW w:type="dxa" w:w="3960"/>
          </w:tcPr>
          <w:p>
            <w:pPr>
              <w:spacing w:before="80" w:after="80"/>
              <w:jc w:val="center"/>
            </w:pPr>
            <w:r>
              <w:rPr>
                <w:rFonts w:ascii="Times New Roman" w:hAnsi="Times New Roman"/>
                <w:b/>
                <w:i w:val="0"/>
                <w:sz w:val="21"/>
              </w:rPr>
              <w:t xml:space="preserve">Remarque</w:t>
            </w:r>
          </w:p>
        </w:tc>
      </w:tr>
      <w:tr>
        <w:trPr>
          <w:cantSplit/>
        </w:trPr>
        <w:tc>
          <w:tcPr>
            <w:tcW w:type="dxa" w:w="2700"/>
          </w:tcPr>
          <w:p>
            <w:pPr>
              <w:spacing w:before="60" w:after="60"/>
              <w:jc w:val="left"/>
            </w:pPr>
            <w:r>
              <w:rPr>
                <w:rFonts w:ascii="Times New Roman" w:hAnsi="Times New Roman"/>
                <w:b w:val="0"/>
                <w:i w:val="0"/>
                <w:sz w:val="20"/>
              </w:rPr>
              <w:t xml:space="preserve">Taille des passages</w:t>
            </w:r>
          </w:p>
        </w:tc>
        <w:tc>
          <w:tcPr>
            <w:tcW w:type="dxa" w:w="2700"/>
          </w:tcPr>
          <w:p>
            <w:pPr>
              <w:spacing w:before="60" w:after="60"/>
              <w:jc w:val="left"/>
            </w:pPr>
            <w:r>
              <w:rPr>
                <w:rFonts w:ascii="Times New Roman" w:hAnsi="Times New Roman"/>
                <w:b w:val="0"/>
                <w:i w:val="0"/>
                <w:sz w:val="20"/>
              </w:rPr>
              <w:t xml:space="preserve">512</w:t>
            </w:r>
          </w:p>
        </w:tc>
        <w:tc>
          <w:tcPr>
            <w:tcW w:type="dxa" w:w="3960"/>
          </w:tcPr>
          <w:p>
            <w:pPr>
              <w:spacing w:before="60" w:after="60"/>
              <w:jc w:val="left"/>
            </w:pPr>
            <w:r>
              <w:rPr>
                <w:rFonts w:ascii="Times New Roman" w:hAnsi="Times New Roman"/>
                <w:b w:val="0"/>
                <w:i w:val="0"/>
                <w:sz w:val="20"/>
              </w:rPr>
              <w:t xml:space="preserve">Recouvrement de 50</w:t>
            </w:r>
          </w:p>
        </w:tc>
      </w:tr>
      <w:tr>
        <w:trPr>
          <w:cantSplit/>
        </w:trPr>
        <w:tc>
          <w:tcPr>
            <w:tcW w:type="dxa" w:w="2700"/>
          </w:tcPr>
          <w:p>
            <w:pPr>
              <w:spacing w:before="60" w:after="60"/>
              <w:jc w:val="left"/>
            </w:pPr>
            <w:r>
              <w:rPr>
                <w:rFonts w:ascii="Times New Roman" w:hAnsi="Times New Roman"/>
                <w:b w:val="0"/>
                <w:i w:val="0"/>
                <w:sz w:val="20"/>
              </w:rPr>
              <w:t xml:space="preserve">Modèle d'embedding</w:t>
            </w:r>
          </w:p>
        </w:tc>
        <w:tc>
          <w:tcPr>
            <w:tcW w:type="dxa" w:w="2700"/>
          </w:tcPr>
          <w:p>
            <w:pPr>
              <w:spacing w:before="60" w:after="60"/>
              <w:jc w:val="left"/>
            </w:pPr>
            <w:r>
              <w:rPr>
                <w:rFonts w:ascii="Times New Roman" w:hAnsi="Times New Roman"/>
                <w:b w:val="0"/>
                <w:i w:val="0"/>
                <w:sz w:val="20"/>
              </w:rPr>
              <w:t xml:space="preserve">bge-m3</w:t>
            </w:r>
          </w:p>
        </w:tc>
        <w:tc>
          <w:tcPr>
            <w:tcW w:type="dxa" w:w="3960"/>
          </w:tcPr>
          <w:p>
            <w:pPr>
              <w:spacing w:before="60" w:after="60"/>
              <w:jc w:val="left"/>
            </w:pPr>
            <w:r>
              <w:rPr>
                <w:rFonts w:ascii="Times New Roman" w:hAnsi="Times New Roman"/>
                <w:b w:val="0"/>
                <w:i w:val="0"/>
                <w:sz w:val="20"/>
              </w:rPr>
              <w:t xml:space="preserve">Vecteurs denses, collection dédiée en 1024 dimensions</w:t>
            </w:r>
          </w:p>
        </w:tc>
      </w:tr>
      <w:tr>
        <w:trPr>
          <w:cantSplit/>
        </w:trPr>
        <w:tc>
          <w:tcPr>
            <w:tcW w:type="dxa" w:w="2700"/>
          </w:tcPr>
          <w:p>
            <w:pPr>
              <w:spacing w:before="60" w:after="60"/>
              <w:jc w:val="left"/>
            </w:pPr>
            <w:r>
              <w:rPr>
                <w:rFonts w:ascii="Times New Roman" w:hAnsi="Times New Roman"/>
                <w:b w:val="0"/>
                <w:i w:val="0"/>
                <w:sz w:val="20"/>
              </w:rPr>
              <w:t xml:space="preserve">Index lexical</w:t>
            </w:r>
          </w:p>
        </w:tc>
        <w:tc>
          <w:tcPr>
            <w:tcW w:type="dxa" w:w="2700"/>
          </w:tcPr>
          <w:p>
            <w:pPr>
              <w:spacing w:before="60" w:after="60"/>
              <w:jc w:val="left"/>
            </w:pPr>
            <w:r>
              <w:rPr>
                <w:rFonts w:ascii="Times New Roman" w:hAnsi="Times New Roman"/>
                <w:b w:val="0"/>
                <w:i w:val="0"/>
                <w:sz w:val="20"/>
              </w:rPr>
              <w:t xml:space="preserve">BM25Okapi</w:t>
            </w:r>
          </w:p>
        </w:tc>
        <w:tc>
          <w:tcPr>
            <w:tcW w:type="dxa" w:w="3960"/>
          </w:tcPr>
          <w:p>
            <w:pPr>
              <w:spacing w:before="60" w:after="60"/>
              <w:jc w:val="left"/>
            </w:pPr>
            <w:r>
              <w:rPr>
                <w:rFonts w:ascii="Times New Roman" w:hAnsi="Times New Roman"/>
                <w:b w:val="0"/>
                <w:i w:val="0"/>
                <w:sz w:val="20"/>
              </w:rPr>
              <w:t xml:space="preserve">Mots vides français et anglais</w:t>
            </w:r>
          </w:p>
        </w:tc>
      </w:tr>
      <w:tr>
        <w:trPr>
          <w:cantSplit/>
        </w:trPr>
        <w:tc>
          <w:tcPr>
            <w:tcW w:type="dxa" w:w="2700"/>
          </w:tcPr>
          <w:p>
            <w:pPr>
              <w:spacing w:before="60" w:after="60"/>
              <w:jc w:val="left"/>
            </w:pPr>
            <w:r>
              <w:rPr>
                <w:rFonts w:ascii="Times New Roman" w:hAnsi="Times New Roman"/>
                <w:b w:val="0"/>
                <w:i w:val="0"/>
                <w:sz w:val="20"/>
              </w:rPr>
              <w:t xml:space="preserve">Fusion</w:t>
            </w:r>
          </w:p>
        </w:tc>
        <w:tc>
          <w:tcPr>
            <w:tcW w:type="dxa" w:w="2700"/>
          </w:tcPr>
          <w:p>
            <w:pPr>
              <w:spacing w:before="60" w:after="60"/>
              <w:jc w:val="left"/>
            </w:pPr>
            <w:r>
              <w:rPr>
                <w:rFonts w:ascii="Times New Roman" w:hAnsi="Times New Roman"/>
                <w:b w:val="0"/>
                <w:i w:val="0"/>
                <w:sz w:val="20"/>
              </w:rPr>
              <w:t xml:space="preserve">Reciprocal Rank Fusion</w:t>
            </w:r>
          </w:p>
        </w:tc>
        <w:tc>
          <w:tcPr>
            <w:tcW w:type="dxa" w:w="3960"/>
          </w:tcPr>
          <w:p>
            <w:pPr>
              <w:spacing w:before="60" w:after="60"/>
              <w:jc w:val="left"/>
            </w:pPr>
            <w:r>
              <w:rPr>
                <w:rFonts w:ascii="Times New Roman" w:hAnsi="Times New Roman"/>
                <w:b w:val="0"/>
                <w:i w:val="0"/>
                <w:sz w:val="20"/>
              </w:rPr>
              <w:t xml:space="preserve">Poids 0,6 (vectoriel) et 0,3 (lexical)</w:t>
            </w:r>
          </w:p>
        </w:tc>
      </w:tr>
      <w:tr>
        <w:trPr>
          <w:cantSplit/>
        </w:trPr>
        <w:tc>
          <w:tcPr>
            <w:tcW w:type="dxa" w:w="2700"/>
          </w:tcPr>
          <w:p>
            <w:pPr>
              <w:spacing w:before="60" w:after="60"/>
              <w:jc w:val="left"/>
            </w:pPr>
            <w:r>
              <w:rPr>
                <w:rFonts w:ascii="Times New Roman" w:hAnsi="Times New Roman"/>
                <w:b w:val="0"/>
                <w:i w:val="0"/>
                <w:sz w:val="20"/>
              </w:rPr>
              <w:t xml:space="preserve">Passages retournés</w:t>
            </w:r>
          </w:p>
        </w:tc>
        <w:tc>
          <w:tcPr>
            <w:tcW w:type="dxa" w:w="2700"/>
          </w:tcPr>
          <w:p>
            <w:pPr>
              <w:spacing w:before="60" w:after="60"/>
              <w:jc w:val="left"/>
            </w:pPr>
            <w:r>
              <w:rPr>
                <w:rFonts w:ascii="Times New Roman" w:hAnsi="Times New Roman"/>
                <w:b w:val="0"/>
                <w:i w:val="0"/>
                <w:sz w:val="20"/>
              </w:rPr>
              <w:t xml:space="preserve">5 par défaut</w:t>
            </w:r>
          </w:p>
        </w:tc>
        <w:tc>
          <w:tcPr>
            <w:tcW w:type="dxa" w:w="3960"/>
          </w:tcPr>
          <w:p>
            <w:pPr>
              <w:spacing w:before="60" w:after="60"/>
              <w:jc w:val="left"/>
            </w:pPr>
            <w:r>
              <w:rPr>
                <w:rFonts w:ascii="Times New Roman" w:hAnsi="Times New Roman"/>
                <w:b w:val="0"/>
                <w:i w:val="0"/>
                <w:sz w:val="20"/>
              </w:rPr>
              <w:t xml:space="preserve">Candidats : 20 fois ce nombre, au moins 100</w:t>
            </w:r>
          </w:p>
        </w:tc>
      </w:tr>
      <w:tr>
        <w:trPr>
          <w:cantSplit/>
        </w:trPr>
        <w:tc>
          <w:tcPr>
            <w:tcW w:type="dxa" w:w="2700"/>
          </w:tcPr>
          <w:p>
            <w:pPr>
              <w:spacing w:before="60" w:after="60"/>
              <w:jc w:val="left"/>
            </w:pPr>
            <w:r>
              <w:rPr>
                <w:rFonts w:ascii="Times New Roman" w:hAnsi="Times New Roman"/>
                <w:b w:val="0"/>
                <w:i w:val="0"/>
                <w:sz w:val="20"/>
              </w:rPr>
              <w:t xml:space="preserve">Extension du contexte</w:t>
            </w:r>
          </w:p>
        </w:tc>
        <w:tc>
          <w:tcPr>
            <w:tcW w:type="dxa" w:w="2700"/>
          </w:tcPr>
          <w:p>
            <w:pPr>
              <w:spacing w:before="60" w:after="60"/>
              <w:jc w:val="left"/>
            </w:pPr>
            <w:r>
              <w:rPr>
                <w:rFonts w:ascii="Times New Roman" w:hAnsi="Times New Roman"/>
                <w:b w:val="0"/>
                <w:i w:val="0"/>
                <w:sz w:val="20"/>
              </w:rPr>
              <w:t xml:space="preserve">Passages contigus</w:t>
            </w:r>
          </w:p>
        </w:tc>
        <w:tc>
          <w:tcPr>
            <w:tcW w:type="dxa" w:w="3960"/>
          </w:tcPr>
          <w:p>
            <w:pPr>
              <w:spacing w:before="60" w:after="60"/>
              <w:jc w:val="left"/>
            </w:pPr>
            <w:r>
              <w:rPr>
                <w:rFonts w:ascii="Times New Roman" w:hAnsi="Times New Roman"/>
                <w:b w:val="0"/>
                <w:i w:val="0"/>
                <w:sz w:val="20"/>
              </w:rPr>
              <w:t xml:space="preserve">Ajoutés après la sélection</w:t>
            </w:r>
          </w:p>
        </w:tc>
      </w:tr>
    </w:tbl>
    <w:p>
      <w:pPr>
        <w:spacing w:before="0" w:after="120"/>
      </w:pPr>
    </w:p>
    <w:p>
      <w:pPr>
        <w:keepNext/>
        <w:spacing w:before="200" w:after="100"/>
        <w:jc w:val="left"/>
      </w:pPr>
      <w:r>
        <w:rPr>
          <w:rFonts w:ascii="Times New Roman" w:hAnsi="Times New Roman"/>
          <w:b/>
          <w:i w:val="0"/>
          <w:sz w:val="24"/>
        </w:rPr>
        <w:t xml:space="preserve">8.3.3. Génération et vérification</w:t>
      </w:r>
    </w:p>
    <w:p>
      <w:pPr>
        <w:spacing w:before="0" w:after="120" w:line="276" w:lineRule="auto"/>
        <w:jc w:val="both"/>
      </w:pPr>
      <w:r>
        <w:rPr>
          <w:rFonts w:ascii="Times New Roman" w:hAnsi="Times New Roman"/>
          <w:b w:val="0"/>
          <w:i w:val="0"/>
          <w:sz w:val="24"/>
        </w:rPr>
        <w:t xml:space="preserve">Le modèle de génération reçoit les passages numérotés par des alias courts (S1, S2, ...) propres au tour de conversation. Les consignes lui imposent de citer les sources, de ne déclarer que les alias réellement utilisés, de restituer intégralement les listes, tableaux et étapes présents dans les passages, de signaler les contradictions entre documents et d'indiquer un niveau de confiance. Une vérification déterministe contrôle ensuite que les éléments des listes et tableaux des passages cités figurent bien dans la réponse, et calcule un taux de restitution.</w:t>
      </w:r>
    </w:p>
    <w:p>
      <w:pPr>
        <w:spacing w:before="120" w:after="120"/>
        <w:jc w:val="center"/>
      </w:pPr>
      <w:r>
        <w:rPr>
          <w:rFonts w:ascii="Times New Roman" w:hAnsi="Times New Roman"/>
          <w:b w:val="0"/>
          <w:i/>
          <w:sz w:val="22"/>
          <w:highlight w:val="yellow"/>
        </w:rPr>
        <w:t xml:space="preserve">[À insérer : capture d'une réponse documentaire avec ses sources citées et son badge de confiance]</w:t>
      </w:r>
    </w:p>
    <w:p>
      <w:pPr>
        <w:spacing w:before="120" w:after="240" w:line="360" w:lineRule="auto"/>
        <w:jc w:val="center"/>
      </w:pPr>
      <w:r>
        <w:rPr>
          <w:rFonts w:ascii="Times New Roman" w:hAnsi="Times New Roman"/>
          <w:b w:val="0"/>
          <w:i/>
          <w:sz w:val="24"/>
        </w:rPr>
        <w:t xml:space="preserve">Figure 8.2 — Réponse documentaire avec citation des sources</w:t>
      </w:r>
    </w:p>
    <w:p>
      <w:pPr>
        <w:pStyle w:val="Heading3"/>
        <w:keepNext/>
        <w:spacing w:before="280" w:after="120"/>
        <w:jc w:val="left"/>
      </w:pPr>
      <w:r>
        <w:rPr>
          <w:rFonts w:ascii="Times New Roman" w:hAnsi="Times New Roman"/>
          <w:b/>
          <w:i w:val="0"/>
          <w:sz w:val="28"/>
        </w:rPr>
        <w:t xml:space="preserve">8.4. Lecture des données de l'ERP</w:t>
      </w:r>
    </w:p>
    <w:p>
      <w:pPr>
        <w:spacing w:before="0" w:after="120" w:line="276" w:lineRule="auto"/>
        <w:jc w:val="both"/>
      </w:pPr>
      <w:r>
        <w:rPr>
          <w:rFonts w:ascii="Times New Roman" w:hAnsi="Times New Roman"/>
          <w:b w:val="0"/>
          <w:i w:val="0"/>
          <w:sz w:val="24"/>
        </w:rPr>
        <w:t xml:space="preserve">Les questions portant sur des valeurs actuelles (statut, nombre, liste, agrégation) sont traitées par sept outils typés de lecture, présentés au Tableau 40.</w:t>
      </w:r>
    </w:p>
    <w:p>
      <w:pPr>
        <w:keepNext/>
        <w:spacing w:before="120" w:after="120" w:line="276" w:lineRule="auto"/>
        <w:jc w:val="left"/>
      </w:pPr>
      <w:r>
        <w:rPr>
          <w:rFonts w:ascii="Times New Roman" w:hAnsi="Times New Roman"/>
          <w:b/>
          <w:i w:val="0"/>
          <w:sz w:val="22"/>
        </w:rPr>
        <w:t xml:space="preserve">Tableau 40. Outils typés de lecture des données d'Odoo</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Outil</w:t>
            </w:r>
          </w:p>
        </w:tc>
        <w:tc>
          <w:tcPr>
            <w:tcW w:type="dxa" w:w="6360"/>
          </w:tcPr>
          <w:p>
            <w:pPr>
              <w:spacing w:before="80" w:after="80"/>
              <w:jc w:val="center"/>
            </w:pPr>
            <w:r>
              <w:rPr>
                <w:rFonts w:ascii="Times New Roman" w:hAnsi="Times New Roman"/>
                <w:b/>
                <w:i w:val="0"/>
                <w:sz w:val="21"/>
              </w:rPr>
              <w:t xml:space="preserve">Fonction</w:t>
            </w:r>
          </w:p>
        </w:tc>
      </w:tr>
      <w:tr>
        <w:trPr>
          <w:cantSplit/>
        </w:trPr>
        <w:tc>
          <w:tcPr>
            <w:tcW w:type="dxa" w:w="3000"/>
          </w:tcPr>
          <w:p>
            <w:pPr>
              <w:spacing w:before="60" w:after="60"/>
              <w:jc w:val="left"/>
            </w:pPr>
            <w:r>
              <w:rPr>
                <w:rFonts w:ascii="Times New Roman" w:hAnsi="Times New Roman"/>
                <w:b w:val="0"/>
                <w:i w:val="0"/>
                <w:sz w:val="20"/>
              </w:rPr>
              <w:t xml:space="preserve">orm_fields_get</w:t>
            </w:r>
          </w:p>
        </w:tc>
        <w:tc>
          <w:tcPr>
            <w:tcW w:type="dxa" w:w="6360"/>
          </w:tcPr>
          <w:p>
            <w:pPr>
              <w:spacing w:before="60" w:after="60"/>
              <w:jc w:val="left"/>
            </w:pPr>
            <w:r>
              <w:rPr>
                <w:rFonts w:ascii="Times New Roman" w:hAnsi="Times New Roman"/>
                <w:b w:val="0"/>
                <w:i w:val="0"/>
                <w:sz w:val="20"/>
              </w:rPr>
              <w:t xml:space="preserve">Décrire les champs d'un modèle</w:t>
            </w:r>
          </w:p>
        </w:tc>
      </w:tr>
      <w:tr>
        <w:trPr>
          <w:cantSplit/>
        </w:trPr>
        <w:tc>
          <w:tcPr>
            <w:tcW w:type="dxa" w:w="3000"/>
          </w:tcPr>
          <w:p>
            <w:pPr>
              <w:spacing w:before="60" w:after="60"/>
              <w:jc w:val="left"/>
            </w:pPr>
            <w:r>
              <w:rPr>
                <w:rFonts w:ascii="Times New Roman" w:hAnsi="Times New Roman"/>
                <w:b w:val="0"/>
                <w:i w:val="0"/>
                <w:sz w:val="20"/>
              </w:rPr>
              <w:t xml:space="preserve">orm_search</w:t>
            </w:r>
          </w:p>
        </w:tc>
        <w:tc>
          <w:tcPr>
            <w:tcW w:type="dxa" w:w="6360"/>
          </w:tcPr>
          <w:p>
            <w:pPr>
              <w:spacing w:before="60" w:after="60"/>
              <w:jc w:val="left"/>
            </w:pPr>
            <w:r>
              <w:rPr>
                <w:rFonts w:ascii="Times New Roman" w:hAnsi="Times New Roman"/>
                <w:b w:val="0"/>
                <w:i w:val="0"/>
                <w:sz w:val="20"/>
              </w:rPr>
              <w:t xml:space="preserve">Retrouver des identifiants selon un domaine de recherche</w:t>
            </w:r>
          </w:p>
        </w:tc>
      </w:tr>
      <w:tr>
        <w:trPr>
          <w:cantSplit/>
        </w:trPr>
        <w:tc>
          <w:tcPr>
            <w:tcW w:type="dxa" w:w="3000"/>
          </w:tcPr>
          <w:p>
            <w:pPr>
              <w:spacing w:before="60" w:after="60"/>
              <w:jc w:val="left"/>
            </w:pPr>
            <w:r>
              <w:rPr>
                <w:rFonts w:ascii="Times New Roman" w:hAnsi="Times New Roman"/>
                <w:b w:val="0"/>
                <w:i w:val="0"/>
                <w:sz w:val="20"/>
              </w:rPr>
              <w:t xml:space="preserve">orm_read</w:t>
            </w:r>
          </w:p>
        </w:tc>
        <w:tc>
          <w:tcPr>
            <w:tcW w:type="dxa" w:w="6360"/>
          </w:tcPr>
          <w:p>
            <w:pPr>
              <w:spacing w:before="60" w:after="60"/>
              <w:jc w:val="left"/>
            </w:pPr>
            <w:r>
              <w:rPr>
                <w:rFonts w:ascii="Times New Roman" w:hAnsi="Times New Roman"/>
                <w:b w:val="0"/>
                <w:i w:val="0"/>
                <w:sz w:val="20"/>
              </w:rPr>
              <w:t xml:space="preserve">Lire des champs d'enregistrements connus</w:t>
            </w:r>
          </w:p>
        </w:tc>
      </w:tr>
      <w:tr>
        <w:trPr>
          <w:cantSplit/>
        </w:trPr>
        <w:tc>
          <w:tcPr>
            <w:tcW w:type="dxa" w:w="3000"/>
          </w:tcPr>
          <w:p>
            <w:pPr>
              <w:spacing w:before="60" w:after="60"/>
              <w:jc w:val="left"/>
            </w:pPr>
            <w:r>
              <w:rPr>
                <w:rFonts w:ascii="Times New Roman" w:hAnsi="Times New Roman"/>
                <w:b w:val="0"/>
                <w:i w:val="0"/>
                <w:sz w:val="20"/>
              </w:rPr>
              <w:t xml:space="preserve">orm_search_read</w:t>
            </w:r>
          </w:p>
        </w:tc>
        <w:tc>
          <w:tcPr>
            <w:tcW w:type="dxa" w:w="6360"/>
          </w:tcPr>
          <w:p>
            <w:pPr>
              <w:spacing w:before="60" w:after="60"/>
              <w:jc w:val="left"/>
            </w:pPr>
            <w:r>
              <w:rPr>
                <w:rFonts w:ascii="Times New Roman" w:hAnsi="Times New Roman"/>
                <w:b w:val="0"/>
                <w:i w:val="0"/>
                <w:sz w:val="20"/>
              </w:rPr>
              <w:t xml:space="preserve">Rechercher et lire en une seule opération</w:t>
            </w:r>
          </w:p>
        </w:tc>
      </w:tr>
      <w:tr>
        <w:trPr>
          <w:cantSplit/>
        </w:trPr>
        <w:tc>
          <w:tcPr>
            <w:tcW w:type="dxa" w:w="3000"/>
          </w:tcPr>
          <w:p>
            <w:pPr>
              <w:spacing w:before="60" w:after="60"/>
              <w:jc w:val="left"/>
            </w:pPr>
            <w:r>
              <w:rPr>
                <w:rFonts w:ascii="Times New Roman" w:hAnsi="Times New Roman"/>
                <w:b w:val="0"/>
                <w:i w:val="0"/>
                <w:sz w:val="20"/>
              </w:rPr>
              <w:t xml:space="preserve">orm_search_count</w:t>
            </w:r>
          </w:p>
        </w:tc>
        <w:tc>
          <w:tcPr>
            <w:tcW w:type="dxa" w:w="6360"/>
          </w:tcPr>
          <w:p>
            <w:pPr>
              <w:spacing w:before="60" w:after="60"/>
              <w:jc w:val="left"/>
            </w:pPr>
            <w:r>
              <w:rPr>
                <w:rFonts w:ascii="Times New Roman" w:hAnsi="Times New Roman"/>
                <w:b w:val="0"/>
                <w:i w:val="0"/>
                <w:sz w:val="20"/>
              </w:rPr>
              <w:t xml:space="preserve">Compter les enregistrements correspondant à un domaine</w:t>
            </w:r>
          </w:p>
        </w:tc>
      </w:tr>
      <w:tr>
        <w:trPr>
          <w:cantSplit/>
        </w:trPr>
        <w:tc>
          <w:tcPr>
            <w:tcW w:type="dxa" w:w="3000"/>
          </w:tcPr>
          <w:p>
            <w:pPr>
              <w:spacing w:before="60" w:after="60"/>
              <w:jc w:val="left"/>
            </w:pPr>
            <w:r>
              <w:rPr>
                <w:rFonts w:ascii="Times New Roman" w:hAnsi="Times New Roman"/>
                <w:b w:val="0"/>
                <w:i w:val="0"/>
                <w:sz w:val="20"/>
              </w:rPr>
              <w:t xml:space="preserve">orm_read_group</w:t>
            </w:r>
          </w:p>
        </w:tc>
        <w:tc>
          <w:tcPr>
            <w:tcW w:type="dxa" w:w="6360"/>
          </w:tcPr>
          <w:p>
            <w:pPr>
              <w:spacing w:before="60" w:after="60"/>
              <w:jc w:val="left"/>
            </w:pPr>
            <w:r>
              <w:rPr>
                <w:rFonts w:ascii="Times New Roman" w:hAnsi="Times New Roman"/>
                <w:b w:val="0"/>
                <w:i w:val="0"/>
                <w:sz w:val="20"/>
              </w:rPr>
              <w:t xml:space="preserve">Agréger et regrouper (par jour, semaine, mois, trimestre, année)</w:t>
            </w:r>
          </w:p>
        </w:tc>
      </w:tr>
      <w:tr>
        <w:trPr>
          <w:cantSplit/>
        </w:trPr>
        <w:tc>
          <w:tcPr>
            <w:tcW w:type="dxa" w:w="3000"/>
          </w:tcPr>
          <w:p>
            <w:pPr>
              <w:spacing w:before="60" w:after="60"/>
              <w:jc w:val="left"/>
            </w:pPr>
            <w:r>
              <w:rPr>
                <w:rFonts w:ascii="Times New Roman" w:hAnsi="Times New Roman"/>
                <w:b w:val="0"/>
                <w:i w:val="0"/>
                <w:sz w:val="20"/>
              </w:rPr>
              <w:t xml:space="preserve">orm_name_search</w:t>
            </w:r>
          </w:p>
        </w:tc>
        <w:tc>
          <w:tcPr>
            <w:tcW w:type="dxa" w:w="6360"/>
          </w:tcPr>
          <w:p>
            <w:pPr>
              <w:spacing w:before="60" w:after="60"/>
              <w:jc w:val="left"/>
            </w:pPr>
            <w:r>
              <w:rPr>
                <w:rFonts w:ascii="Times New Roman" w:hAnsi="Times New Roman"/>
                <w:b w:val="0"/>
                <w:i w:val="0"/>
                <w:sz w:val="20"/>
              </w:rPr>
              <w:t xml:space="preserve">Retrouver un enregistrement à partir de son nom</w:t>
            </w:r>
          </w:p>
        </w:tc>
      </w:tr>
    </w:tbl>
    <w:p>
      <w:pPr>
        <w:spacing w:before="0" w:after="120"/>
      </w:pPr>
    </w:p>
    <w:p>
      <w:pPr>
        <w:spacing w:before="0" w:after="120" w:line="276" w:lineRule="auto"/>
        <w:jc w:val="both"/>
      </w:pPr>
      <w:r>
        <w:rPr>
          <w:rFonts w:ascii="Times New Roman" w:hAnsi="Times New Roman"/>
          <w:b w:val="0"/>
          <w:i w:val="0"/>
          <w:sz w:val="24"/>
        </w:rPr>
        <w:t xml:space="preserve">Ces outils offrent plusieurs garanties. Aucune opération de création, de modification ou de suppression n'est exposée. Les entrées (nom de modèle, domaine, champs, tri, regroupement) sont validées par des expressions régulières et une liste fermée d'opérateurs. Le nombre de lignes retournées est plafonné par une constante de configuration. L'exécution se fait sous l'identifiant de l'utilisateur authentifié et dans le contexte de sa société, sans élévation de privilèges : l'identité ne provient jamais du modèle de langage. Chaque résultat est renvoyé sous forme structurée et horodatée.</w:t>
      </w:r>
    </w:p>
    <w:p>
      <w:pPr>
        <w:pStyle w:val="Heading2"/>
        <w:spacing w:before="360" w:after="160"/>
        <w:jc w:val="left"/>
      </w:pPr>
      <w:r>
        <w:rPr>
          <w:rFonts w:ascii="Times New Roman" w:hAnsi="Times New Roman"/>
          <w:b/>
          <w:i w:val="0"/>
          <w:sz w:val="32"/>
        </w:rPr>
        <w:t xml:space="preserve">Chapitre 9. Tests et évaluation</w:t>
      </w:r>
    </w:p>
    <w:p>
      <w:pPr>
        <w:spacing w:before="0" w:after="120" w:line="276" w:lineRule="auto"/>
        <w:jc w:val="both"/>
      </w:pPr>
      <w:r>
        <w:rPr>
          <w:rFonts w:ascii="Times New Roman" w:hAnsi="Times New Roman"/>
          <w:b w:val="0"/>
          <w:i w:val="0"/>
          <w:sz w:val="24"/>
        </w:rPr>
        <w:t xml:space="preserve">Ce chapitre rend compte des vérifications effectuées. Il distingue les tests logiciels, qui établissent que le code fait ce qui est prévu, de l'évaluation de la qualité des réponses, qui ne s'en déduit pas. Un test logiciel réussi ne prouve pas la justesse métier des réponses sur toutes les instances Odoo 17.</w:t>
      </w:r>
    </w:p>
    <w:p>
      <w:pPr>
        <w:pStyle w:val="Heading3"/>
        <w:keepNext/>
        <w:spacing w:before="280" w:after="120"/>
        <w:jc w:val="left"/>
      </w:pPr>
      <w:r>
        <w:rPr>
          <w:rFonts w:ascii="Times New Roman" w:hAnsi="Times New Roman"/>
          <w:b/>
          <w:i w:val="0"/>
          <w:sz w:val="28"/>
        </w:rPr>
        <w:t xml:space="preserve">9.1. Tests automatisés</w:t>
      </w:r>
    </w:p>
    <w:p>
      <w:pPr>
        <w:spacing w:before="0" w:after="120" w:line="276" w:lineRule="auto"/>
        <w:jc w:val="both"/>
      </w:pPr>
      <w:r>
        <w:rPr>
          <w:rFonts w:ascii="Times New Roman" w:hAnsi="Times New Roman"/>
          <w:b w:val="0"/>
          <w:i w:val="0"/>
          <w:sz w:val="24"/>
        </w:rPr>
        <w:t xml:space="preserve">Les tests, écrits avec pytest, couvrent le routage, la résolution des termes, les outils, la construction du graphe, l'ingestion et la recherche documentaires, et les outils de lecture ORM. Les tests d'intégration exigent une instance Odoo démarrée et des utilisateurs de test ; ils sont séparés des tests unitaires par un marqueur. Lors de la dernière exécution complète, le 27 octobre 2026, la suite a donné 1 036 tests réussis, 17 ignorés, 9 échecs et 23 erreurs. Les 23 erreurs proviennent d'utilisateurs de test absents de l'instance (problème d'environnement, non de code). Parmi les 9 échecs, quatre étaient des tests devenus périmés après une simplification du code ; ils ont été corrigés, sans que la suite complète ait été rejouée depuis.</w:t>
      </w:r>
    </w:p>
    <w:p>
      <w:pPr>
        <w:pStyle w:val="Heading3"/>
        <w:keepNext/>
        <w:spacing w:before="280" w:after="120"/>
        <w:jc w:val="left"/>
      </w:pPr>
      <w:r>
        <w:rPr>
          <w:rFonts w:ascii="Times New Roman" w:hAnsi="Times New Roman"/>
          <w:b/>
          <w:i w:val="0"/>
          <w:sz w:val="28"/>
        </w:rPr>
        <w:t xml:space="preserve">9.2. Banque de questions de référence</w:t>
      </w:r>
    </w:p>
    <w:p>
      <w:pPr>
        <w:spacing w:before="0" w:after="120" w:line="276" w:lineRule="auto"/>
        <w:jc w:val="both"/>
      </w:pPr>
      <w:r>
        <w:rPr>
          <w:rFonts w:ascii="Times New Roman" w:hAnsi="Times New Roman"/>
          <w:b w:val="0"/>
          <w:i w:val="0"/>
          <w:sz w:val="24"/>
        </w:rPr>
        <w:t xml:space="preserve">Une banque de 37 questions, répartie en quatre catégories (Tableau 41), sert à mesurer la proportion de réponses correctement sourcées et contenant les éléments attendus. L'objectif fixé est d'au moins 90 % de réponses correctes.</w:t>
      </w:r>
    </w:p>
    <w:p>
      <w:pPr>
        <w:keepNext/>
        <w:spacing w:before="120" w:after="120" w:line="276" w:lineRule="auto"/>
        <w:jc w:val="left"/>
      </w:pPr>
      <w:r>
        <w:rPr>
          <w:rFonts w:ascii="Times New Roman" w:hAnsi="Times New Roman"/>
          <w:b/>
          <w:i w:val="0"/>
          <w:sz w:val="22"/>
        </w:rPr>
        <w:t xml:space="preserve">Tableau 41. Composition de la banque de questions de référence</w:t>
      </w:r>
    </w:p>
    <w:tbl>
      <w:tblPr>
        <w:tblStyle w:val="Table10"/>
        <w:tblW w:type="dxa" w:w="9360"/>
        <w:jc w:val="center"/>
        <w:tblLook w:firstColumn="1" w:firstRow="1" w:lastColumn="0" w:lastRow="0" w:noHBand="0" w:noVBand="1" w:val="04A0"/>
      </w:tblPr>
      <w:tblGrid>
        <w:gridCol w:w="2700"/>
        <w:gridCol w:w="1500"/>
        <w:gridCol w:w="5160"/>
      </w:tblGrid>
      <w:tr>
        <w:trPr>
          <w:tblHeader/>
        </w:trPr>
        <w:tc>
          <w:tcPr>
            <w:tcW w:type="dxa" w:w="2700"/>
          </w:tcPr>
          <w:p>
            <w:pPr>
              <w:spacing w:before="80" w:after="80"/>
              <w:jc w:val="center"/>
            </w:pPr>
            <w:r>
              <w:rPr>
                <w:rFonts w:ascii="Times New Roman" w:hAnsi="Times New Roman"/>
                <w:b/>
                <w:i w:val="0"/>
                <w:sz w:val="21"/>
              </w:rPr>
              <w:t xml:space="preserve">Catégorie</w:t>
            </w:r>
          </w:p>
        </w:tc>
        <w:tc>
          <w:tcPr>
            <w:tcW w:type="dxa" w:w="1500"/>
          </w:tcPr>
          <w:p>
            <w:pPr>
              <w:spacing w:before="80" w:after="80"/>
              <w:jc w:val="center"/>
            </w:pPr>
            <w:r>
              <w:rPr>
                <w:rFonts w:ascii="Times New Roman" w:hAnsi="Times New Roman"/>
                <w:b/>
                <w:i w:val="0"/>
                <w:sz w:val="21"/>
              </w:rPr>
              <w:t xml:space="preserve">Questions</w:t>
            </w:r>
          </w:p>
        </w:tc>
        <w:tc>
          <w:tcPr>
            <w:tcW w:type="dxa" w:w="5160"/>
          </w:tcPr>
          <w:p>
            <w:pPr>
              <w:spacing w:before="80" w:after="80"/>
              <w:jc w:val="center"/>
            </w:pPr>
            <w:r>
              <w:rPr>
                <w:rFonts w:ascii="Times New Roman" w:hAnsi="Times New Roman"/>
                <w:b/>
                <w:i w:val="0"/>
                <w:sz w:val="21"/>
              </w:rPr>
              <w:t xml:space="preserve">Ce que la catégorie vérifie</w:t>
            </w:r>
          </w:p>
        </w:tc>
      </w:tr>
      <w:tr>
        <w:trPr>
          <w:cantSplit/>
        </w:trPr>
        <w:tc>
          <w:tcPr>
            <w:tcW w:type="dxa" w:w="2700"/>
          </w:tcPr>
          <w:p>
            <w:pPr>
              <w:spacing w:before="60" w:after="60"/>
              <w:jc w:val="left"/>
            </w:pPr>
            <w:r>
              <w:rPr>
                <w:rFonts w:ascii="Times New Roman" w:hAnsi="Times New Roman"/>
                <w:b w:val="0"/>
                <w:i w:val="0"/>
                <w:sz w:val="20"/>
              </w:rPr>
              <w:t xml:space="preserve">Documentaire</w:t>
            </w:r>
          </w:p>
        </w:tc>
        <w:tc>
          <w:tcPr>
            <w:tcW w:type="dxa" w:w="1500"/>
          </w:tcPr>
          <w:p>
            <w:pPr>
              <w:spacing w:before="60" w:after="60"/>
              <w:jc w:val="left"/>
            </w:pPr>
            <w:r>
              <w:rPr>
                <w:rFonts w:ascii="Times New Roman" w:hAnsi="Times New Roman"/>
                <w:b w:val="0"/>
                <w:i w:val="0"/>
                <w:sz w:val="20"/>
              </w:rPr>
              <w:t xml:space="preserve">10</w:t>
            </w:r>
          </w:p>
        </w:tc>
        <w:tc>
          <w:tcPr>
            <w:tcW w:type="dxa" w:w="5160"/>
          </w:tcPr>
          <w:p>
            <w:pPr>
              <w:spacing w:before="60" w:after="60"/>
              <w:jc w:val="left"/>
            </w:pPr>
            <w:r>
              <w:rPr>
                <w:rFonts w:ascii="Times New Roman" w:hAnsi="Times New Roman"/>
                <w:b w:val="0"/>
                <w:i w:val="0"/>
                <w:sz w:val="20"/>
              </w:rPr>
              <w:t xml:space="preserve">Retrouver une procédure dans les documents indexés et la restituer avec ses sources</w:t>
            </w:r>
          </w:p>
        </w:tc>
      </w:tr>
      <w:tr>
        <w:trPr>
          <w:cantSplit/>
        </w:trPr>
        <w:tc>
          <w:tcPr>
            <w:tcW w:type="dxa" w:w="2700"/>
          </w:tcPr>
          <w:p>
            <w:pPr>
              <w:spacing w:before="60" w:after="60"/>
              <w:jc w:val="left"/>
            </w:pPr>
            <w:r>
              <w:rPr>
                <w:rFonts w:ascii="Times New Roman" w:hAnsi="Times New Roman"/>
                <w:b w:val="0"/>
                <w:i w:val="0"/>
                <w:sz w:val="20"/>
              </w:rPr>
              <w:t xml:space="preserve">Données ERP chiffrées</w:t>
            </w:r>
          </w:p>
        </w:tc>
        <w:tc>
          <w:tcPr>
            <w:tcW w:type="dxa" w:w="1500"/>
          </w:tcPr>
          <w:p>
            <w:pPr>
              <w:spacing w:before="60" w:after="60"/>
              <w:jc w:val="left"/>
            </w:pPr>
            <w:r>
              <w:rPr>
                <w:rFonts w:ascii="Times New Roman" w:hAnsi="Times New Roman"/>
                <w:b w:val="0"/>
                <w:i w:val="0"/>
                <w:sz w:val="20"/>
              </w:rPr>
              <w:t xml:space="preserve">15</w:t>
            </w:r>
          </w:p>
        </w:tc>
        <w:tc>
          <w:tcPr>
            <w:tcW w:type="dxa" w:w="5160"/>
          </w:tcPr>
          <w:p>
            <w:pPr>
              <w:spacing w:before="60" w:after="60"/>
              <w:jc w:val="left"/>
            </w:pPr>
            <w:r>
              <w:rPr>
                <w:rFonts w:ascii="Times New Roman" w:hAnsi="Times New Roman"/>
                <w:b w:val="0"/>
                <w:i w:val="0"/>
                <w:sz w:val="20"/>
              </w:rPr>
              <w:t xml:space="preserve">Obtenir une valeur actuelle par les outils de lecture ORM</w:t>
            </w:r>
          </w:p>
        </w:tc>
      </w:tr>
      <w:tr>
        <w:trPr>
          <w:cantSplit/>
        </w:trPr>
        <w:tc>
          <w:tcPr>
            <w:tcW w:type="dxa" w:w="2700"/>
          </w:tcPr>
          <w:p>
            <w:pPr>
              <w:spacing w:before="60" w:after="60"/>
              <w:jc w:val="left"/>
            </w:pPr>
            <w:r>
              <w:rPr>
                <w:rFonts w:ascii="Times New Roman" w:hAnsi="Times New Roman"/>
                <w:b w:val="0"/>
                <w:i w:val="0"/>
                <w:sz w:val="20"/>
              </w:rPr>
              <w:t xml:space="preserve">Code source</w:t>
            </w:r>
          </w:p>
        </w:tc>
        <w:tc>
          <w:tcPr>
            <w:tcW w:type="dxa" w:w="1500"/>
          </w:tcPr>
          <w:p>
            <w:pPr>
              <w:spacing w:before="60" w:after="60"/>
              <w:jc w:val="left"/>
            </w:pPr>
            <w:r>
              <w:rPr>
                <w:rFonts w:ascii="Times New Roman" w:hAnsi="Times New Roman"/>
                <w:b w:val="0"/>
                <w:i w:val="0"/>
                <w:sz w:val="20"/>
              </w:rPr>
              <w:t xml:space="preserve">8</w:t>
            </w:r>
          </w:p>
        </w:tc>
        <w:tc>
          <w:tcPr>
            <w:tcW w:type="dxa" w:w="5160"/>
          </w:tcPr>
          <w:p>
            <w:pPr>
              <w:spacing w:before="60" w:after="60"/>
              <w:jc w:val="left"/>
            </w:pPr>
            <w:r>
              <w:rPr>
                <w:rFonts w:ascii="Times New Roman" w:hAnsi="Times New Roman"/>
                <w:b w:val="0"/>
                <w:i w:val="0"/>
                <w:sz w:val="20"/>
              </w:rPr>
              <w:t xml:space="preserve">Expliquer un comportement établi par le code d'Odoo</w:t>
            </w:r>
          </w:p>
        </w:tc>
      </w:tr>
      <w:tr>
        <w:trPr>
          <w:cantSplit/>
        </w:trPr>
        <w:tc>
          <w:tcPr>
            <w:tcW w:type="dxa" w:w="2700"/>
          </w:tcPr>
          <w:p>
            <w:pPr>
              <w:spacing w:before="60" w:after="60"/>
              <w:jc w:val="left"/>
            </w:pPr>
            <w:r>
              <w:rPr>
                <w:rFonts w:ascii="Times New Roman" w:hAnsi="Times New Roman"/>
                <w:b w:val="0"/>
                <w:i w:val="0"/>
                <w:sz w:val="20"/>
              </w:rPr>
              <w:t xml:space="preserve">Hors périmètre</w:t>
            </w:r>
          </w:p>
        </w:tc>
        <w:tc>
          <w:tcPr>
            <w:tcW w:type="dxa" w:w="1500"/>
          </w:tcPr>
          <w:p>
            <w:pPr>
              <w:spacing w:before="60" w:after="60"/>
              <w:jc w:val="left"/>
            </w:pPr>
            <w:r>
              <w:rPr>
                <w:rFonts w:ascii="Times New Roman" w:hAnsi="Times New Roman"/>
                <w:b w:val="0"/>
                <w:i w:val="0"/>
                <w:sz w:val="20"/>
              </w:rPr>
              <w:t xml:space="preserve">4</w:t>
            </w:r>
          </w:p>
        </w:tc>
        <w:tc>
          <w:tcPr>
            <w:tcW w:type="dxa" w:w="5160"/>
          </w:tcPr>
          <w:p>
            <w:pPr>
              <w:spacing w:before="60" w:after="60"/>
              <w:jc w:val="left"/>
            </w:pPr>
            <w:r>
              <w:rPr>
                <w:rFonts w:ascii="Times New Roman" w:hAnsi="Times New Roman"/>
                <w:b w:val="0"/>
                <w:i w:val="0"/>
                <w:sz w:val="20"/>
              </w:rPr>
              <w:t xml:space="preserve">Signaler la limite au lieu d'inventer une réponse</w:t>
            </w:r>
          </w:p>
        </w:tc>
      </w:tr>
      <w:tr>
        <w:trPr>
          <w:cantSplit/>
        </w:trPr>
        <w:tc>
          <w:tcPr>
            <w:tcW w:type="dxa" w:w="2700"/>
          </w:tcPr>
          <w:p>
            <w:pPr>
              <w:spacing w:before="60" w:after="60"/>
              <w:jc w:val="left"/>
            </w:pPr>
            <w:r>
              <w:rPr>
                <w:rFonts w:ascii="Times New Roman" w:hAnsi="Times New Roman"/>
                <w:b w:val="0"/>
                <w:i w:val="0"/>
                <w:sz w:val="20"/>
              </w:rPr>
              <w:t xml:space="preserve">Total</w:t>
            </w:r>
          </w:p>
        </w:tc>
        <w:tc>
          <w:tcPr>
            <w:tcW w:type="dxa" w:w="1500"/>
          </w:tcPr>
          <w:p>
            <w:pPr>
              <w:spacing w:before="60" w:after="60"/>
              <w:jc w:val="left"/>
            </w:pPr>
            <w:r>
              <w:rPr>
                <w:rFonts w:ascii="Times New Roman" w:hAnsi="Times New Roman"/>
                <w:b w:val="0"/>
                <w:i w:val="0"/>
                <w:sz w:val="20"/>
              </w:rPr>
              <w:t xml:space="preserve">37</w:t>
            </w:r>
          </w:p>
        </w:tc>
        <w:tc>
          <w:tcPr>
            <w:tcW w:type="dxa" w:w="5160"/>
          </w:tcPr>
          <w:p>
            <w:pPr>
              <w:spacing w:before="60" w:after="60"/>
              <w:jc w:val="left"/>
            </w:pPr>
            <w:r>
              <w:rPr>
                <w:rFonts w:ascii="Times New Roman" w:hAnsi="Times New Roman"/>
                <w:b w:val="0"/>
                <w:i w:val="0"/>
                <w:sz w:val="20"/>
              </w:rPr>
              <w:t xml:space="preserve"/>
            </w:r>
          </w:p>
        </w:tc>
      </w:tr>
    </w:tbl>
    <w:p>
      <w:pPr>
        <w:spacing w:before="0" w:after="120"/>
      </w:pPr>
    </w:p>
    <w:p>
      <w:pPr>
        <w:spacing w:before="120" w:after="120"/>
        <w:jc w:val="center"/>
      </w:pPr>
      <w:r>
        <w:rPr>
          <w:rFonts w:ascii="Times New Roman" w:hAnsi="Times New Roman"/>
          <w:b w:val="0"/>
          <w:i/>
          <w:sz w:val="22"/>
          <w:highlight w:val="yellow"/>
        </w:rPr>
        <w:t xml:space="preserve">[À compléter : résultat de tests/eval_rag.py (réponses correctes sur 37, par catégorie), à lancer avec Odoo et le serveur d'inférence en marche]</w:t>
      </w:r>
    </w:p>
    <w:p>
      <w:pPr>
        <w:pStyle w:val="Heading3"/>
        <w:keepNext/>
        <w:spacing w:before="280" w:after="120"/>
        <w:jc w:val="left"/>
      </w:pPr>
      <w:r>
        <w:rPr>
          <w:rFonts w:ascii="Times New Roman" w:hAnsi="Times New Roman"/>
          <w:b/>
          <w:i w:val="0"/>
          <w:sz w:val="28"/>
        </w:rPr>
        <w:t xml:space="preserve">9.3. Séries de conversation</w:t>
      </w:r>
    </w:p>
    <w:p>
      <w:pPr>
        <w:spacing w:before="0" w:after="120" w:line="276" w:lineRule="auto"/>
        <w:jc w:val="both"/>
      </w:pPr>
      <w:r>
        <w:rPr>
          <w:rFonts w:ascii="Times New Roman" w:hAnsi="Times New Roman"/>
          <w:b w:val="0"/>
          <w:i w:val="0"/>
          <w:sz w:val="24"/>
        </w:rPr>
        <w:t xml:space="preserve">Une série de dix questions métier (droits de validation, états d'un processus, circuit d'approbation d'un achat, question sur un sujet absent des documents) a été rejouée de bout en bout le 14 octobre 2026 avec deux profils : un administrateur et un employé ne disposant pas des droits de validation. Le second profil sert à distinguer un refus légitime d'un refus erroné. Les dix questions ont obtenu une réponse sans tentative invalidée, neuf par le chemin d'analyse du système et une par le chemin documentaire.</w:t>
      </w:r>
    </w:p>
    <w:p>
      <w:pPr>
        <w:spacing w:before="0" w:after="120" w:line="276" w:lineRule="auto"/>
        <w:jc w:val="both"/>
      </w:pPr>
      <w:r>
        <w:rPr>
          <w:rFonts w:ascii="Times New Roman" w:hAnsi="Times New Roman"/>
          <w:b w:val="0"/>
          <w:i w:val="0"/>
          <w:sz w:val="24"/>
        </w:rPr>
        <w:t xml:space="preserve">La durée de traitement a varié de 44 à 116 secondes par question, soit une moyenne d'environ 90 secondes. Ce délai est très supérieur à celui d'un appel d'inférence simple évoqué à la section 6.4, car le chemin d'analyse enchaîne plusieurs appels d'outils et de modèle. Il constitue une limite d'usage actuelle.</w:t>
      </w:r>
    </w:p>
    <w:p>
      <w:pPr>
        <w:pStyle w:val="Heading3"/>
        <w:keepNext/>
        <w:spacing w:before="280" w:after="120"/>
        <w:jc w:val="left"/>
      </w:pPr>
      <w:r>
        <w:rPr>
          <w:rFonts w:ascii="Times New Roman" w:hAnsi="Times New Roman"/>
          <w:b/>
          <w:i w:val="0"/>
          <w:sz w:val="28"/>
        </w:rPr>
        <w:t xml:space="preserve">9.4. Budget de contexte</w:t>
      </w:r>
    </w:p>
    <w:p>
      <w:pPr>
        <w:spacing w:before="0" w:after="120" w:line="276" w:lineRule="auto"/>
        <w:jc w:val="both"/>
      </w:pPr>
      <w:r>
        <w:rPr>
          <w:rFonts w:ascii="Times New Roman" w:hAnsi="Times New Roman"/>
          <w:b w:val="0"/>
          <w:i w:val="0"/>
          <w:sz w:val="24"/>
        </w:rPr>
        <w:t xml:space="preserve">Le modèle de génération dispose d'une fenêtre de 32 768 unités. Sur trois questions de test (achats, stock, ventes), les observations injectées ont occupé respectivement 38,4 %, 39,4 % et 21,1 % de cette fenêtre, sans qu'aucune coupe ni réduction ne soit nécessaire.</w:t>
      </w:r>
    </w:p>
    <w:p>
      <w:pPr>
        <w:pStyle w:val="Heading3"/>
        <w:keepNext/>
        <w:spacing w:before="280" w:after="120"/>
        <w:jc w:val="left"/>
      </w:pPr>
      <w:r>
        <w:rPr>
          <w:rFonts w:ascii="Times New Roman" w:hAnsi="Times New Roman"/>
          <w:b/>
          <w:i w:val="0"/>
          <w:sz w:val="28"/>
        </w:rPr>
        <w:t xml:space="preserve">9.5. Limites de l'évaluation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chaque question a été rejouée une seule fois, alors que les réponses du modèle ne sont pas déterministes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latence du chemin documentaire n'a pas fait l'objet d'une mesure séparée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les tests d'intégration dépendent d'une instance Odoo et d'utilisateurs de test qui ne sont pas fournis avec le dépôt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justesse métier n'a été relue manuellement que sur un échantillon de questions (voir Chapitre 10)</w:t>
      </w:r>
    </w:p>
    <w:p>
      <w:pPr>
        <w:pStyle w:val="Heading2"/>
        <w:spacing w:before="360" w:after="160"/>
        <w:jc w:val="left"/>
      </w:pPr>
      <w:r>
        <w:rPr>
          <w:rFonts w:ascii="Times New Roman" w:hAnsi="Times New Roman"/>
          <w:b/>
          <w:i w:val="0"/>
          <w:sz w:val="32"/>
        </w:rPr>
        <w:t xml:space="preserve">Chapitre 10. Perspectives : l'agent Code Intelligence</w:t>
      </w:r>
    </w:p>
    <w:p>
      <w:pPr>
        <w:spacing w:before="0" w:after="120" w:line="276" w:lineRule="auto"/>
        <w:jc w:val="both"/>
      </w:pPr>
      <w:r>
        <w:rPr>
          <w:rFonts w:ascii="Times New Roman" w:hAnsi="Times New Roman"/>
          <w:b w:val="0"/>
          <w:i w:val="0"/>
          <w:sz w:val="24"/>
        </w:rPr>
        <w:t xml:space="preserve">Le temps imparti n'a pas permis de mener l'agent Code Intelligence au niveau de maturité d'une réalisation livrée. Il est présenté ici comme une perspective : on expose son approche, ce qui a été validé et ce qui reste à faire.</w:t>
      </w:r>
    </w:p>
    <w:p>
      <w:pPr>
        <w:pStyle w:val="Heading3"/>
        <w:keepNext/>
        <w:spacing w:before="280" w:after="120"/>
        <w:jc w:val="left"/>
      </w:pPr>
      <w:r>
        <w:rPr>
          <w:rFonts w:ascii="Times New Roman" w:hAnsi="Times New Roman"/>
          <w:b/>
          <w:i w:val="0"/>
          <w:sz w:val="28"/>
        </w:rPr>
        <w:t xml:space="preserve">10.1. Problème et objectif</w:t>
      </w:r>
    </w:p>
    <w:p>
      <w:pPr>
        <w:spacing w:before="0" w:after="120" w:line="276" w:lineRule="auto"/>
        <w:jc w:val="both"/>
      </w:pPr>
      <w:r>
        <w:rPr>
          <w:rFonts w:ascii="Times New Roman" w:hAnsi="Times New Roman"/>
          <w:b w:val="0"/>
          <w:i w:val="0"/>
          <w:sz w:val="24"/>
        </w:rPr>
        <w:t xml:space="preserve">Un assistant fondé sur un modèle de langage peut formuler une réponse plausible sans qu'aucune source ne l'étaie, par exemple affirmer qu'un module est absent d'une instance parce qu'une recherche n'a rien retourné. Pour un utilisateur métier, une telle réponse est plus dangereuse qu'un aveu d'ignorance. Code Intelligence vise à répondre aux questions sur le fonctionnement réel d'une instance Odoo en s'appuyant sur le code, la configuration et, lorsque la question l'exige, les données de l'instance, et à signaler explicitement les limites de ce qu'il a pu établir.</w:t>
      </w:r>
    </w:p>
    <w:p>
      <w:pPr>
        <w:pStyle w:val="Heading3"/>
        <w:keepNext/>
        <w:spacing w:before="280" w:after="120"/>
        <w:jc w:val="left"/>
      </w:pPr>
      <w:r>
        <w:rPr>
          <w:rFonts w:ascii="Times New Roman" w:hAnsi="Times New Roman"/>
          <w:b/>
          <w:i w:val="0"/>
          <w:sz w:val="28"/>
        </w:rPr>
        <w:t xml:space="preserve">10.2. Approche</w:t>
      </w:r>
    </w:p>
    <w:p>
      <w:pPr>
        <w:spacing w:before="0" w:after="120" w:line="276" w:lineRule="auto"/>
        <w:jc w:val="both"/>
      </w:pPr>
      <w:r>
        <w:rPr>
          <w:rFonts w:ascii="Times New Roman" w:hAnsi="Times New Roman"/>
          <w:b w:val="0"/>
          <w:i w:val="0"/>
          <w:sz w:val="24"/>
        </w:rPr>
        <w:t xml:space="preserve">L'approche repose sur quatre éléments. Un extracteur lit le code Python, les vues XML et les fichiers de droits des modules installés. Un graphe de connaissances relie modèles, champs, vues, boutons, menus, groupes, règles d'accès, états et méthodes. Des analyses déterministes (sans modèle de langage) calculent ce que le code établit : droits d'accès, chemins de navigation, états et transitions d'un processus, chaîne de surcharge d'une méthode, verrous de validation. Enfin un agent unique, qui ne dispose que d'un ensemble borné d'outils, enchaîne ces analyses et rédige l'explication, chaque affirmation devant s'appuyer sur une observation collectée.</w:t>
      </w:r>
    </w:p>
    <w:p>
      <w:pPr>
        <w:spacing w:before="0" w:after="120" w:line="276" w:lineRule="auto"/>
        <w:jc w:val="both"/>
      </w:pPr>
      <w:r>
        <w:rPr>
          <w:rFonts w:ascii="Times New Roman" w:hAnsi="Times New Roman"/>
          <w:b w:val="0"/>
          <w:i w:val="0"/>
          <w:sz w:val="24"/>
        </w:rPr>
        <w:t xml:space="preserve">Sur l'instance de développement, le graphe actif compte 25 235 nœuds et 25 670 arêtes. Il couvre 288 des 289 modules déclarés installés, soit 17 452 fichiers source indexés ; le module dont le code source est absent est signalé comme écart de couverture. Les outils exposés à l'agent sont regroupés par famille de questions dans le Tableau 42.</w:t>
      </w:r>
    </w:p>
    <w:p>
      <w:pPr>
        <w:keepNext/>
        <w:spacing w:before="120" w:after="120" w:line="276" w:lineRule="auto"/>
        <w:jc w:val="left"/>
      </w:pPr>
      <w:r>
        <w:rPr>
          <w:rFonts w:ascii="Times New Roman" w:hAnsi="Times New Roman"/>
          <w:b/>
          <w:i w:val="0"/>
          <w:sz w:val="22"/>
        </w:rPr>
        <w:t xml:space="preserve">Tableau 42. Familles de questions et outils de Code Intelligence</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Famille de questions</w:t>
            </w:r>
          </w:p>
        </w:tc>
        <w:tc>
          <w:tcPr>
            <w:tcW w:type="dxa" w:w="6360"/>
          </w:tcPr>
          <w:p>
            <w:pPr>
              <w:spacing w:before="80" w:after="80"/>
              <w:jc w:val="center"/>
            </w:pPr>
            <w:r>
              <w:rPr>
                <w:rFonts w:ascii="Times New Roman" w:hAnsi="Times New Roman"/>
                <w:b/>
                <w:i w:val="0"/>
                <w:sz w:val="21"/>
              </w:rPr>
              <w:t xml:space="preserve">Outils exposés à l'agent</w:t>
            </w:r>
          </w:p>
        </w:tc>
      </w:tr>
      <w:tr>
        <w:trPr>
          <w:cantSplit/>
        </w:trPr>
        <w:tc>
          <w:tcPr>
            <w:tcW w:type="dxa" w:w="3000"/>
          </w:tcPr>
          <w:p>
            <w:pPr>
              <w:spacing w:before="60" w:after="60"/>
              <w:jc w:val="left"/>
            </w:pPr>
            <w:r>
              <w:rPr>
                <w:rFonts w:ascii="Times New Roman" w:hAnsi="Times New Roman"/>
                <w:b w:val="0"/>
                <w:i w:val="0"/>
                <w:sz w:val="20"/>
              </w:rPr>
              <w:t xml:space="preserve">Découverte et lecture du code</w:t>
            </w:r>
          </w:p>
        </w:tc>
        <w:tc>
          <w:tcPr>
            <w:tcW w:type="dxa" w:w="6360"/>
          </w:tcPr>
          <w:p>
            <w:pPr>
              <w:spacing w:before="60" w:after="60"/>
              <w:jc w:val="left"/>
            </w:pPr>
            <w:r>
              <w:rPr>
                <w:rFonts w:ascii="Times New Roman" w:hAnsi="Times New Roman"/>
                <w:b w:val="0"/>
                <w:i w:val="0"/>
                <w:sz w:val="20"/>
              </w:rPr>
              <w:t xml:space="preserve">search_system, read_source_fragment</w:t>
            </w:r>
          </w:p>
        </w:tc>
      </w:tr>
      <w:tr>
        <w:trPr>
          <w:cantSplit/>
        </w:trPr>
        <w:tc>
          <w:tcPr>
            <w:tcW w:type="dxa" w:w="3000"/>
          </w:tcPr>
          <w:p>
            <w:pPr>
              <w:spacing w:before="60" w:after="60"/>
              <w:jc w:val="left"/>
            </w:pPr>
            <w:r>
              <w:rPr>
                <w:rFonts w:ascii="Times New Roman" w:hAnsi="Times New Roman"/>
                <w:b w:val="0"/>
                <w:i w:val="0"/>
                <w:sz w:val="20"/>
              </w:rPr>
              <w:t xml:space="preserve">Droits et visibilité</w:t>
            </w:r>
          </w:p>
        </w:tc>
        <w:tc>
          <w:tcPr>
            <w:tcW w:type="dxa" w:w="6360"/>
          </w:tcPr>
          <w:p>
            <w:pPr>
              <w:spacing w:before="60" w:after="60"/>
              <w:jc w:val="left"/>
            </w:pPr>
            <w:r>
              <w:rPr>
                <w:rFonts w:ascii="Times New Roman" w:hAnsi="Times New Roman"/>
                <w:b w:val="0"/>
                <w:i w:val="0"/>
                <w:sz w:val="20"/>
              </w:rPr>
              <w:t xml:space="preserve">who_has_access_to, evaluate_record_rules, describe_navigation_path, button_execution_path, analyze_security_locks</w:t>
            </w:r>
          </w:p>
        </w:tc>
      </w:tr>
      <w:tr>
        <w:trPr>
          <w:cantSplit/>
        </w:trPr>
        <w:tc>
          <w:tcPr>
            <w:tcW w:type="dxa" w:w="3000"/>
          </w:tcPr>
          <w:p>
            <w:pPr>
              <w:spacing w:before="60" w:after="60"/>
              <w:jc w:val="left"/>
            </w:pPr>
            <w:r>
              <w:rPr>
                <w:rFonts w:ascii="Times New Roman" w:hAnsi="Times New Roman"/>
                <w:b w:val="0"/>
                <w:i w:val="0"/>
                <w:sz w:val="20"/>
              </w:rPr>
              <w:t xml:space="preserve">Approbations et processus</w:t>
            </w:r>
          </w:p>
        </w:tc>
        <w:tc>
          <w:tcPr>
            <w:tcW w:type="dxa" w:w="6360"/>
          </w:tcPr>
          <w:p>
            <w:pPr>
              <w:spacing w:before="60" w:after="60"/>
              <w:jc w:val="left"/>
            </w:pPr>
            <w:r>
              <w:rPr>
                <w:rFonts w:ascii="Times New Roman" w:hAnsi="Times New Roman"/>
                <w:b w:val="0"/>
                <w:i w:val="0"/>
                <w:sz w:val="20"/>
              </w:rPr>
              <w:t xml:space="preserve">describe_workflow, analyze_method_override_chain, analyze_server_actions</w:t>
            </w:r>
          </w:p>
        </w:tc>
      </w:tr>
      <w:tr>
        <w:trPr>
          <w:cantSplit/>
        </w:trPr>
        <w:tc>
          <w:tcPr>
            <w:tcW w:type="dxa" w:w="3000"/>
          </w:tcPr>
          <w:p>
            <w:pPr>
              <w:spacing w:before="60" w:after="60"/>
              <w:jc w:val="left"/>
            </w:pPr>
            <w:r>
              <w:rPr>
                <w:rFonts w:ascii="Times New Roman" w:hAnsi="Times New Roman"/>
                <w:b w:val="0"/>
                <w:i w:val="0"/>
                <w:sz w:val="20"/>
              </w:rPr>
              <w:t xml:space="preserve">Saisie et validations</w:t>
            </w:r>
          </w:p>
        </w:tc>
        <w:tc>
          <w:tcPr>
            <w:tcW w:type="dxa" w:w="6360"/>
          </w:tcPr>
          <w:p>
            <w:pPr>
              <w:spacing w:before="60" w:after="60"/>
              <w:jc w:val="left"/>
            </w:pPr>
            <w:r>
              <w:rPr>
                <w:rFonts w:ascii="Times New Roman" w:hAnsi="Times New Roman"/>
                <w:b w:val="0"/>
                <w:i w:val="0"/>
                <w:sz w:val="20"/>
              </w:rPr>
              <w:t xml:space="preserve">analyze_data_constraints</w:t>
            </w:r>
          </w:p>
        </w:tc>
      </w:tr>
      <w:tr>
        <w:trPr>
          <w:cantSplit/>
        </w:trPr>
        <w:tc>
          <w:tcPr>
            <w:tcW w:type="dxa" w:w="3000"/>
          </w:tcPr>
          <w:p>
            <w:pPr>
              <w:spacing w:before="60" w:after="60"/>
              <w:jc w:val="left"/>
            </w:pPr>
            <w:r>
              <w:rPr>
                <w:rFonts w:ascii="Times New Roman" w:hAnsi="Times New Roman"/>
                <w:b w:val="0"/>
                <w:i w:val="0"/>
                <w:sz w:val="20"/>
              </w:rPr>
              <w:t xml:space="preserve">Données actuelles</w:t>
            </w:r>
          </w:p>
        </w:tc>
        <w:tc>
          <w:tcPr>
            <w:tcW w:type="dxa" w:w="6360"/>
          </w:tcPr>
          <w:p>
            <w:pPr>
              <w:spacing w:before="60" w:after="60"/>
              <w:jc w:val="left"/>
            </w:pPr>
            <w:r>
              <w:rPr>
                <w:rFonts w:ascii="Times New Roman" w:hAnsi="Times New Roman"/>
                <w:b w:val="0"/>
                <w:i w:val="0"/>
                <w:sz w:val="20"/>
              </w:rPr>
              <w:t xml:space="preserve">Outils de lecture ORM du Tableau 40</w:t>
            </w:r>
          </w:p>
        </w:tc>
      </w:tr>
    </w:tbl>
    <w:p>
      <w:pPr>
        <w:spacing w:before="0" w:after="120"/>
      </w:pPr>
    </w:p>
    <w:p>
      <w:pPr>
        <w:pStyle w:val="Heading3"/>
        <w:keepNext/>
        <w:spacing w:before="280" w:after="120"/>
        <w:jc w:val="left"/>
      </w:pPr>
      <w:r>
        <w:rPr>
          <w:rFonts w:ascii="Times New Roman" w:hAnsi="Times New Roman"/>
          <w:b/>
          <w:i w:val="0"/>
          <w:sz w:val="28"/>
        </w:rPr>
        <w:t xml:space="preserve">10.3. Principes de fiabilité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Preuve avant affirmation : </w:t>
      </w:r>
      <w:r>
        <w:rPr>
          <w:rFonts w:ascii="Times New Roman" w:hAnsi="Times New Roman"/>
          <w:b w:val="0"/>
          <w:i w:val="0"/>
          <w:sz w:val="24"/>
        </w:rPr>
        <w:t>un résultat de recherche sert à découvrir ; une affirmation s'appuie sur une inspection ou une lecture du code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 et exécution distingués : </w:t>
      </w:r>
      <w:r>
        <w:rPr>
          <w:rFonts w:ascii="Times New Roman" w:hAnsi="Times New Roman"/>
          <w:b w:val="0"/>
          <w:i w:val="0"/>
          <w:sz w:val="24"/>
        </w:rPr>
        <w:t xml:space="preserve">le code montre les mécanismes déclarés ; seules les données de l'instance montrent l'effet pour un utilisateur donné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Prudence sur les cibles : </w:t>
      </w:r>
      <w:r>
        <w:rPr>
          <w:rFonts w:ascii="Times New Roman" w:hAnsi="Times New Roman"/>
          <w:b w:val="0"/>
          <w:i w:val="0"/>
          <w:sz w:val="24"/>
        </w:rPr>
        <w:t xml:space="preserve">un terme métier ambigu déclenche une demande de précision plutôt qu'un choix arbitraire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Honnêteté sur la couverture : </w:t>
      </w:r>
      <w:r>
        <w:rPr>
          <w:rFonts w:ascii="Times New Roman" w:hAnsi="Times New Roman"/>
          <w:b w:val="0"/>
          <w:i w:val="0"/>
          <w:sz w:val="24"/>
        </w:rPr>
        <w:t xml:space="preserve">une recherche vide n'est pas une preuve d'absence lorsque la couverture est incomplète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Respect des accès : </w:t>
      </w:r>
      <w:r>
        <w:rPr>
          <w:rFonts w:ascii="Times New Roman" w:hAnsi="Times New Roman"/>
          <w:b w:val="0"/>
          <w:i w:val="0"/>
          <w:sz w:val="24"/>
        </w:rPr>
        <w:t xml:space="preserve">le modèle de langage ne choisit ni l'utilisateur ni la société, et les lectures restent en lecture seule</w:t>
      </w:r>
    </w:p>
    <w:p>
      <w:pPr>
        <w:pStyle w:val="Heading3"/>
        <w:keepNext/>
        <w:spacing w:before="280" w:after="120"/>
        <w:jc w:val="left"/>
      </w:pPr>
      <w:r>
        <w:rPr>
          <w:rFonts w:ascii="Times New Roman" w:hAnsi="Times New Roman"/>
          <w:b/>
          <w:i w:val="0"/>
          <w:sz w:val="28"/>
        </w:rPr>
        <w:t xml:space="preserve">10.4. Illustration</w:t>
      </w:r>
    </w:p>
    <w:p>
      <w:pPr>
        <w:spacing w:before="0" w:after="120" w:line="276" w:lineRule="auto"/>
        <w:jc w:val="both"/>
      </w:pPr>
      <w:r>
        <w:rPr>
          <w:rFonts w:ascii="Times New Roman" w:hAnsi="Times New Roman"/>
          <w:b w:val="0"/>
          <w:i w:val="0"/>
          <w:sz w:val="24"/>
        </w:rPr>
        <w:t xml:space="preserve">À la question « demande d'achat », l'agent a décrit le processus de validation d'une demande dans un module personnalisé : seul un membre du groupe des gestionnaires d'achats ou un utilisateur d'une liste d'exceptions peut valider ; au-delà de 10 000 euros, seuls les utilisateurs de la liste restreinte le peuvent ; sinon un message d'erreur est affiché. Ces règles proviennent de la méthode de validation du module, dont la réponse cite le fichier et les lignes, ainsi que la chaîne de surcharge correspondante. L'état de la demande (brouillon, à valider, validé, refusé) et les deux méthodes qui l'écrivent sont également restitués.</w:t>
      </w:r>
    </w:p>
    <w:p>
      <w:pPr>
        <w:spacing w:before="120" w:after="120"/>
        <w:jc w:val="center"/>
      </w:pPr>
      <w:r>
        <w:rPr>
          <w:rFonts w:ascii="Times New Roman" w:hAnsi="Times New Roman"/>
          <w:b w:val="0"/>
          <w:i/>
          <w:sz w:val="22"/>
          <w:highlight w:val="yellow"/>
        </w:rPr>
        <w:t xml:space="preserve">[À insérer : capture de la réponse de MIRO à « demande d'achat » avec la section Sources]</w:t>
      </w:r>
    </w:p>
    <w:p>
      <w:pPr>
        <w:spacing w:before="120" w:after="240" w:line="360" w:lineRule="auto"/>
        <w:jc w:val="center"/>
      </w:pPr>
      <w:r>
        <w:rPr>
          <w:rFonts w:ascii="Times New Roman" w:hAnsi="Times New Roman"/>
          <w:b w:val="0"/>
          <w:i/>
          <w:sz w:val="24"/>
        </w:rPr>
        <w:t xml:space="preserve">Figure 10.1 — Réponse de Code Intelligence sur la validation d'une demande d'achat</w:t>
      </w:r>
    </w:p>
    <w:p>
      <w:pPr>
        <w:pStyle w:val="Heading3"/>
        <w:keepNext/>
        <w:spacing w:before="280" w:after="120"/>
        <w:jc w:val="left"/>
      </w:pPr>
      <w:r>
        <w:rPr>
          <w:rFonts w:ascii="Times New Roman" w:hAnsi="Times New Roman"/>
          <w:b/>
          <w:i w:val="0"/>
          <w:sz w:val="28"/>
        </w:rPr>
        <w:t xml:space="preserve">10.5. État d'avancement</w:t>
      </w:r>
    </w:p>
    <w:p>
      <w:pPr>
        <w:keepNext/>
        <w:spacing w:before="120" w:after="120" w:line="276" w:lineRule="auto"/>
        <w:jc w:val="left"/>
      </w:pPr>
      <w:r>
        <w:rPr>
          <w:rFonts w:ascii="Times New Roman" w:hAnsi="Times New Roman"/>
          <w:b/>
          <w:i w:val="0"/>
          <w:sz w:val="22"/>
        </w:rPr>
        <w:t xml:space="preserve">Tableau 43. Bilan de Code Intelligence à la date de rédaction</w:t>
      </w:r>
    </w:p>
    <w:tbl>
      <w:tblPr>
        <w:tblStyle w:val="Table10"/>
        <w:tblW w:type="dxa" w:w="9360"/>
        <w:jc w:val="center"/>
        <w:tblLook w:firstColumn="1" w:firstRow="1" w:lastColumn="0" w:lastRow="0" w:noHBand="0" w:noVBand="1" w:val="04A0"/>
      </w:tblPr>
      <w:tblGrid>
        <w:gridCol w:w="4300"/>
        <w:gridCol w:w="5060"/>
      </w:tblGrid>
      <w:tr>
        <w:trPr>
          <w:tblHeader/>
        </w:trPr>
        <w:tc>
          <w:tcPr>
            <w:tcW w:type="dxa" w:w="4300"/>
          </w:tcPr>
          <w:p>
            <w:pPr>
              <w:spacing w:before="80" w:after="80"/>
              <w:jc w:val="center"/>
            </w:pPr>
            <w:r>
              <w:rPr>
                <w:rFonts w:ascii="Times New Roman" w:hAnsi="Times New Roman"/>
                <w:b/>
                <w:i w:val="0"/>
                <w:sz w:val="21"/>
              </w:rPr>
              <w:t xml:space="preserve">Élément</w:t>
            </w:r>
          </w:p>
        </w:tc>
        <w:tc>
          <w:tcPr>
            <w:tcW w:type="dxa" w:w="5060"/>
          </w:tcPr>
          <w:p>
            <w:pPr>
              <w:spacing w:before="80" w:after="80"/>
              <w:jc w:val="center"/>
            </w:pPr>
            <w:r>
              <w:rPr>
                <w:rFonts w:ascii="Times New Roman" w:hAnsi="Times New Roman"/>
                <w:b/>
                <w:i w:val="0"/>
                <w:sz w:val="21"/>
              </w:rPr>
              <w:t xml:space="preserve">État</w:t>
            </w:r>
          </w:p>
        </w:tc>
      </w:tr>
      <w:tr>
        <w:trPr>
          <w:cantSplit/>
        </w:trPr>
        <w:tc>
          <w:tcPr>
            <w:tcW w:type="dxa" w:w="4300"/>
          </w:tcPr>
          <w:p>
            <w:pPr>
              <w:spacing w:before="60" w:after="60"/>
              <w:jc w:val="left"/>
            </w:pPr>
            <w:r>
              <w:rPr>
                <w:rFonts w:ascii="Times New Roman" w:hAnsi="Times New Roman"/>
                <w:b w:val="0"/>
                <w:i w:val="0"/>
                <w:sz w:val="20"/>
              </w:rPr>
              <w:t xml:space="preserve">Construction du graphe sur les modules installés</w:t>
            </w:r>
          </w:p>
        </w:tc>
        <w:tc>
          <w:tcPr>
            <w:tcW w:type="dxa" w:w="5060"/>
          </w:tcPr>
          <w:p>
            <w:pPr>
              <w:spacing w:before="60" w:after="60"/>
              <w:jc w:val="left"/>
            </w:pPr>
            <w:r>
              <w:rPr>
                <w:rFonts w:ascii="Times New Roman" w:hAnsi="Times New Roman"/>
                <w:b w:val="0"/>
                <w:i w:val="0"/>
                <w:sz w:val="20"/>
              </w:rPr>
              <w:t xml:space="preserve">Validée : couverture de 288 modules sur 289 déclarés</w:t>
            </w:r>
          </w:p>
        </w:tc>
      </w:tr>
      <w:tr>
        <w:trPr>
          <w:cantSplit/>
        </w:trPr>
        <w:tc>
          <w:tcPr>
            <w:tcW w:type="dxa" w:w="4300"/>
          </w:tcPr>
          <w:p>
            <w:pPr>
              <w:spacing w:before="60" w:after="60"/>
              <w:jc w:val="left"/>
            </w:pPr>
            <w:r>
              <w:rPr>
                <w:rFonts w:ascii="Times New Roman" w:hAnsi="Times New Roman"/>
                <w:b w:val="0"/>
                <w:i w:val="0"/>
                <w:sz w:val="20"/>
              </w:rPr>
              <w:t xml:space="preserve">États et méthodes qui écrivent l'état d'un processus</w:t>
            </w:r>
          </w:p>
        </w:tc>
        <w:tc>
          <w:tcPr>
            <w:tcW w:type="dxa" w:w="5060"/>
          </w:tcPr>
          <w:p>
            <w:pPr>
              <w:spacing w:before="60" w:after="60"/>
              <w:jc w:val="left"/>
            </w:pPr>
            <w:r>
              <w:rPr>
                <w:rFonts w:ascii="Times New Roman" w:hAnsi="Times New Roman"/>
                <w:b w:val="0"/>
                <w:i w:val="0"/>
                <w:sz w:val="20"/>
              </w:rPr>
              <w:t xml:space="preserve">Validés, correction apportée le 27 octobre 2026</w:t>
            </w:r>
          </w:p>
        </w:tc>
      </w:tr>
      <w:tr>
        <w:trPr>
          <w:cantSplit/>
        </w:trPr>
        <w:tc>
          <w:tcPr>
            <w:tcW w:type="dxa" w:w="4300"/>
          </w:tcPr>
          <w:p>
            <w:pPr>
              <w:spacing w:before="60" w:after="60"/>
              <w:jc w:val="left"/>
            </w:pPr>
            <w:r>
              <w:rPr>
                <w:rFonts w:ascii="Times New Roman" w:hAnsi="Times New Roman"/>
                <w:b w:val="0"/>
                <w:i w:val="0"/>
                <w:sz w:val="20"/>
              </w:rPr>
              <w:t xml:space="preserve">Chaîne de surcharge et verrous de validation</w:t>
            </w:r>
          </w:p>
        </w:tc>
        <w:tc>
          <w:tcPr>
            <w:tcW w:type="dxa" w:w="5060"/>
          </w:tcPr>
          <w:p>
            <w:pPr>
              <w:spacing w:before="60" w:after="60"/>
              <w:jc w:val="left"/>
            </w:pPr>
            <w:r>
              <w:rPr>
                <w:rFonts w:ascii="Times New Roman" w:hAnsi="Times New Roman"/>
                <w:b w:val="0"/>
                <w:i w:val="0"/>
                <w:sz w:val="20"/>
              </w:rPr>
              <w:t xml:space="preserve">Validés sur des cas réels, avec citation du fichier et des lignes</w:t>
            </w:r>
          </w:p>
        </w:tc>
      </w:tr>
      <w:tr>
        <w:trPr>
          <w:cantSplit/>
        </w:trPr>
        <w:tc>
          <w:tcPr>
            <w:tcW w:type="dxa" w:w="4300"/>
          </w:tcPr>
          <w:p>
            <w:pPr>
              <w:spacing w:before="60" w:after="60"/>
              <w:jc w:val="left"/>
            </w:pPr>
            <w:r>
              <w:rPr>
                <w:rFonts w:ascii="Times New Roman" w:hAnsi="Times New Roman"/>
                <w:b w:val="0"/>
                <w:i w:val="0"/>
                <w:sz w:val="20"/>
              </w:rPr>
              <w:t xml:space="preserve">Chemin de navigation, champs et boutons d'un modèle</w:t>
            </w:r>
          </w:p>
        </w:tc>
        <w:tc>
          <w:tcPr>
            <w:tcW w:type="dxa" w:w="5060"/>
          </w:tcPr>
          <w:p>
            <w:pPr>
              <w:spacing w:before="60" w:after="60"/>
              <w:jc w:val="left"/>
            </w:pPr>
            <w:r>
              <w:rPr>
                <w:rFonts w:ascii="Times New Roman" w:hAnsi="Times New Roman"/>
                <w:b w:val="0"/>
                <w:i w:val="0"/>
                <w:sz w:val="20"/>
              </w:rPr>
              <w:t xml:space="preserve">Correction codée le 27 octobre 2026, à rejouer sur l'instance</w:t>
            </w:r>
          </w:p>
        </w:tc>
      </w:tr>
      <w:tr>
        <w:trPr>
          <w:cantSplit/>
        </w:trPr>
        <w:tc>
          <w:tcPr>
            <w:tcW w:type="dxa" w:w="4300"/>
          </w:tcPr>
          <w:p>
            <w:pPr>
              <w:spacing w:before="60" w:after="60"/>
              <w:jc w:val="left"/>
            </w:pPr>
            <w:r>
              <w:rPr>
                <w:rFonts w:ascii="Times New Roman" w:hAnsi="Times New Roman"/>
                <w:b w:val="0"/>
                <w:i w:val="0"/>
                <w:sz w:val="20"/>
              </w:rPr>
              <w:t xml:space="preserve">Résolution d'un terme métier vers le bon modèle</w:t>
            </w:r>
          </w:p>
        </w:tc>
        <w:tc>
          <w:tcPr>
            <w:tcW w:type="dxa" w:w="5060"/>
          </w:tcPr>
          <w:p>
            <w:pPr>
              <w:spacing w:before="60" w:after="60"/>
              <w:jc w:val="left"/>
            </w:pPr>
            <w:r>
              <w:rPr>
                <w:rFonts w:ascii="Times New Roman" w:hAnsi="Times New Roman"/>
                <w:b w:val="0"/>
                <w:i w:val="0"/>
                <w:sz w:val="20"/>
              </w:rPr>
              <w:t xml:space="preserve">Partielle : 31 cibles exactes sur 48 questions (audit du 18 octobre 2026)</w:t>
            </w:r>
          </w:p>
        </w:tc>
      </w:tr>
      <w:tr>
        <w:trPr>
          <w:cantSplit/>
        </w:trPr>
        <w:tc>
          <w:tcPr>
            <w:tcW w:type="dxa" w:w="4300"/>
          </w:tcPr>
          <w:p>
            <w:pPr>
              <w:spacing w:before="60" w:after="60"/>
              <w:jc w:val="left"/>
            </w:pPr>
            <w:r>
              <w:rPr>
                <w:rFonts w:ascii="Times New Roman" w:hAnsi="Times New Roman"/>
                <w:b w:val="0"/>
                <w:i w:val="0"/>
                <w:sz w:val="20"/>
              </w:rPr>
              <w:t xml:space="preserve">Justesse des réponses relues le 22 octobre 2026 (achats, ventes, stock)</w:t>
            </w:r>
          </w:p>
        </w:tc>
        <w:tc>
          <w:tcPr>
            <w:tcW w:type="dxa" w:w="5060"/>
          </w:tcPr>
          <w:p>
            <w:pPr>
              <w:spacing w:before="60" w:after="60"/>
              <w:jc w:val="left"/>
            </w:pPr>
            <w:r>
              <w:rPr>
                <w:rFonts w:ascii="Times New Roman" w:hAnsi="Times New Roman"/>
                <w:b w:val="0"/>
                <w:i w:val="0"/>
                <w:sz w:val="20"/>
              </w:rPr>
              <w:t xml:space="preserve">Contrastée : trois réponses exactes, six partielles, trois fausses, une sans réponse, les autres mêlant bonne conclusion et justification contaminée</w:t>
            </w:r>
          </w:p>
        </w:tc>
      </w:tr>
      <w:tr>
        <w:trPr>
          <w:cantSplit/>
        </w:trPr>
        <w:tc>
          <w:tcPr>
            <w:tcW w:type="dxa" w:w="4300"/>
          </w:tcPr>
          <w:p>
            <w:pPr>
              <w:spacing w:before="60" w:after="60"/>
              <w:jc w:val="left"/>
            </w:pPr>
            <w:r>
              <w:rPr>
                <w:rFonts w:ascii="Times New Roman" w:hAnsi="Times New Roman"/>
                <w:b w:val="0"/>
                <w:i w:val="0"/>
                <w:sz w:val="20"/>
              </w:rPr>
              <w:t xml:space="preserve">Refus en l'absence de preuve</w:t>
            </w:r>
          </w:p>
        </w:tc>
        <w:tc>
          <w:tcPr>
            <w:tcW w:type="dxa" w:w="5060"/>
          </w:tcPr>
          <w:p>
            <w:pPr>
              <w:spacing w:before="60" w:after="60"/>
              <w:jc w:val="left"/>
            </w:pPr>
            <w:r>
              <w:rPr>
                <w:rFonts w:ascii="Times New Roman" w:hAnsi="Times New Roman"/>
                <w:b w:val="0"/>
                <w:i w:val="0"/>
                <w:sz w:val="20"/>
              </w:rPr>
              <w:t xml:space="preserve">Insuffisant : une question sur les articles achetés a reçu une réponse sans source affirmant que le module Achats est absent</w:t>
            </w:r>
          </w:p>
        </w:tc>
      </w:tr>
    </w:tbl>
    <w:p>
      <w:pPr>
        <w:spacing w:before="0" w:after="120"/>
      </w:pPr>
    </w:p>
    <w:p>
      <w:pPr>
        <w:pStyle w:val="Heading3"/>
        <w:keepNext/>
        <w:spacing w:before="280" w:after="120"/>
        <w:jc w:val="left"/>
      </w:pPr>
      <w:r>
        <w:rPr>
          <w:rFonts w:ascii="Times New Roman" w:hAnsi="Times New Roman"/>
          <w:b/>
          <w:i w:val="0"/>
          <w:sz w:val="28"/>
        </w:rPr>
        <w:t xml:space="preserve">10.6. Suite envisagée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transformer l'absence de preuve en refus ou en demande de précision, au lieu d'une réponse rédigée de mémoire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relier les questions de données aux outils de lecture ORM, sous l'identité du demandeur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améliorer la résolution des termes métier vers les modèles Odoo, mesurée sur une banque de questions à vérité établie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rejouer un protocole d'évaluation figé sur des instances et des cas de test définis avant tout objectif chiffré de précision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étendre l'approche aux versions plus anciennes d'Odoo rencontrées chez d'autres clients, qui exigeront de nouveaux extracteurs</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stage s'est déroulé au sein de l'entreprise MIRO K.E., située à Ambohidratrimo, Antananarivo. Ce projet a permis de répondre à des enjeux importants de communication au sein de l'entreprise. L'objectif était de concevoir une interface de menu fluide et d'intégrer des campagnes d'e-mailing afin d'améliorer l'efficacité des communications internes et externes.</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réaliser ce projet, une méthode de conception rigoureuse, le 2 Track Unified Process (2TUP), a été suivie. La modélisation UML a été facilitée par l'utilisation de Visual Paradigm, et le développement de la logique de l'interface a été soutenu par le framework OWL.js. Le code a été principalement écrit en Python dans l'environnement de développement Visual Studio Code, tandis que PostgreSQL a été utilisé pour la gestion optimale des données. Les modules réalisés permettent désormais un accès facilité aux applications et une gestion fluide des campagnes d'e-mailing, contribuant ainsi à une communication plus efficace au sein de l'entreprise.</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solution est actuellement pleinement opérationnelle et répond aux attentes des utilisateurs. Toutefois, dans une perspective d’amélioration continue, des fonctionnalités supplémentaires sont envisagées, telles que l’intégration de l’email transactionnel et le développement de nouvelles options de personnalisation pour les utilisateurs.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stage a été une occasion précieuse pour approfondir mes compétences en développement de modules sous Odoo. Il a également apporté une réelle valeur ajoutée à MIRO K.E., avec des modules déjà déployés et fonctionnels sur le serveur de l'entreprise. Cette expérience a été l'occasion de mettre en pratique les connaissances théoriques acquises à l'École Nationale d’Informatique tout en répondant à un besoin spécifique de l'entreprise.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