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color w:val="888888"/>
          <w:sz w:val="20"/>
          <w:szCs w:val="20"/>
        </w:rPr>
        <w:t xml:space="preserve">DOKUMEN INOVASI</w:t>
      </w:r>
    </w:p>
    <w:p>
      <w:pPr>
        <w:spacing w:before="0" w:after="80"/>
        <w:jc w:val="center"/>
      </w:pPr>
      <w:r>
        <w:rPr>
          <w:rFonts w:ascii="Arial" w:cs="Arial" w:eastAsia="Arial" w:hAnsi="Arial"/>
          <w:b/>
          <w:bCs/>
          <w:color w:val="1F4E79"/>
          <w:sz w:val="40"/>
          <w:szCs w:val="40"/>
        </w:rPr>
        <w:t xml:space="preserve">Platform Micromodeling Produk Artisan Lokal</w:t>
      </w:r>
    </w:p>
    <w:p>
      <w:pPr>
        <w:spacing w:before="0" w:after="40"/>
        <w:jc w:val="center"/>
      </w:pPr>
      <w:r>
        <w:rPr>
          <w:rFonts w:ascii="Arial" w:cs="Arial" w:eastAsia="Arial" w:hAnsi="Arial"/>
          <w:i/>
          <w:iCs/>
          <w:color w:val="2E75B6"/>
          <w:sz w:val="26"/>
          <w:szCs w:val="26"/>
        </w:rPr>
        <w:t xml:space="preserve">Parameterisasi Digital &amp; Dynamic Capacity Pricing</w:t>
      </w:r>
    </w:p>
    <w:p>
      <w:pPr>
        <w:pBdr>
          <w:bottom w:val="single" w:color="4472C4" w:sz="6" w:space="1"/>
        </w:pBdr>
        <w:spacing w:before="120" w:after="120"/>
      </w:pPr>
    </w:p>
    <w:p>
      <w:pPr>
        <w:pStyle w:val="Heading2"/>
        <w:spacing w:before="240" w:after="100"/>
      </w:pPr>
      <w:r>
        <w:rPr>
          <w:rFonts w:ascii="Arial" w:cs="Arial" w:eastAsia="Arial" w:hAnsi="Arial"/>
          <w:b/>
          <w:bCs/>
          <w:color w:val="2E75B6"/>
          <w:sz w:val="28"/>
          <w:szCs w:val="28"/>
        </w:rPr>
        <w:t xml:space="preserve">Ringkasan Inovasi</w:t>
      </w:r>
    </w:p>
    <w:p>
      <w:pPr>
        <w:spacing w:before="60" w:after="100"/>
      </w:pPr>
      <w:r>
        <w:rPr>
          <w:rFonts w:ascii="Arial" w:cs="Arial" w:eastAsia="Arial" w:hAnsi="Arial"/>
          <w:sz w:val="22"/>
          <w:szCs w:val="22"/>
        </w:rPr>
        <w:t xml:space="preserve">Platform ini memperkenalkan cara baru yang belum lazim dipakai di ekosistem marketplace Indonesia: mengubah produk kerajinan tangan dari sekadar foto+harga statis menjadi entitas digital yang bisa dikonfigurasi, dihitung harganya secara real-time, dan dikelola kapasitas produksinya secara otomatis.</w:t>
      </w:r>
    </w:p>
    <w:p>
      <w:pPr>
        <w:spacing w:before="120" w:after="160"/>
      </w:pPr>
      <w:r>
        <w:rPr>
          <w:rFonts w:ascii="Arial" w:cs="Arial" w:eastAsia="Arial" w:hAnsi="Arial"/>
          <w:b/>
          <w:bCs/>
          <w:sz w:val="22"/>
          <w:szCs w:val="22"/>
        </w:rPr>
        <w:t xml:space="preserve">Keunikan utama: </w:t>
      </w:r>
      <w:r>
        <w:rPr>
          <w:rFonts w:ascii="Arial" w:cs="Arial" w:eastAsia="Arial" w:hAnsi="Arial"/>
          <w:sz w:val="22"/>
          <w:szCs w:val="22"/>
        </w:rPr>
        <w:t xml:space="preserve">Tidak ada marketplace lokal yang menggunakan pendekatan parameterisasi produk fisik artisan dengan pricing engine berbasis kapasitas produksi.</w:t>
      </w:r>
    </w:p>
    <w:p>
      <w:pPr>
        <w:pBdr>
          <w:bottom w:val="single" w:color="4472C4" w:sz="6" w:space="1"/>
        </w:pBdr>
        <w:spacing w:before="120" w:after="120"/>
      </w:pPr>
    </w:p>
    <w:p>
      <w:pPr>
        <w:pStyle w:val="Heading2"/>
        <w:spacing w:before="240" w:after="100"/>
      </w:pPr>
      <w:r>
        <w:rPr>
          <w:rFonts w:ascii="Arial" w:cs="Arial" w:eastAsia="Arial" w:hAnsi="Arial"/>
          <w:b/>
          <w:bCs/>
          <w:color w:val="2E75B6"/>
          <w:sz w:val="28"/>
          <w:szCs w:val="28"/>
        </w:rPr>
        <w:t xml:space="preserve">Inovasi Kunci yang Jarang Dipakai</w:t>
      </w:r>
    </w:p>
    <w:p>
      <w:pPr>
        <w:spacing w:before="180" w:after="80"/>
      </w:pPr>
      <w:r>
        <w:rPr>
          <w:rFonts w:ascii="Arial" w:cs="Arial" w:eastAsia="Arial" w:hAnsi="Arial"/>
          <w:b/>
          <w:bCs/>
          <w:color w:val="404040"/>
          <w:sz w:val="24"/>
          <w:szCs w:val="24"/>
        </w:rPr>
        <w:t xml:space="preserve">1. Parametric Product Engine — Formula Harga Berbasis Variabel Produksi</w:t>
      </w:r>
    </w:p>
    <w:p>
      <w:pPr>
        <w:spacing w:before="60" w:after="100"/>
      </w:pPr>
      <w:r>
        <w:rPr>
          <w:rFonts w:ascii="Arial" w:cs="Arial" w:eastAsia="Arial" w:hAnsi="Arial"/>
          <w:sz w:val="22"/>
          <w:szCs w:val="22"/>
        </w:rPr>
        <w:t xml:space="preserve">Alih-alih harga statis, platform menghitung harga secara dinamis menggunakan rumus:</w:t>
      </w:r>
    </w:p>
    <w:p>
      <w:pPr>
        <w:shd w:fill="F0F0F0" w:val="clear"/>
        <w:spacing w:before="80" w:after="80"/>
      </w:pPr>
      <w:r>
        <w:rPr>
          <w:rFonts w:ascii="Courier New" w:cs="Courier New" w:eastAsia="Courier New" w:hAnsi="Courier New"/>
          <w:b/>
          <w:bCs/>
          <w:color w:val="1F4E79"/>
          <w:sz w:val="24"/>
          <w:szCs w:val="24"/>
        </w:rPr>
        <w:t xml:space="preserve">P = B + (M × α) + (L × β) + (C × γ)</w:t>
      </w:r>
    </w:p>
    <w:p>
      <w:pPr>
        <w:spacing w:before="60" w:after="100"/>
      </w:pPr>
      <w:r>
        <w:rPr>
          <w:rFonts w:ascii="Arial" w:cs="Arial" w:eastAsia="Arial" w:hAnsi="Arial"/>
          <w:sz w:val="22"/>
          <w:szCs w:val="22"/>
        </w:rPr>
        <w:t xml:space="preserve">Inovasi ini belum dipakai oleh Tokopedia, Shopee, atau marketplace artisan internasional seperti Etsy sekalipun. Kompetitor hanya menggunakan tabel harga manual yang tidak transparan dan sulit dikalkulasi ulang saat bahan baku naik.</w:t>
      </w:r>
    </w:p>
    <w:p>
      <w:pPr>
        <w:spacing w:before="180" w:after="80"/>
      </w:pPr>
      <w:r>
        <w:rPr>
          <w:rFonts w:ascii="Arial" w:cs="Arial" w:eastAsia="Arial" w:hAnsi="Arial"/>
          <w:b/>
          <w:bCs/>
          <w:color w:val="404040"/>
          <w:sz w:val="24"/>
          <w:szCs w:val="24"/>
        </w:rPr>
        <w:t xml:space="preserve">2. Capacity-Linked Dynamic Pricing</w:t>
      </w:r>
    </w:p>
    <w:p>
      <w:pPr>
        <w:spacing w:before="60" w:after="100"/>
      </w:pPr>
      <w:r>
        <w:rPr>
          <w:rFonts w:ascii="Arial" w:cs="Arial" w:eastAsia="Arial" w:hAnsi="Arial"/>
          <w:sz w:val="22"/>
          <w:szCs w:val="22"/>
        </w:rPr>
        <w:t xml:space="preserve">Saat slot pesanan artisan hampir penuh, sistem otomatis menaikkan harga — bukan karena serakah, melainkan sebagai mekanisme perlindungan beban kerja. Ini setara dengan konsep yield management di industri hotel dan penerbangan, namun diterapkan di level UMKM kerajinan tangan.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Kondisi Kapasitas</w:t>
            </w:r>
          </w:p>
        </w:tc>
        <w:tc>
          <w:tcPr>
            <w:tcW w:type="dxa" w:w="300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Mekanisme</w:t>
            </w:r>
          </w:p>
        </w:tc>
        <w:tc>
          <w:tcPr>
            <w:tcW w:type="dxa" w:w="296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Dampak</w:t>
            </w:r>
          </w:p>
        </w:tc>
      </w:tr>
      <w:tr>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Slot masih &gt;50%</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Harga normal</w:t>
            </w:r>
          </w:p>
        </w:tc>
        <w:tc>
          <w:tcPr>
            <w:tcW w:type="dxa" w:w="2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Dorong lebih banyak pesanan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 tersisa 20–50%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Harga naik 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Seleksi pembeli prioritas</w:t>
            </w:r>
          </w:p>
        </w:tc>
      </w:tr>
      <w:tr>
        <w:tc>
          <w:tcPr>
            <w:tcW w:type="dxa" w:w="34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Slot tersisa &lt;20%</w:t>
            </w:r>
          </w:p>
        </w:tc>
        <w:tc>
          <w:tcPr>
            <w:tcW w:type="dxa" w:w="3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Harga naik 15–25%</w:t>
            </w:r>
          </w:p>
        </w:tc>
        <w:tc>
          <w:tcPr>
            <w:tcW w:type="dxa" w:w="296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Lindungi kualitas &amp; waktu artisan</w:t>
            </w:r>
          </w:p>
        </w:tc>
      </w:tr>
    </w:tbl>
    <w:p>
      <w:pPr>
        <w:spacing w:before="80" w:after="0"/>
      </w:pPr>
    </w:p>
    <w:p>
      <w:pPr>
        <w:spacing w:before="180" w:after="80"/>
      </w:pPr>
      <w:r>
        <w:rPr>
          <w:rFonts w:ascii="Arial" w:cs="Arial" w:eastAsia="Arial" w:hAnsi="Arial"/>
          <w:b/>
          <w:bCs/>
          <w:color w:val="404040"/>
          <w:sz w:val="24"/>
          <w:szCs w:val="24"/>
        </w:rPr>
        <w:t xml:space="preserve">3. WebXR / AR Preview — Lihat Produk di Ruangan Nyata</w:t>
      </w:r>
    </w:p>
    <w:p>
      <w:pPr>
        <w:spacing w:before="60" w:after="100"/>
      </w:pPr>
      <w:r>
        <w:rPr>
          <w:rFonts w:ascii="Arial" w:cs="Arial" w:eastAsia="Arial" w:hAnsi="Arial"/>
          <w:sz w:val="22"/>
          <w:szCs w:val="22"/>
        </w:rPr>
        <w:t xml:space="preserve">Pembeli bisa melihat preview produk 3D langsung di ruangan mereka menggunakan kamera HP, sebelum memesan. Teknologi WebXR ini belum dipakai oleh satu pun marketplace artisan lokal. Data dari industri menunjukkan fitur AR meningkatkan konversi pembelian hingga 40% karena mengurangi keraguan visual.</w:t>
      </w:r>
    </w:p>
    <w:p>
      <w:pPr>
        <w:spacing w:before="180" w:after="80"/>
      </w:pPr>
      <w:r>
        <w:rPr>
          <w:rFonts w:ascii="Arial" w:cs="Arial" w:eastAsia="Arial" w:hAnsi="Arial"/>
          <w:b/>
          <w:bCs/>
          <w:color w:val="404040"/>
          <w:sz w:val="24"/>
          <w:szCs w:val="24"/>
        </w:rPr>
        <w:t xml:space="preserve">4. Lean Manufacturing Metrics untuk UMKM</w:t>
      </w:r>
    </w:p>
    <w:p>
      <w:pPr>
        <w:spacing w:before="60" w:after="100"/>
      </w:pPr>
      <w:r>
        <w:rPr>
          <w:rFonts w:ascii="Arial" w:cs="Arial" w:eastAsia="Arial" w:hAnsi="Arial"/>
          <w:sz w:val="22"/>
          <w:szCs w:val="22"/>
        </w:rPr>
        <w:t xml:space="preserve">Platform memperkenalkan indikator yang biasanya hanya ada di pabrik besar — seperti Lead Time Score, Complexity Index, dan OEE (Overall Equipment Effectiveness) — ke level artisan rumahan. Ini memberi fondasi data untuk perencanaan kapasitas jangka panjang.</w:t>
      </w:r>
    </w:p>
    <w:p>
      <w:pPr>
        <w:pBdr>
          <w:bottom w:val="single" w:color="4472C4" w:sz="6" w:space="1"/>
        </w:pBdr>
        <w:spacing w:before="120" w:after="120"/>
      </w:pPr>
    </w:p>
    <w:p>
      <w:pPr>
        <w:pStyle w:val="Heading2"/>
        <w:spacing w:before="240" w:after="100"/>
      </w:pPr>
      <w:r>
        <w:rPr>
          <w:rFonts w:ascii="Arial" w:cs="Arial" w:eastAsia="Arial" w:hAnsi="Arial"/>
          <w:b/>
          <w:bCs/>
          <w:color w:val="2E75B6"/>
          <w:sz w:val="28"/>
          <w:szCs w:val="28"/>
        </w:rPr>
        <w:t xml:space="preserve">Perbandingan dengan Solusi yang 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Fitur Inovasi</w:t>
            </w:r>
          </w:p>
        </w:tc>
        <w:tc>
          <w:tcPr>
            <w:tcW w:type="dxa" w:w="268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Marketplace Biasa</w:t>
            </w:r>
          </w:p>
        </w:tc>
        <w:tc>
          <w:tcPr>
            <w:tcW w:type="dxa" w:w="2680"/>
            <w:tcBorders>
              <w:top w:val="single" w:color="4472C4" w:sz="1"/>
              <w:left w:val="single" w:color="4472C4" w:sz="1"/>
              <w:bottom w:val="single" w:color="4472C4" w:sz="1"/>
              <w:right w:val="single" w:color="4472C4"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 Ini</w:t>
            </w:r>
          </w:p>
        </w:tc>
      </w:tr>
      <w:tr>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Harga kustomisasi real-time</w:t>
            </w:r>
          </w:p>
        </w:tc>
        <w:tc>
          <w:tcPr>
            <w:tcW w:type="dxa" w:w="2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Tidak ada</w:t>
            </w:r>
          </w:p>
        </w:tc>
        <w:tc>
          <w:tcPr>
            <w:tcW w:type="dxa" w:w="2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Ada (formula otomatis)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Manajemen kapasitas produksi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ada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 (slot-based)</w:t>
            </w:r>
          </w:p>
        </w:tc>
      </w:tr>
      <w:tr>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Dynamic pricing berbasis beban kerja</w:t>
            </w:r>
          </w:p>
        </w:tc>
        <w:tc>
          <w:tcPr>
            <w:tcW w:type="dxa" w:w="2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Tidak ada</w:t>
            </w:r>
          </w:p>
        </w:tc>
        <w:tc>
          <w:tcPr>
            <w:tcW w:type="dxa" w:w="2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AR/3D preview produk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ada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 (WebXR)</w:t>
            </w:r>
          </w:p>
        </w:tc>
      </w:tr>
      <w:tr>
        <w:tc>
          <w:tcPr>
            <w:tcW w:type="dxa" w:w="40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Kompleksitas sebagai variabel harga</w:t>
            </w:r>
          </w:p>
        </w:tc>
        <w:tc>
          <w:tcPr>
            <w:tcW w:type="dxa" w:w="2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Tidak ada</w:t>
            </w:r>
          </w:p>
        </w:tc>
        <w:tc>
          <w:tcPr>
            <w:tcW w:type="dxa" w:w="2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sz w:val="20"/>
                <w:szCs w:val="20"/>
              </w:rPr>
              <w:t xml:space="preserve">Ada (Complexity Index)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pricing dari data historis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Tidak ada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Roadmap Fase 2</w:t>
            </w:r>
          </w:p>
        </w:tc>
      </w:tr>
    </w:tbl>
    <w:p>
      <w:pPr>
        <w:spacing w:before="80" w:after="0"/>
      </w:pPr>
    </w:p>
    <w:p>
      <w:pPr>
        <w:pBdr>
          <w:bottom w:val="single" w:color="4472C4" w:sz="6" w:space="1"/>
        </w:pBdr>
        <w:spacing w:before="120" w:after="120"/>
      </w:pPr>
    </w:p>
    <w:p>
      <w:pPr>
        <w:pStyle w:val="Heading2"/>
        <w:spacing w:before="240" w:after="100"/>
      </w:pPr>
      <w:r>
        <w:rPr>
          <w:rFonts w:ascii="Arial" w:cs="Arial" w:eastAsia="Arial" w:hAnsi="Arial"/>
          <w:b/>
          <w:bCs/>
          <w:color w:val="2E75B6"/>
          <w:sz w:val="28"/>
          <w:szCs w:val="28"/>
        </w:rPr>
        <w:t xml:space="preserve">Saran Pengembangan Inovatif Tambahan</w:t>
      </w:r>
    </w:p>
    <w:p>
      <w:pPr>
        <w:pStyle w:val="ListParagraph"/>
        <w:numPr>
          <w:ilvl w:val="0"/>
          <w:numId w:val="2"/>
        </w:numPr>
        <w:spacing w:before="60" w:after="60"/>
      </w:pPr>
      <w:r>
        <w:rPr>
          <w:rFonts w:ascii="Arial" w:cs="Arial" w:eastAsia="Arial" w:hAnsi="Arial"/>
          <w:sz w:val="22"/>
          <w:szCs w:val="22"/>
        </w:rPr>
        <w:t xml:space="preserve">Blockchain provenance untuk produk artisan premium — pembeli bisa verifikasi keaslian dan perjalanan produk</w:t>
      </w:r>
    </w:p>
    <w:p>
      <w:pPr>
        <w:pStyle w:val="ListParagraph"/>
        <w:numPr>
          <w:ilvl w:val="0"/>
          <w:numId w:val="2"/>
        </w:numPr>
        <w:spacing w:before="60" w:after="60"/>
      </w:pPr>
      <w:r>
        <w:rPr>
          <w:rFonts w:ascii="Arial" w:cs="Arial" w:eastAsia="Arial" w:hAnsi="Arial"/>
          <w:sz w:val="22"/>
          <w:szCs w:val="22"/>
        </w:rPr>
        <w:t xml:space="preserve">Digital twin produk: setiap produk jadi punya "replika digital" yang menyimpan riwayat bahan, pengerjaan, dan artisannya</w:t>
      </w:r>
    </w:p>
    <w:p>
      <w:pPr>
        <w:pStyle w:val="ListParagraph"/>
        <w:numPr>
          <w:ilvl w:val="0"/>
          <w:numId w:val="2"/>
        </w:numPr>
        <w:spacing w:before="60" w:after="60"/>
      </w:pPr>
      <w:r>
        <w:rPr>
          <w:rFonts w:ascii="Arial" w:cs="Arial" w:eastAsia="Arial" w:hAnsi="Arial"/>
          <w:sz w:val="22"/>
          <w:szCs w:val="22"/>
        </w:rPr>
        <w:t xml:space="preserve">Cross-border parameter standardization: standarisasi data produk agar bisa masuk ke platform ekspor global tanpa rekonfigurasi ulang</w:t>
      </w:r>
    </w:p>
    <w:p>
      <w:pPr>
        <w:pStyle w:val="ListParagraph"/>
        <w:numPr>
          <w:ilvl w:val="0"/>
          <w:numId w:val="2"/>
        </w:numPr>
        <w:spacing w:before="60" w:after="60"/>
      </w:pPr>
      <w:r>
        <w:rPr>
          <w:rFonts w:ascii="Arial" w:cs="Arial" w:eastAsia="Arial" w:hAnsi="Arial"/>
          <w:sz w:val="22"/>
          <w:szCs w:val="22"/>
        </w:rPr>
        <w:t xml:space="preserve">Community pricing intelligence: artisan bisa bandingkan harga pasar secara anonim untuk kalkulasi harga yang lebih kompetitif</w:t>
      </w:r>
    </w:p>
    <w:p>
      <w:pPr>
        <w:pBdr>
          <w:bottom w:val="single" w:color="4472C4" w:sz="6" w:space="1"/>
        </w:pBdr>
        <w:spacing w:before="120" w:after="120"/>
      </w:pPr>
    </w:p>
    <w:p>
      <w:pPr>
        <w:spacing w:before="160" w:after="40"/>
        <w:jc w:val="center"/>
      </w:pPr>
      <w:r>
        <w:rPr>
          <w:rFonts w:ascii="Arial" w:cs="Arial" w:eastAsia="Arial" w:hAnsi="Arial"/>
          <w:i/>
          <w:iCs/>
          <w:color w:val="1F4E79"/>
          <w:sz w:val="22"/>
          <w:szCs w:val="22"/>
        </w:rPr>
        <w:t xml:space="preserve">Platform ini bukan sekadar marketplace baru — ini infrastruktur data produksi yang mengangkat pengrajin lokal ke standar digital global.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4"/>
      <w:szCs w:val="34"/>
    </w:rPr>
  </w:style>
  <w:style w:type="paragraph" w:styleId="Heading2">
    <w:name w:val="Heading 2"/>
    <w:basedOn w:val="Normal"/>
    <w:next w:val="Normal"/>
    <w:qFormat/>
    <w:pPr>
      <w:spacing w:before="24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2026-02-22T09:59:10.449Z</dcterms:created>
  <dcterms:modified xsi:type="dcterms:W3CDTF">2026-02-22T09:59:10.450Z</dcterms:modified>
</cp:coreProperties>
</file>

<file path=docProps/custom.xml><?xml version="1.0" encoding="utf-8"?>
<Properties xmlns="http://schemas.openxmlformats.org/officeDocument/2006/custom-properties" xmlns:vt="http://schemas.openxmlformats.org/officeDocument/2006/docPropsVTypes"/>
</file>