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color w:val="888888"/>
          <w:sz w:val="20"/>
          <w:szCs w:val="20"/>
        </w:rPr>
        <w:t xml:space="preserve">DOKUMEN INOVASI</w:t>
      </w:r>
    </w:p>
    <w:p>
      <w:pPr>
        <w:spacing w:before="0" w:after="80"/>
        <w:jc w:val="center"/>
      </w:pPr>
      <w:r>
        <w:rPr>
          <w:rFonts w:ascii="Arial" w:cs="Arial" w:eastAsia="Arial" w:hAnsi="Arial"/>
          <w:b/>
          <w:bCs/>
          <w:color w:val="145A32"/>
          <w:sz w:val="40"/>
          <w:szCs w:val="40"/>
        </w:rPr>
        <w:t xml:space="preserve">Website Manajemen Dana Sosial</w:t>
      </w:r>
    </w:p>
    <w:p>
      <w:pPr>
        <w:spacing w:before="0" w:after="40"/>
        <w:jc w:val="center"/>
      </w:pPr>
      <w:r>
        <w:rPr>
          <w:rFonts w:ascii="Arial" w:cs="Arial" w:eastAsia="Arial" w:hAnsi="Arial"/>
          <w:i/>
          <w:iCs/>
          <w:color w:val="1E8449"/>
          <w:sz w:val="26"/>
          <w:szCs w:val="26"/>
        </w:rPr>
        <w:t xml:space="preserve">Masjid, Musholla &amp; Komunitas Mikro — Transparansi Real-Time</w:t>
      </w:r>
    </w:p>
    <w:p>
      <w:pPr>
        <w:pBdr>
          <w:bottom w:val="single" w:color="1E8449" w:sz="6" w:space="1"/>
        </w:pBdr>
        <w:spacing w:before="120" w:after="120"/>
      </w:pPr>
    </w:p>
    <w:p>
      <w:pPr>
        <w:pStyle w:val="Heading2"/>
        <w:spacing w:before="240" w:after="100"/>
      </w:pPr>
      <w:r>
        <w:rPr>
          <w:rFonts w:ascii="Arial" w:cs="Arial" w:eastAsia="Arial" w:hAnsi="Arial"/>
          <w:b/>
          <w:bCs/>
          <w:color w:val="2E75B6"/>
          <w:sz w:val="28"/>
          <w:szCs w:val="28"/>
        </w:rPr>
        <w:t xml:space="preserve">Ringkasan Inovasi</w:t>
      </w:r>
    </w:p>
    <w:p>
      <w:pPr>
        <w:spacing w:before="60" w:after="100"/>
      </w:pPr>
      <w:r>
        <w:rPr>
          <w:rFonts w:ascii="Arial" w:cs="Arial" w:eastAsia="Arial" w:hAnsi="Arial"/>
          <w:sz w:val="22"/>
          <w:szCs w:val="22"/>
        </w:rPr>
        <w:t xml:space="preserve">Platform ini mengisi ceruk yang diabaikan oleh semua fintech dan platform donasi besar Indonesia: manajemen keuangan hyperlocal untuk komunitas terkecil. Bukalapak, GoFundMe, Kitabisa — semua dirancang untuk campaign besar atau individual. Tidak ada yang fokus pada kebutuhan rutin, berulang, dan berbasis kepercayaan komunitas seperti masjid RT/RW.</w:t>
      </w:r>
    </w:p>
    <w:p>
      <w:pPr>
        <w:spacing w:before="80" w:after="80"/>
      </w:pPr>
      <w:r>
        <w:rPr>
          <w:rFonts w:ascii="Arial" w:cs="Arial" w:eastAsia="Arial" w:hAnsi="Arial"/>
          <w:b/>
          <w:bCs/>
          <w:sz w:val="22"/>
          <w:szCs w:val="22"/>
        </w:rPr>
        <w:t xml:space="preserve">Keunikan utama: </w:t>
      </w:r>
      <w:r>
        <w:rPr>
          <w:rFonts w:ascii="Arial" w:cs="Arial" w:eastAsia="Arial" w:hAnsi="Arial"/>
          <w:sz w:val="22"/>
          <w:szCs w:val="22"/>
        </w:rPr>
        <w:t xml:space="preserve">Solusi ini bukan tentang mengumpulkan donasi lebih banyak — melainkan tentang membangun infrastruktur kepercayaan digital di level paling akar rumput.</w:t>
      </w: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Inovasi Kunci yang Jarang Dipakai</w:t>
      </w:r>
    </w:p>
    <w:p>
      <w:pPr>
        <w:spacing w:before="180" w:after="80"/>
      </w:pPr>
      <w:r>
        <w:rPr>
          <w:rFonts w:ascii="Arial" w:cs="Arial" w:eastAsia="Arial" w:hAnsi="Arial"/>
          <w:b/>
          <w:bCs/>
          <w:color w:val="404040"/>
          <w:sz w:val="24"/>
          <w:szCs w:val="24"/>
        </w:rPr>
        <w:t xml:space="preserve">1. Radical Transparency Dashboard — Public-First, Not Privacy-First</w:t>
      </w:r>
    </w:p>
    <w:p>
      <w:pPr>
        <w:spacing w:before="60" w:after="100"/>
      </w:pPr>
      <w:r>
        <w:rPr>
          <w:rFonts w:ascii="Arial" w:cs="Arial" w:eastAsia="Arial" w:hAnsi="Arial"/>
          <w:sz w:val="22"/>
          <w:szCs w:val="22"/>
        </w:rPr>
        <w:t xml:space="preserve">Berbeda dari fintech yang menyembunyikan data keuangan di balik login, platform ini menggunakan prinsip "transparent by default": semua orang bisa melihat saldo dan riwayat transaksi tanpa perlu akun. Ini adalah aplikasi konsep Proactive Disclosure yang lazim di governance publik, namun belum pernah dipakai di pengelolaan keuangan masjid digital.</w:t>
      </w:r>
    </w:p>
    <w:p>
      <w:pPr>
        <w:spacing w:before="60" w:after="100"/>
      </w:pPr>
      <w:r>
        <w:rPr>
          <w:rFonts w:ascii="Arial" w:cs="Arial" w:eastAsia="Arial" w:hAnsi="Arial"/>
          <w:sz w:val="22"/>
          <w:szCs w:val="22"/>
        </w:rPr>
        <w:t xml:space="preserve">Inovasi psikologis di balik ini: ketika pengurus tahu semua orang bisa melihat, mereka bertindak lebih akuntabel. Ketika jamaah bisa melihat, kepercayaan tumbuh. Trust loop ini adalah mesin pertumbuhan organik yang lebih kuat dari iklan.</w:t>
      </w:r>
    </w:p>
    <w:p>
      <w:pPr>
        <w:spacing w:before="180" w:after="80"/>
      </w:pPr>
      <w:r>
        <w:rPr>
          <w:rFonts w:ascii="Arial" w:cs="Arial" w:eastAsia="Arial" w:hAnsi="Arial"/>
          <w:b/>
          <w:bCs/>
          <w:color w:val="404040"/>
          <w:sz w:val="24"/>
          <w:szCs w:val="24"/>
        </w:rPr>
        <w:t xml:space="preserve">2. Program-Linked QR Code — Donasi yang Punya Tujuan Jelas</w:t>
      </w:r>
    </w:p>
    <w:p>
      <w:pPr>
        <w:spacing w:before="60" w:after="100"/>
      </w:pPr>
      <w:r>
        <w:rPr>
          <w:rFonts w:ascii="Arial" w:cs="Arial" w:eastAsia="Arial" w:hAnsi="Arial"/>
          <w:sz w:val="22"/>
          <w:szCs w:val="22"/>
        </w:rPr>
        <w:t xml:space="preserve">Alih-alih satu rekening umum, setiap program sosial punya QR Code sendiri. Ini bukan sekadar fitur teknis — ini adalah cognitive design untuk memudahkan keputusan donasi. Penelitian behavioral economics menunjukkan bahwa "earmarked giving" (donasi dengan tujuan spesifik) meningkatkan jumlah dan frekuensi donasi secara signifikan dibanding donasi ke rekening umum.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Donasi</w:t>
            </w:r>
          </w:p>
        </w:tc>
        <w:tc>
          <w:tcPr>
            <w:tcW w:type="dxa" w:w="20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Kejelasan Tujuan</w:t>
            </w:r>
          </w:p>
        </w:tc>
        <w:tc>
          <w:tcPr>
            <w:tcW w:type="dxa" w:w="22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Motivasi Donatur</w:t>
            </w:r>
          </w:p>
        </w:tc>
        <w:tc>
          <w:tcPr>
            <w:tcW w:type="dxa" w:w="236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Efek Trust</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Rekening umum masjid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Rendah</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Lemah</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Mudah dipertanyakan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per program (Platform 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Kuat (impact terasa)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Transparan &amp; auditable</w:t>
            </w:r>
          </w:p>
        </w:tc>
      </w:tr>
    </w:tbl>
    <w:p>
      <w:pPr>
        <w:spacing w:before="80" w:after="0"/>
      </w:pPr>
    </w:p>
    <w:p>
      <w:pPr>
        <w:spacing w:before="180" w:after="80"/>
      </w:pPr>
      <w:r>
        <w:rPr>
          <w:rFonts w:ascii="Arial" w:cs="Arial" w:eastAsia="Arial" w:hAnsi="Arial"/>
          <w:b/>
          <w:bCs/>
          <w:color w:val="404040"/>
          <w:sz w:val="24"/>
          <w:szCs w:val="24"/>
        </w:rPr>
        <w:t xml:space="preserve">3. Natural Language AI Report — Laporan yang Bisa Dibaca Semua Orang</w:t>
      </w:r>
    </w:p>
    <w:p>
      <w:pPr>
        <w:spacing w:before="60" w:after="100"/>
      </w:pPr>
      <w:r>
        <w:rPr>
          <w:rFonts w:ascii="Arial" w:cs="Arial" w:eastAsia="Arial" w:hAnsi="Arial"/>
          <w:sz w:val="22"/>
          <w:szCs w:val="22"/>
        </w:rPr>
        <w:t xml:space="preserve">Laporan keuangan biasanya adalah angka-angka yang hanya dimengerti bendahara. Platform ini menggunakan AI untuk mengubah data keuangan menjadi narasi Bahasa Indonesia yang hangat, mudah dipahami, dan bisa langsung disebar ke grup WhatsApp. Ini adalah aplikasi Natural Language Generation (NLG) di konteks keuangan komunitas — yang belum pernah ada di Indonesia.</w:t>
      </w:r>
    </w:p>
    <w:p>
      <w:pPr>
        <w:pStyle w:val="ListParagraph"/>
        <w:numPr>
          <w:ilvl w:val="0"/>
          <w:numId w:val="2"/>
        </w:numPr>
        <w:spacing w:before="60" w:after="60"/>
      </w:pPr>
      <w:r>
        <w:rPr>
          <w:rFonts w:ascii="Arial" w:cs="Arial" w:eastAsia="Arial" w:hAnsi="Arial"/>
          <w:b/>
          <w:bCs/>
          <w:sz w:val="22"/>
          <w:szCs w:val="22"/>
        </w:rPr>
        <w:t xml:space="preserve">Output bukan hanya angka</w:t>
      </w:r>
      <w:r>
        <w:rPr>
          <w:rFonts w:ascii="Arial" w:cs="Arial" w:eastAsia="Arial" w:hAnsi="Arial"/>
          <w:sz w:val="22"/>
          <w:szCs w:val="22"/>
        </w:rPr>
        <w:t xml:space="preserve"> — tapi cerita: berapa orang terbantu, program apa yang berjalan, apa yang akan datang</w:t>
      </w:r>
    </w:p>
    <w:p>
      <w:pPr>
        <w:pStyle w:val="ListParagraph"/>
        <w:numPr>
          <w:ilvl w:val="0"/>
          <w:numId w:val="2"/>
        </w:numPr>
        <w:spacing w:before="60" w:after="60"/>
      </w:pPr>
      <w:r>
        <w:rPr>
          <w:rFonts w:ascii="Arial" w:cs="Arial" w:eastAsia="Arial" w:hAnsi="Arial"/>
          <w:b/>
          <w:bCs/>
          <w:sz w:val="22"/>
          <w:szCs w:val="22"/>
        </w:rPr>
        <w:t xml:space="preserve">Format shareable</w:t>
      </w:r>
      <w:r>
        <w:rPr>
          <w:rFonts w:ascii="Arial" w:cs="Arial" w:eastAsia="Arial" w:hAnsi="Arial"/>
          <w:sz w:val="22"/>
          <w:szCs w:val="22"/>
        </w:rPr>
        <w:t xml:space="preserve"> — langsung cocok untuk caption Instagram, broadcast WhatsApp, atau pengumuman masjid</w:t>
      </w:r>
    </w:p>
    <w:p>
      <w:pPr>
        <w:pStyle w:val="ListParagraph"/>
        <w:numPr>
          <w:ilvl w:val="0"/>
          <w:numId w:val="2"/>
        </w:numPr>
        <w:spacing w:before="60" w:after="60"/>
      </w:pPr>
      <w:r>
        <w:rPr>
          <w:rFonts w:ascii="Arial" w:cs="Arial" w:eastAsia="Arial" w:hAnsi="Arial"/>
          <w:b/>
          <w:bCs/>
          <w:sz w:val="22"/>
          <w:szCs w:val="22"/>
        </w:rPr>
        <w:t xml:space="preserve">Tone yang sesuai konteks</w:t>
      </w:r>
      <w:r>
        <w:rPr>
          <w:rFonts w:ascii="Arial" w:cs="Arial" w:eastAsia="Arial" w:hAnsi="Arial"/>
          <w:sz w:val="22"/>
          <w:szCs w:val="22"/>
        </w:rPr>
        <w:t xml:space="preserve"> — bisa disesuaikan: formal untuk laporan resmi, santai untuk update komunitas</w:t>
      </w:r>
    </w:p>
    <w:p>
      <w:pPr>
        <w:spacing w:before="180" w:after="80"/>
      </w:pPr>
      <w:r>
        <w:rPr>
          <w:rFonts w:ascii="Arial" w:cs="Arial" w:eastAsia="Arial" w:hAnsi="Arial"/>
          <w:b/>
          <w:bCs/>
          <w:color w:val="404040"/>
          <w:sz w:val="24"/>
          <w:szCs w:val="24"/>
        </w:rPr>
        <w:t xml:space="preserve">4. Trust Score &amp; Social Proof Aggregator</w:t>
      </w:r>
    </w:p>
    <w:p>
      <w:pPr>
        <w:spacing w:before="60" w:after="100"/>
      </w:pPr>
      <w:r>
        <w:rPr>
          <w:rFonts w:ascii="Arial" w:cs="Arial" w:eastAsia="Arial" w:hAnsi="Arial"/>
          <w:sz w:val="22"/>
          <w:szCs w:val="22"/>
        </w:rPr>
        <w:t xml:space="preserve">Inovasi yang belum ada di mana pun: platform membangun "Trust Score" masjid/komunitas berdasarkan konsistensi pelaporan, kecepatan pengunggahan bukti pengeluaran, dan feedback donatur. Komunitas dengan Trust Score tinggi mendapat badge yang bisa ditampilkan di dashboard publik mereka.</w:t>
      </w:r>
    </w:p>
    <w:p>
      <w:pPr>
        <w:spacing w:before="60" w:after="100"/>
      </w:pPr>
      <w:r>
        <w:rPr>
          <w:rFonts w:ascii="Arial" w:cs="Arial" w:eastAsia="Arial" w:hAnsi="Arial"/>
          <w:sz w:val="22"/>
          <w:szCs w:val="22"/>
        </w:rPr>
        <w:t xml:space="preserve">Ini menciptakan kompetisi sehat antar pengurus masjid untuk lebih transparan — bukan karena dipaksa, tapi karena reputasi digital menjadi aset nyata.</w:t>
      </w:r>
    </w:p>
    <w:p>
      <w:pPr>
        <w:spacing w:before="180" w:after="80"/>
      </w:pPr>
      <w:r>
        <w:rPr>
          <w:rFonts w:ascii="Arial" w:cs="Arial" w:eastAsia="Arial" w:hAnsi="Arial"/>
          <w:b/>
          <w:bCs/>
          <w:color w:val="404040"/>
          <w:sz w:val="24"/>
          <w:szCs w:val="24"/>
        </w:rPr>
        <w:t xml:space="preserve">5. Micro-endowment Simulation Tool</w:t>
      </w:r>
    </w:p>
    <w:p>
      <w:pPr>
        <w:spacing w:before="60" w:after="100"/>
      </w:pPr>
      <w:r>
        <w:rPr>
          <w:rFonts w:ascii="Arial" w:cs="Arial" w:eastAsia="Arial" w:hAnsi="Arial"/>
          <w:sz w:val="22"/>
          <w:szCs w:val="22"/>
        </w:rPr>
        <w:t xml:space="preserve">Fitur lanjutan yang sangat jarang: pengurus bisa melakukan simulasi "jika donasi rutin Rp X per bulan dari Y donatur, dalam 12 bulan bisa mendanai program apa saja?" Ini mengubah pengelola masjid dari pencatat pengeluaran menjadi perencana dampak sosial.</w:t>
      </w: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Perbandingan dengan Solusi yang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 Inovasi</w:t>
            </w:r>
          </w:p>
        </w:tc>
        <w:tc>
          <w:tcPr>
            <w:tcW w:type="dxa" w:w="192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Kitabisa</w:t>
            </w:r>
          </w:p>
        </w:tc>
        <w:tc>
          <w:tcPr>
            <w:tcW w:type="dxa" w:w="192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Zakat Apps</w:t>
            </w:r>
          </w:p>
        </w:tc>
        <w:tc>
          <w:tcPr>
            <w:tcW w:type="dxa" w:w="192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 Ini</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Dashboard publik tanpa login</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per program spesifik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Parsial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Auto-ledger dari pembayaran digital</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laporan narasi Bahasa Indonesia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Trust Score komunitas</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Fokus hyperlocal (masjid kecil)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Parsial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r>
    </w:tbl>
    <w:p>
      <w:pPr>
        <w:spacing w:before="80" w:after="0"/>
      </w:pP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Saran Pengembangan Inovatif Tambahan</w:t>
      </w:r>
    </w:p>
    <w:p>
      <w:pPr>
        <w:pStyle w:val="ListParagraph"/>
        <w:numPr>
          <w:ilvl w:val="0"/>
          <w:numId w:val="3"/>
        </w:numPr>
        <w:spacing w:before="60" w:after="60"/>
      </w:pPr>
      <w:r>
        <w:rPr>
          <w:rFonts w:ascii="Arial" w:cs="Arial" w:eastAsia="Arial" w:hAnsi="Arial"/>
          <w:sz w:val="22"/>
          <w:szCs w:val="22"/>
        </w:rPr>
        <w:t xml:space="preserve">Federated network of masjid: masjid-masjid dalam satu kecamatan bisa saling melihat dan berkolaborasi dalam program sosial bersama (co-funding)</w:t>
      </w:r>
    </w:p>
    <w:p>
      <w:pPr>
        <w:pStyle w:val="ListParagraph"/>
        <w:numPr>
          <w:ilvl w:val="0"/>
          <w:numId w:val="3"/>
        </w:numPr>
        <w:spacing w:before="60" w:after="60"/>
      </w:pPr>
      <w:r>
        <w:rPr>
          <w:rFonts w:ascii="Arial" w:cs="Arial" w:eastAsia="Arial" w:hAnsi="Arial"/>
          <w:sz w:val="22"/>
          <w:szCs w:val="22"/>
        </w:rPr>
        <w:t xml:space="preserve">Waqaf digital tracker: modul khusus untuk mengelola aset wakaf produktif dengan laporan hasil dan distribusi manfaat yang transparan</w:t>
      </w:r>
    </w:p>
    <w:p>
      <w:pPr>
        <w:pStyle w:val="ListParagraph"/>
        <w:numPr>
          <w:ilvl w:val="0"/>
          <w:numId w:val="3"/>
        </w:numPr>
        <w:spacing w:before="60" w:after="60"/>
      </w:pPr>
      <w:r>
        <w:rPr>
          <w:rFonts w:ascii="Arial" w:cs="Arial" w:eastAsia="Arial" w:hAnsi="Arial"/>
          <w:sz w:val="22"/>
          <w:szCs w:val="22"/>
        </w:rPr>
        <w:t xml:space="preserve">Gamifikasi donatur: donatur tetap mendapat digital certificate dan milestone badge — bukan nominal tapi konsistensi yang diapresiasi</w:t>
      </w:r>
    </w:p>
    <w:p>
      <w:pPr>
        <w:pStyle w:val="ListParagraph"/>
        <w:numPr>
          <w:ilvl w:val="0"/>
          <w:numId w:val="3"/>
        </w:numPr>
        <w:spacing w:before="60" w:after="60"/>
      </w:pPr>
      <w:r>
        <w:rPr>
          <w:rFonts w:ascii="Arial" w:cs="Arial" w:eastAsia="Arial" w:hAnsi="Arial"/>
          <w:sz w:val="22"/>
          <w:szCs w:val="22"/>
        </w:rPr>
        <w:t xml:space="preserve">Open API untuk RW/RT: pemerintah kelurahan bisa mengintegrasikan data program sosial masjid ke dashboard kelurahan untuk perencanaan sosial yang lebih baik</w:t>
      </w:r>
    </w:p>
    <w:p>
      <w:pPr>
        <w:pBdr>
          <w:bottom w:val="single" w:color="4472C4" w:sz="6" w:space="1"/>
        </w:pBdr>
        <w:spacing w:before="120" w:after="120"/>
      </w:pPr>
    </w:p>
    <w:p>
      <w:pPr>
        <w:spacing w:before="160" w:after="40"/>
        <w:jc w:val="center"/>
      </w:pPr>
      <w:r>
        <w:rPr>
          <w:rFonts w:ascii="Arial" w:cs="Arial" w:eastAsia="Arial" w:hAnsi="Arial"/>
          <w:i/>
          <w:iCs/>
          <w:color w:val="145A32"/>
          <w:sz w:val="22"/>
          <w:szCs w:val="22"/>
        </w:rPr>
        <w:t xml:space="preserve">Inovasi terbesar di sini bukan teknologinya — tapi keberanian merancang sistem keuangan komunitas yang transparan secara radikal, di budaya yang selama ini mengelola uang dengan buku kas dan rapat bulanan.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4"/>
      <w:szCs w:val="34"/>
    </w:rPr>
  </w:style>
  <w:style w:type="paragraph" w:styleId="Heading2">
    <w:name w:val="Heading 2"/>
    <w:basedOn w:val="Normal"/>
    <w:next w:val="Normal"/>
    <w:qFormat/>
    <w:pPr>
      <w:spacing w:before="24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2026-02-22T09:59:10.461Z</dcterms:created>
  <dcterms:modified xsi:type="dcterms:W3CDTF">2026-02-22T09:59:10.461Z</dcterms:modified>
</cp:coreProperties>
</file>

<file path=docProps/custom.xml><?xml version="1.0" encoding="utf-8"?>
<Properties xmlns="http://schemas.openxmlformats.org/officeDocument/2006/custom-properties" xmlns:vt="http://schemas.openxmlformats.org/officeDocument/2006/docPropsVTypes"/>
</file>