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D0F6" w14:textId="77777777" w:rsidR="009E25D1" w:rsidRPr="009E25D1" w:rsidRDefault="009E25D1" w:rsidP="009E25D1">
      <w:pPr>
        <w:rPr>
          <w:b/>
          <w:bCs/>
        </w:rPr>
      </w:pPr>
      <w:r w:rsidRPr="009E25D1">
        <w:rPr>
          <w:b/>
          <w:bCs/>
        </w:rPr>
        <w:t>Texto definitivo para el reporte</w:t>
      </w:r>
    </w:p>
    <w:p w14:paraId="2B6A55E5" w14:textId="77777777" w:rsidR="009E25D1" w:rsidRPr="009E25D1" w:rsidRDefault="009E25D1" w:rsidP="009E25D1">
      <w:pPr>
        <w:rPr>
          <w:b/>
          <w:bCs/>
        </w:rPr>
      </w:pPr>
      <w:r w:rsidRPr="009E25D1">
        <w:rPr>
          <w:b/>
          <w:bCs/>
        </w:rPr>
        <w:t>Regresión logística</w:t>
      </w:r>
    </w:p>
    <w:p w14:paraId="29D3CF00" w14:textId="3DB90C9D" w:rsidR="006D77D1" w:rsidRDefault="006D77D1" w:rsidP="009E25D1">
      <w:pPr>
        <w:jc w:val="both"/>
      </w:pPr>
      <w:r w:rsidRPr="006D77D1">
        <w:t>A partir de la base analítica definida en la Entrega 1 se desarrolló una regresión logística para estimar el riesgo de reingreso hospitalario antes de 30 días</w:t>
      </w:r>
      <w:r>
        <w:t>.</w:t>
      </w:r>
    </w:p>
    <w:p w14:paraId="1D5F3BC4" w14:textId="77777777" w:rsidR="006D77D1" w:rsidRPr="006D77D1" w:rsidRDefault="006D77D1" w:rsidP="006D77D1">
      <w:pPr>
        <w:jc w:val="both"/>
      </w:pPr>
      <w:r w:rsidRPr="006D77D1">
        <w:rPr>
          <w:b/>
          <w:bCs/>
        </w:rPr>
        <w:t xml:space="preserve">Frente a la Entrega 1, </w:t>
      </w:r>
      <w:r w:rsidRPr="006D77D1">
        <w:t>centrada en la caracterización y exploración de los datos, en esta entrega se avanzó hacia la preparación, entrenamiento y evaluación del modelo predictivo.</w:t>
      </w:r>
    </w:p>
    <w:p w14:paraId="6984A0EC" w14:textId="77777777" w:rsidR="006D77D1" w:rsidRPr="006D77D1" w:rsidRDefault="006D77D1" w:rsidP="006D77D1">
      <w:pPr>
        <w:jc w:val="both"/>
      </w:pPr>
      <w:r w:rsidRPr="006D77D1">
        <w:t>Se trabajó con 99.343 encuentros de 69.990 pacientes y se definieron 32 predictores antes de codificación. Los diagnósticos diag_1, diag_2 y diag_3 se agruparon para reducir su alta cardinalidad y se excluyeron identificadores, variables con alta ausencia o baja información. La partición (entrenamiento / validación / prueba) se realizó por paciente, con 63.670/15.852/19.821 encuentros respectivamente y cero pacientes compartidos entre particiones.</w:t>
      </w:r>
    </w:p>
    <w:p w14:paraId="201E6BF5" w14:textId="77777777" w:rsidR="006D77D1" w:rsidRPr="006D77D1" w:rsidRDefault="006D77D1" w:rsidP="006D77D1">
      <w:pPr>
        <w:jc w:val="both"/>
      </w:pPr>
      <w:r w:rsidRPr="006D77D1">
        <w:t xml:space="preserve">El principal reto fue el </w:t>
      </w:r>
      <w:r w:rsidRPr="006D77D1">
        <w:rPr>
          <w:b/>
          <w:bCs/>
        </w:rPr>
        <w:t>desbalance de la variable objetivo</w:t>
      </w:r>
      <w:r w:rsidRPr="006D77D1">
        <w:t xml:space="preserve">: solo el 11,39% de los encuentros corresponde a reingresos antes de 30 días. Los </w:t>
      </w:r>
      <w:proofErr w:type="spellStart"/>
      <w:r w:rsidRPr="006D77D1">
        <w:t>hiperparámetros</w:t>
      </w:r>
      <w:proofErr w:type="spellEnd"/>
      <w:r w:rsidRPr="006D77D1">
        <w:t>, pesos de clase y umbral de decisión se seleccionaron utilizando el conjunto de validación; el conjunto de prueba se reservó para reportar el desempeño final de la configuración seleccionada.</w:t>
      </w:r>
    </w:p>
    <w:p w14:paraId="4A2050E6" w14:textId="77777777" w:rsidR="006D77D1" w:rsidRPr="006D77D1" w:rsidRDefault="006D77D1" w:rsidP="006D77D1">
      <w:pPr>
        <w:jc w:val="both"/>
      </w:pPr>
      <w:r w:rsidRPr="006D77D1">
        <w:t xml:space="preserve">La regresión base alcanzó 88,24% de exactitud en validación, pero solamente 2,00% de </w:t>
      </w:r>
      <w:proofErr w:type="spellStart"/>
      <w:r w:rsidRPr="006D77D1">
        <w:t>recall</w:t>
      </w:r>
      <w:proofErr w:type="spellEnd"/>
      <w:r w:rsidRPr="006D77D1">
        <w:t xml:space="preserve">, evidenciando que una exactitud elevada no representaba una buena identificación de la clase de interés. A partir de este resultado se evaluaron balanceo de clases, regularización, diferentes pesos para la clase positiva, ajuste del umbral de decisión y una alternativa con </w:t>
      </w:r>
      <w:proofErr w:type="spellStart"/>
      <w:r w:rsidRPr="006D77D1">
        <w:t>Elastic</w:t>
      </w:r>
      <w:proofErr w:type="spellEnd"/>
      <w:r w:rsidRPr="006D77D1">
        <w:t xml:space="preserve"> Net.</w:t>
      </w:r>
    </w:p>
    <w:tbl>
      <w:tblPr>
        <w:tblW w:w="89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371"/>
        <w:gridCol w:w="3544"/>
        <w:gridCol w:w="1276"/>
        <w:gridCol w:w="992"/>
        <w:gridCol w:w="862"/>
      </w:tblGrid>
      <w:tr w:rsidR="006D77D1" w:rsidRPr="006D77D1" w14:paraId="7CD63CB0" w14:textId="77777777" w:rsidTr="006D77D1">
        <w:trPr>
          <w:tblHeader/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CE0F033" w14:textId="77777777" w:rsidR="006D77D1" w:rsidRPr="006D77D1" w:rsidRDefault="006D77D1" w:rsidP="006D77D1">
            <w:pPr>
              <w:jc w:val="both"/>
              <w:rPr>
                <w:b/>
                <w:bCs/>
              </w:rPr>
            </w:pPr>
            <w:r w:rsidRPr="006D77D1">
              <w:rPr>
                <w:b/>
                <w:bCs/>
              </w:rPr>
              <w:t>Versión</w:t>
            </w:r>
          </w:p>
        </w:tc>
        <w:tc>
          <w:tcPr>
            <w:tcW w:w="1341" w:type="dxa"/>
            <w:shd w:val="clear" w:color="auto" w:fill="E8E8E8" w:themeFill="background2"/>
            <w:vAlign w:val="center"/>
            <w:hideMark/>
          </w:tcPr>
          <w:p w14:paraId="2C6B8C33" w14:textId="77777777" w:rsidR="006D77D1" w:rsidRPr="006D77D1" w:rsidRDefault="006D77D1" w:rsidP="006D77D1">
            <w:pPr>
              <w:jc w:val="both"/>
              <w:rPr>
                <w:b/>
                <w:bCs/>
              </w:rPr>
            </w:pPr>
            <w:r w:rsidRPr="006D77D1">
              <w:rPr>
                <w:b/>
                <w:bCs/>
              </w:rPr>
              <w:t>Conjunto</w:t>
            </w:r>
          </w:p>
        </w:tc>
        <w:tc>
          <w:tcPr>
            <w:tcW w:w="3514" w:type="dxa"/>
            <w:shd w:val="clear" w:color="auto" w:fill="E8E8E8" w:themeFill="background2"/>
            <w:vAlign w:val="center"/>
            <w:hideMark/>
          </w:tcPr>
          <w:p w14:paraId="34EE58CB" w14:textId="77777777" w:rsidR="006D77D1" w:rsidRPr="006D77D1" w:rsidRDefault="006D77D1" w:rsidP="006D77D1">
            <w:pPr>
              <w:jc w:val="both"/>
              <w:rPr>
                <w:b/>
                <w:bCs/>
              </w:rPr>
            </w:pPr>
            <w:r w:rsidRPr="006D77D1">
              <w:rPr>
                <w:b/>
                <w:bCs/>
              </w:rPr>
              <w:t>Cambio principal</w:t>
            </w:r>
          </w:p>
        </w:tc>
        <w:tc>
          <w:tcPr>
            <w:tcW w:w="1246" w:type="dxa"/>
            <w:shd w:val="clear" w:color="auto" w:fill="E8E8E8" w:themeFill="background2"/>
            <w:vAlign w:val="center"/>
            <w:hideMark/>
          </w:tcPr>
          <w:p w14:paraId="36D13C89" w14:textId="77777777" w:rsidR="006D77D1" w:rsidRPr="006D77D1" w:rsidRDefault="006D77D1" w:rsidP="006D77D1">
            <w:pPr>
              <w:jc w:val="both"/>
              <w:rPr>
                <w:b/>
                <w:bCs/>
              </w:rPr>
            </w:pPr>
            <w:r w:rsidRPr="006D77D1">
              <w:rPr>
                <w:b/>
                <w:bCs/>
              </w:rPr>
              <w:t>ROC-AUC</w:t>
            </w:r>
          </w:p>
        </w:tc>
        <w:tc>
          <w:tcPr>
            <w:tcW w:w="962" w:type="dxa"/>
            <w:shd w:val="clear" w:color="auto" w:fill="E8E8E8" w:themeFill="background2"/>
            <w:vAlign w:val="center"/>
            <w:hideMark/>
          </w:tcPr>
          <w:p w14:paraId="140C36FA" w14:textId="77777777" w:rsidR="006D77D1" w:rsidRPr="006D77D1" w:rsidRDefault="006D77D1" w:rsidP="006D77D1">
            <w:pPr>
              <w:jc w:val="both"/>
              <w:rPr>
                <w:b/>
                <w:bCs/>
              </w:rPr>
            </w:pPr>
            <w:r w:rsidRPr="006D77D1">
              <w:rPr>
                <w:b/>
                <w:bCs/>
              </w:rPr>
              <w:t>PR-AUC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3A5DB2E" w14:textId="77777777" w:rsidR="006D77D1" w:rsidRPr="006D77D1" w:rsidRDefault="006D77D1" w:rsidP="006D77D1">
            <w:pPr>
              <w:jc w:val="both"/>
              <w:rPr>
                <w:b/>
                <w:bCs/>
              </w:rPr>
            </w:pPr>
            <w:proofErr w:type="spellStart"/>
            <w:r w:rsidRPr="006D77D1">
              <w:rPr>
                <w:b/>
                <w:bCs/>
              </w:rPr>
              <w:t>Recall</w:t>
            </w:r>
            <w:proofErr w:type="spellEnd"/>
          </w:p>
        </w:tc>
      </w:tr>
      <w:tr w:rsidR="006D77D1" w:rsidRPr="006D77D1" w14:paraId="6492542E" w14:textId="77777777" w:rsidTr="006D7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28FE" w14:textId="77777777" w:rsidR="006D77D1" w:rsidRPr="006D77D1" w:rsidRDefault="006D77D1" w:rsidP="006D77D1">
            <w:pPr>
              <w:jc w:val="both"/>
            </w:pPr>
            <w:r w:rsidRPr="006D77D1">
              <w:t>V1</w:t>
            </w:r>
          </w:p>
        </w:tc>
        <w:tc>
          <w:tcPr>
            <w:tcW w:w="1341" w:type="dxa"/>
            <w:vAlign w:val="center"/>
            <w:hideMark/>
          </w:tcPr>
          <w:p w14:paraId="42A87842" w14:textId="77777777" w:rsidR="006D77D1" w:rsidRPr="006D77D1" w:rsidRDefault="006D77D1" w:rsidP="006D77D1">
            <w:pPr>
              <w:jc w:val="both"/>
            </w:pPr>
            <w:r w:rsidRPr="006D77D1">
              <w:t>Validación</w:t>
            </w:r>
          </w:p>
        </w:tc>
        <w:tc>
          <w:tcPr>
            <w:tcW w:w="3514" w:type="dxa"/>
            <w:vAlign w:val="center"/>
            <w:hideMark/>
          </w:tcPr>
          <w:p w14:paraId="541A499A" w14:textId="77777777" w:rsidR="006D77D1" w:rsidRPr="006D77D1" w:rsidRDefault="006D77D1" w:rsidP="006D77D1">
            <w:pPr>
              <w:jc w:val="both"/>
            </w:pPr>
            <w:r w:rsidRPr="006D77D1">
              <w:t>Regresión base</w:t>
            </w:r>
          </w:p>
        </w:tc>
        <w:tc>
          <w:tcPr>
            <w:tcW w:w="1246" w:type="dxa"/>
            <w:vAlign w:val="center"/>
            <w:hideMark/>
          </w:tcPr>
          <w:p w14:paraId="0F8679AE" w14:textId="77777777" w:rsidR="006D77D1" w:rsidRPr="006D77D1" w:rsidRDefault="006D77D1" w:rsidP="006D77D1">
            <w:pPr>
              <w:jc w:val="both"/>
            </w:pPr>
            <w:r w:rsidRPr="006D77D1">
              <w:t>0,6637</w:t>
            </w:r>
          </w:p>
        </w:tc>
        <w:tc>
          <w:tcPr>
            <w:tcW w:w="962" w:type="dxa"/>
            <w:vAlign w:val="center"/>
            <w:hideMark/>
          </w:tcPr>
          <w:p w14:paraId="34F6CECB" w14:textId="77777777" w:rsidR="006D77D1" w:rsidRPr="006D77D1" w:rsidRDefault="006D77D1" w:rsidP="006D77D1">
            <w:pPr>
              <w:jc w:val="both"/>
            </w:pPr>
            <w:r w:rsidRPr="006D77D1">
              <w:t>0,2207</w:t>
            </w:r>
          </w:p>
        </w:tc>
        <w:tc>
          <w:tcPr>
            <w:tcW w:w="0" w:type="auto"/>
            <w:vAlign w:val="center"/>
            <w:hideMark/>
          </w:tcPr>
          <w:p w14:paraId="7B681FA1" w14:textId="77777777" w:rsidR="006D77D1" w:rsidRPr="006D77D1" w:rsidRDefault="006D77D1" w:rsidP="006D77D1">
            <w:pPr>
              <w:jc w:val="both"/>
            </w:pPr>
            <w:r w:rsidRPr="006D77D1">
              <w:t>2,00%</w:t>
            </w:r>
          </w:p>
        </w:tc>
      </w:tr>
      <w:tr w:rsidR="006D77D1" w:rsidRPr="006D77D1" w14:paraId="468926D8" w14:textId="77777777" w:rsidTr="006D7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49BE" w14:textId="77777777" w:rsidR="006D77D1" w:rsidRPr="006D77D1" w:rsidRDefault="006D77D1" w:rsidP="006D77D1">
            <w:pPr>
              <w:jc w:val="both"/>
            </w:pPr>
            <w:r w:rsidRPr="006D77D1">
              <w:t>V2</w:t>
            </w:r>
          </w:p>
        </w:tc>
        <w:tc>
          <w:tcPr>
            <w:tcW w:w="1341" w:type="dxa"/>
            <w:vAlign w:val="center"/>
            <w:hideMark/>
          </w:tcPr>
          <w:p w14:paraId="0B7DE07C" w14:textId="77777777" w:rsidR="006D77D1" w:rsidRPr="006D77D1" w:rsidRDefault="006D77D1" w:rsidP="006D77D1">
            <w:pPr>
              <w:jc w:val="both"/>
            </w:pPr>
            <w:r w:rsidRPr="006D77D1">
              <w:t>Validación</w:t>
            </w:r>
          </w:p>
        </w:tc>
        <w:tc>
          <w:tcPr>
            <w:tcW w:w="3514" w:type="dxa"/>
            <w:vAlign w:val="center"/>
            <w:hideMark/>
          </w:tcPr>
          <w:p w14:paraId="77199C15" w14:textId="77777777" w:rsidR="006D77D1" w:rsidRPr="006D77D1" w:rsidRDefault="006D77D1" w:rsidP="006D77D1">
            <w:pPr>
              <w:jc w:val="both"/>
            </w:pPr>
            <w:r w:rsidRPr="006D77D1">
              <w:t>Balanceo de clases</w:t>
            </w:r>
          </w:p>
        </w:tc>
        <w:tc>
          <w:tcPr>
            <w:tcW w:w="1246" w:type="dxa"/>
            <w:vAlign w:val="center"/>
            <w:hideMark/>
          </w:tcPr>
          <w:p w14:paraId="2C85C3D2" w14:textId="77777777" w:rsidR="006D77D1" w:rsidRPr="006D77D1" w:rsidRDefault="006D77D1" w:rsidP="006D77D1">
            <w:pPr>
              <w:jc w:val="both"/>
            </w:pPr>
            <w:r w:rsidRPr="006D77D1">
              <w:t>0,6655</w:t>
            </w:r>
          </w:p>
        </w:tc>
        <w:tc>
          <w:tcPr>
            <w:tcW w:w="962" w:type="dxa"/>
            <w:vAlign w:val="center"/>
            <w:hideMark/>
          </w:tcPr>
          <w:p w14:paraId="22B6223D" w14:textId="77777777" w:rsidR="006D77D1" w:rsidRPr="006D77D1" w:rsidRDefault="006D77D1" w:rsidP="006D77D1">
            <w:pPr>
              <w:jc w:val="both"/>
            </w:pPr>
            <w:r w:rsidRPr="006D77D1">
              <w:t>0,2208</w:t>
            </w:r>
          </w:p>
        </w:tc>
        <w:tc>
          <w:tcPr>
            <w:tcW w:w="0" w:type="auto"/>
            <w:vAlign w:val="center"/>
            <w:hideMark/>
          </w:tcPr>
          <w:p w14:paraId="404C348F" w14:textId="77777777" w:rsidR="006D77D1" w:rsidRPr="006D77D1" w:rsidRDefault="006D77D1" w:rsidP="006D77D1">
            <w:pPr>
              <w:jc w:val="both"/>
            </w:pPr>
            <w:r w:rsidRPr="006D77D1">
              <w:t>54,61%</w:t>
            </w:r>
          </w:p>
        </w:tc>
      </w:tr>
      <w:tr w:rsidR="006D77D1" w:rsidRPr="006D77D1" w14:paraId="5CA9860D" w14:textId="77777777" w:rsidTr="006D7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FE98" w14:textId="77777777" w:rsidR="006D77D1" w:rsidRPr="006D77D1" w:rsidRDefault="006D77D1" w:rsidP="006D77D1">
            <w:pPr>
              <w:jc w:val="both"/>
            </w:pPr>
            <w:r w:rsidRPr="006D77D1">
              <w:t>V3</w:t>
            </w:r>
          </w:p>
        </w:tc>
        <w:tc>
          <w:tcPr>
            <w:tcW w:w="1341" w:type="dxa"/>
            <w:vAlign w:val="center"/>
            <w:hideMark/>
          </w:tcPr>
          <w:p w14:paraId="2C6AC3B1" w14:textId="77777777" w:rsidR="006D77D1" w:rsidRPr="006D77D1" w:rsidRDefault="006D77D1" w:rsidP="006D77D1">
            <w:pPr>
              <w:jc w:val="both"/>
            </w:pPr>
            <w:r w:rsidRPr="006D77D1">
              <w:t>Validación</w:t>
            </w:r>
          </w:p>
        </w:tc>
        <w:tc>
          <w:tcPr>
            <w:tcW w:w="3514" w:type="dxa"/>
            <w:vAlign w:val="center"/>
            <w:hideMark/>
          </w:tcPr>
          <w:p w14:paraId="16E2392A" w14:textId="77777777" w:rsidR="006D77D1" w:rsidRPr="006D77D1" w:rsidRDefault="006D77D1" w:rsidP="006D77D1">
            <w:pPr>
              <w:jc w:val="both"/>
            </w:pPr>
            <w:r w:rsidRPr="006D77D1">
              <w:t>Regularización C=0,5</w:t>
            </w:r>
          </w:p>
        </w:tc>
        <w:tc>
          <w:tcPr>
            <w:tcW w:w="1246" w:type="dxa"/>
            <w:vAlign w:val="center"/>
            <w:hideMark/>
          </w:tcPr>
          <w:p w14:paraId="7FB7CE41" w14:textId="77777777" w:rsidR="006D77D1" w:rsidRPr="006D77D1" w:rsidRDefault="006D77D1" w:rsidP="006D77D1">
            <w:pPr>
              <w:jc w:val="both"/>
            </w:pPr>
            <w:r w:rsidRPr="006D77D1">
              <w:t>0,6658</w:t>
            </w:r>
          </w:p>
        </w:tc>
        <w:tc>
          <w:tcPr>
            <w:tcW w:w="962" w:type="dxa"/>
            <w:vAlign w:val="center"/>
            <w:hideMark/>
          </w:tcPr>
          <w:p w14:paraId="49709730" w14:textId="77777777" w:rsidR="006D77D1" w:rsidRPr="006D77D1" w:rsidRDefault="006D77D1" w:rsidP="006D77D1">
            <w:pPr>
              <w:jc w:val="both"/>
            </w:pPr>
            <w:r w:rsidRPr="006D77D1">
              <w:t>0,2208</w:t>
            </w:r>
          </w:p>
        </w:tc>
        <w:tc>
          <w:tcPr>
            <w:tcW w:w="0" w:type="auto"/>
            <w:vAlign w:val="center"/>
            <w:hideMark/>
          </w:tcPr>
          <w:p w14:paraId="7F64E4C6" w14:textId="77777777" w:rsidR="006D77D1" w:rsidRPr="006D77D1" w:rsidRDefault="006D77D1" w:rsidP="006D77D1">
            <w:pPr>
              <w:jc w:val="both"/>
            </w:pPr>
            <w:r w:rsidRPr="006D77D1">
              <w:t>54,40%</w:t>
            </w:r>
          </w:p>
        </w:tc>
      </w:tr>
      <w:tr w:rsidR="006D77D1" w:rsidRPr="006D77D1" w14:paraId="72A3BA2A" w14:textId="77777777" w:rsidTr="006D77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7FF4" w14:textId="77777777" w:rsidR="006D77D1" w:rsidRPr="006D77D1" w:rsidRDefault="006D77D1" w:rsidP="006D77D1">
            <w:pPr>
              <w:jc w:val="both"/>
            </w:pPr>
            <w:r w:rsidRPr="006D77D1">
              <w:rPr>
                <w:b/>
                <w:bCs/>
              </w:rPr>
              <w:t>V5</w:t>
            </w:r>
          </w:p>
        </w:tc>
        <w:tc>
          <w:tcPr>
            <w:tcW w:w="1341" w:type="dxa"/>
            <w:vAlign w:val="center"/>
            <w:hideMark/>
          </w:tcPr>
          <w:p w14:paraId="05A1AEAD" w14:textId="77777777" w:rsidR="006D77D1" w:rsidRPr="006D77D1" w:rsidRDefault="006D77D1" w:rsidP="006D77D1">
            <w:pPr>
              <w:jc w:val="both"/>
            </w:pPr>
            <w:r w:rsidRPr="006D77D1">
              <w:rPr>
                <w:b/>
                <w:bCs/>
              </w:rPr>
              <w:t>Prueba</w:t>
            </w:r>
          </w:p>
        </w:tc>
        <w:tc>
          <w:tcPr>
            <w:tcW w:w="3514" w:type="dxa"/>
            <w:vAlign w:val="center"/>
            <w:hideMark/>
          </w:tcPr>
          <w:p w14:paraId="26B6E037" w14:textId="77777777" w:rsidR="006D77D1" w:rsidRPr="006D77D1" w:rsidRDefault="006D77D1" w:rsidP="006D77D1">
            <w:pPr>
              <w:jc w:val="both"/>
            </w:pPr>
            <w:r w:rsidRPr="006D77D1">
              <w:rPr>
                <w:b/>
                <w:bCs/>
              </w:rPr>
              <w:t>Peso positivo=5; umbral=0,30</w:t>
            </w:r>
          </w:p>
        </w:tc>
        <w:tc>
          <w:tcPr>
            <w:tcW w:w="1246" w:type="dxa"/>
            <w:vAlign w:val="center"/>
            <w:hideMark/>
          </w:tcPr>
          <w:p w14:paraId="50C46EC1" w14:textId="77777777" w:rsidR="006D77D1" w:rsidRPr="006D77D1" w:rsidRDefault="006D77D1" w:rsidP="006D77D1">
            <w:pPr>
              <w:jc w:val="both"/>
            </w:pPr>
            <w:r w:rsidRPr="006D77D1">
              <w:rPr>
                <w:b/>
                <w:bCs/>
              </w:rPr>
              <w:t>0,6589</w:t>
            </w:r>
          </w:p>
        </w:tc>
        <w:tc>
          <w:tcPr>
            <w:tcW w:w="962" w:type="dxa"/>
            <w:vAlign w:val="center"/>
            <w:hideMark/>
          </w:tcPr>
          <w:p w14:paraId="1AD9B49D" w14:textId="77777777" w:rsidR="006D77D1" w:rsidRPr="006D77D1" w:rsidRDefault="006D77D1" w:rsidP="006D77D1">
            <w:pPr>
              <w:jc w:val="both"/>
            </w:pPr>
            <w:r w:rsidRPr="006D77D1">
              <w:rPr>
                <w:b/>
                <w:bCs/>
              </w:rPr>
              <w:t>0,2133</w:t>
            </w:r>
          </w:p>
        </w:tc>
        <w:tc>
          <w:tcPr>
            <w:tcW w:w="0" w:type="auto"/>
            <w:vAlign w:val="center"/>
            <w:hideMark/>
          </w:tcPr>
          <w:p w14:paraId="2CF29DFD" w14:textId="77777777" w:rsidR="006D77D1" w:rsidRPr="006D77D1" w:rsidRDefault="006D77D1" w:rsidP="006D77D1">
            <w:pPr>
              <w:jc w:val="both"/>
            </w:pPr>
            <w:r w:rsidRPr="006D77D1">
              <w:rPr>
                <w:b/>
                <w:bCs/>
              </w:rPr>
              <w:t>81,56%</w:t>
            </w:r>
          </w:p>
        </w:tc>
      </w:tr>
    </w:tbl>
    <w:p w14:paraId="7EB19C69" w14:textId="77777777" w:rsidR="007D5535" w:rsidRPr="009E25D1" w:rsidRDefault="007D5535" w:rsidP="009E25D1">
      <w:pPr>
        <w:jc w:val="both"/>
      </w:pPr>
    </w:p>
    <w:p w14:paraId="62C4D3DA" w14:textId="42BACAA9" w:rsidR="00387C52" w:rsidRDefault="006D77D1" w:rsidP="006D77D1">
      <w:pPr>
        <w:jc w:val="both"/>
      </w:pPr>
      <w:r w:rsidRPr="006D77D1">
        <w:rPr>
          <w:b/>
          <w:bCs/>
        </w:rPr>
        <w:t xml:space="preserve">Conclusión. </w:t>
      </w:r>
      <w:r w:rsidRPr="006D77D1">
        <w:t xml:space="preserve">El desbalance tuvo un efecto directo sobre la regresión base, que alcanzó una exactitud alta pero apenas 2,00% de </w:t>
      </w:r>
      <w:proofErr w:type="spellStart"/>
      <w:r w:rsidRPr="006D77D1">
        <w:t>recall</w:t>
      </w:r>
      <w:proofErr w:type="spellEnd"/>
      <w:r w:rsidRPr="006D77D1">
        <w:t xml:space="preserve"> en validación. El balanceo y el ajuste </w:t>
      </w:r>
      <w:r w:rsidRPr="006D77D1">
        <w:lastRenderedPageBreak/>
        <w:t xml:space="preserve">del punto de decisión permitieron aumentar sustancialmente la sensibilidad. La configuración final V5 alcanzó 81,56% de </w:t>
      </w:r>
      <w:proofErr w:type="spellStart"/>
      <w:r w:rsidRPr="006D77D1">
        <w:t>recall</w:t>
      </w:r>
      <w:proofErr w:type="spellEnd"/>
      <w:r w:rsidRPr="006D77D1">
        <w:t xml:space="preserve"> en prueba, identificando 1.800 de los 2.207 reingresos, con 407 falsos negativos. Este resultado tiene como contrapartida una precisión de 14,00% y un mayor número de falsos positivos, por lo que la configuración se seleccionó para un escenario en el que se busca reducir reingresos no identificados. Adicionalmente, el 10% de los casos con mayor riesgo estimado concentra el 22,97% de los reingresos, con un </w:t>
      </w:r>
      <w:proofErr w:type="spellStart"/>
      <w:r w:rsidRPr="006D77D1">
        <w:t>lift</w:t>
      </w:r>
      <w:proofErr w:type="spellEnd"/>
      <w:r w:rsidRPr="006D77D1">
        <w:t xml:space="preserve"> de 2,30x, lo que respalda utilizar la probabilidad estimada para priorizar el seguimiento según la capacidad disponible</w:t>
      </w:r>
      <w:r w:rsidRPr="006D77D1">
        <w:rPr>
          <w:b/>
          <w:bCs/>
        </w:rPr>
        <w:t>.</w:t>
      </w:r>
    </w:p>
    <w:sectPr w:rsidR="00387C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1"/>
    <w:rsid w:val="00387C52"/>
    <w:rsid w:val="00554B53"/>
    <w:rsid w:val="006D77D1"/>
    <w:rsid w:val="007D5535"/>
    <w:rsid w:val="009E25D1"/>
    <w:rsid w:val="00B94E5C"/>
    <w:rsid w:val="00CE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48C27"/>
  <w15:chartTrackingRefBased/>
  <w15:docId w15:val="{C52A4090-D9D0-48AF-9593-9C2C1078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2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5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5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5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5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5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5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2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2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2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25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25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25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5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2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413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Andres Rodriguez</dc:creator>
  <cp:keywords/>
  <dc:description/>
  <cp:lastModifiedBy>Camilo Andres Rodriguez</cp:lastModifiedBy>
  <cp:revision>3</cp:revision>
  <dcterms:created xsi:type="dcterms:W3CDTF">2026-09-05T15:04:00Z</dcterms:created>
  <dcterms:modified xsi:type="dcterms:W3CDTF">2026-09-05T19:01:00Z</dcterms:modified>
</cp:coreProperties>
</file>