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46.png" ContentType="image/png"/>
  <Override PartName="/word/media/rId4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El codigo de modelos y API vive ahora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; el tablero tiene su propio repositorio. En la</w:t>
      </w:r>
      <w:r>
        <w:rPr>
          <w:lang w:val="es"/>
        </w:rPr>
        <w:t xml:space="preserve"> </w:t>
      </w:r>
      <w:r>
        <w:rPr>
          <w:lang w:val="es"/>
        </w:rPr>
        <w:t xml:space="preserve">Entrega 1 todo estaba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</w:t>
      </w:r>
      <w:r>
        <w:rPr>
          <w:lang w:val="es"/>
        </w:rPr>
        <w:t xml:space="preserve"> </w:t>
      </w:r>
      <w:r>
        <w:rPr>
          <w:lang w:val="es"/>
        </w:rPr>
        <w:t xml:space="preserve">de experimentos, de modo que las versiones de modelo del equipo se comparan</w:t>
      </w:r>
      <w:r>
        <w:rPr>
          <w:lang w:val="es"/>
        </w:rPr>
        <w:t xml:space="preserve"> </w:t>
      </w:r>
      <w:r>
        <w:rPr>
          <w:lang w:val="es"/>
        </w:rPr>
        <w:t xml:space="preserve">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caracterizacion y exploracion de los datos a la</w:t>
      </w:r>
      <w:r>
        <w:rPr>
          <w:lang w:val="es"/>
        </w:rPr>
        <w:t xml:space="preserve"> </w:t>
      </w:r>
      <w:r>
        <w:rPr>
          <w:lang w:val="es"/>
        </w:rPr>
        <w:t xml:space="preserve">preparacion, entrenamiento 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 El tablero se</w:t>
      </w:r>
      <w:r>
        <w:rPr>
          <w:lang w:val="es"/>
        </w:rPr>
        <w:t xml:space="preserve"> </w:t>
      </w:r>
      <w:r>
        <w:rPr>
          <w:lang w:val="es"/>
        </w:rPr>
        <w:t xml:space="preserve">desarrolla de acuerdo con ella.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de colores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</w:t>
      </w:r>
      <w:r>
        <w:rPr>
          <w:lang w:val="es"/>
        </w:rPr>
        <w:t xml:space="preserve"> </w:t>
      </w:r>
      <w:r>
        <w:rPr>
          <w:lang w:val="es"/>
        </w:rPr>
        <w:t xml:space="preserve">independiente, definida para integrar frontend y backend en la siguiente</w:t>
      </w:r>
      <w:r>
        <w:rPr>
          <w:lang w:val="es"/>
        </w:rPr>
        <w:t xml:space="preserve"> </w:t>
      </w:r>
      <w:r>
        <w:rPr>
          <w:lang w:val="es"/>
        </w:rPr>
        <w:t xml:space="preserve">iteración. Mantener los repositorios de front y back separados beneficia la</w:t>
      </w:r>
      <w:r>
        <w:rPr>
          <w:lang w:val="es"/>
        </w:rPr>
        <w:t xml:space="preserve"> </w:t>
      </w:r>
      <w:r>
        <w:rPr>
          <w:lang w:val="es"/>
        </w:rPr>
        <w:t xml:space="preserve">mantenibilidad y facilita la entrega y el despliegue continuo. El tablero cuenta</w:t>
      </w:r>
      <w:r>
        <w:rPr>
          <w:lang w:val="es"/>
        </w:rPr>
        <w:t xml:space="preserve"> </w:t>
      </w:r>
      <w:r>
        <w:rPr>
          <w:lang w:val="es"/>
        </w:rPr>
        <w:t xml:space="preserve">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Es un panel donde se van registrando los egresos programados, dicho</w:t>
      </w:r>
      <w:r>
        <w:rPr>
          <w:lang w:val="es"/>
        </w:rPr>
        <w:t xml:space="preserve"> </w:t>
      </w:r>
      <w:r>
        <w:rPr>
          <w:lang w:val="es"/>
        </w:rPr>
        <w:t xml:space="preserve">registro incluye 4 tarjetas que exhiben los egresos del día, la capacidad de seguimiento,</w:t>
      </w:r>
      <w:r>
        <w:rPr>
          <w:lang w:val="es"/>
        </w:rPr>
        <w:t xml:space="preserve"> </w:t>
      </w:r>
      <w:r>
        <w:rPr>
          <w:lang w:val="es"/>
        </w:rPr>
        <w:t xml:space="preserve">la cobertura de riesgo estimada, y el riesgo de no cobertura. Se apoya en filtro y tablas</w:t>
      </w:r>
      <w:r>
        <w:rPr>
          <w:lang w:val="es"/>
        </w:rPr>
        <w:t xml:space="preserve"> </w:t>
      </w:r>
      <w:r>
        <w:rPr>
          <w:lang w:val="es"/>
        </w:rPr>
        <w:t xml:space="preserve">para poder observar el detalle de esta información con filtros como la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 de pacientes.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Esta visual facilita el registro del paciente, y propone la captura</w:t>
      </w:r>
      <w:r>
        <w:rPr>
          <w:lang w:val="es"/>
        </w:rPr>
        <w:t xml:space="preserve"> </w:t>
      </w:r>
      <w:r>
        <w:rPr>
          <w:lang w:val="es"/>
        </w:rPr>
        <w:t xml:space="preserve">de los datos para la predicción del modelo de ML, los campos son el rango de edad, tipo</w:t>
      </w:r>
      <w:r>
        <w:rPr>
          <w:lang w:val="es"/>
        </w:rPr>
        <w:t xml:space="preserve"> </w:t>
      </w:r>
      <w:r>
        <w:rPr>
          <w:lang w:val="es"/>
        </w:rPr>
        <w:t xml:space="preserve">de admisión, servicio que da el alta, días de estancia, número de diagnósticos, número de</w:t>
      </w:r>
      <w:r>
        <w:rPr>
          <w:lang w:val="es"/>
        </w:rPr>
        <w:t xml:space="preserve"> </w:t>
      </w:r>
      <w:r>
        <w:rPr>
          <w:lang w:val="es"/>
        </w:rPr>
        <w:t xml:space="preserve">medicamentos, ingresos previos (1 año), urgencias previas (1 año), resultado de A1C y cambio</w:t>
      </w:r>
      <w:r>
        <w:rPr>
          <w:lang w:val="es"/>
        </w:rPr>
        <w:t xml:space="preserve"> </w:t>
      </w:r>
      <w:r>
        <w:rPr>
          <w:lang w:val="es"/>
        </w:rPr>
        <w:t xml:space="preserve">de medicación. Es en esta sección donde se debe invocar al api de predicciones en la</w:t>
      </w:r>
      <w:r>
        <w:rPr>
          <w:lang w:val="es"/>
        </w:rPr>
        <w:t xml:space="preserve"> </w:t>
      </w:r>
      <w:r>
        <w:rPr>
          <w:lang w:val="es"/>
        </w:rPr>
        <w:t xml:space="preserve">siguiente iteración.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Es una visual analítica que muestra dónde se concentra el riesgo de reingreso,</w:t>
      </w:r>
      <w:r>
        <w:rPr>
          <w:lang w:val="es"/>
        </w:rPr>
        <w:t xml:space="preserve"> </w:t>
      </w:r>
      <w:r>
        <w:rPr>
          <w:lang w:val="es"/>
        </w:rPr>
        <w:t xml:space="preserve">teniendo en cuenta criterios como tasa de reingreso &lt; 30 días según ingresos previos, tasa de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alta, tasa por rango de edad. Se plantean gráficas de barras horizontales</w:t>
      </w:r>
      <w:r>
        <w:rPr>
          <w:lang w:val="es"/>
        </w:rPr>
        <w:t xml:space="preserve"> </w:t>
      </w:r>
      <w:r>
        <w:rPr>
          <w:lang w:val="es"/>
        </w:rPr>
        <w:t xml:space="preserve">para visualizar este informe.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La validación del despliegue dejó a la vista tres defectos de tema que el</w:t>
      </w:r>
      <w:r>
        <w:rPr>
          <w:lang w:val="es"/>
        </w:rPr>
        <w:t xml:space="preserve"> </w:t>
      </w:r>
      <w:r>
        <w:rPr>
          <w:lang w:val="es"/>
        </w:rPr>
        <w:t xml:space="preserve">ambiente local no mostraba: Streamlit resolvía sus colores según la preferencia</w:t>
      </w:r>
      <w:r>
        <w:rPr>
          <w:lang w:val="es"/>
        </w:rPr>
        <w:t xml:space="preserve"> </w:t>
      </w:r>
      <w:r>
        <w:rPr>
          <w:lang w:val="es"/>
        </w:rPr>
        <w:t xml:space="preserve">del sistema de quien miraba, y en modo oscuro los títulos y las cifras de las</w:t>
      </w:r>
      <w:r>
        <w:rPr>
          <w:lang w:val="es"/>
        </w:rPr>
        <w:t xml:space="preserve"> </w:t>
      </w:r>
      <w:r>
        <w:rPr>
          <w:lang w:val="es"/>
        </w:rPr>
        <w:t xml:space="preserve">tarjetas quedaban blanco sobre blanco;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no se podía reabrir una vez</w:t>
      </w:r>
      <w:r>
        <w:rPr>
          <w:lang w:val="es"/>
        </w:rPr>
        <w:t xml:space="preserve"> </w:t>
      </w:r>
      <w:r>
        <w:rPr>
          <w:lang w:val="es"/>
        </w:rPr>
        <w:t xml:space="preserve">colapsado; y el selector de unidad quedaba ilegible porque Streamlit 1.63 cambió</w:t>
      </w:r>
      <w:r>
        <w:rPr>
          <w:lang w:val="es"/>
        </w:rPr>
        <w:t xml:space="preserve"> </w:t>
      </w:r>
      <w:r>
        <w:rPr>
          <w:lang w:val="es"/>
        </w:rPr>
        <w:t xml:space="preserve">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de BaseWeb a react-aria. Los tres se corrigieron fijando el tema</w:t>
      </w:r>
      <w:r>
        <w:rPr>
          <w:lang w:val="es"/>
        </w:rPr>
        <w:t xml:space="preserve"> </w:t>
      </w:r>
      <w:r>
        <w:rPr>
          <w:lang w:val="es"/>
        </w:rPr>
        <w:t xml:space="preserve">del tablero. Que aparecieran solo en producción es el argumento a favor de la</w:t>
      </w:r>
      <w:r>
        <w:rPr>
          <w:lang w:val="es"/>
        </w:rPr>
        <w:t xml:space="preserve"> </w:t>
      </w:r>
      <w:r>
        <w:rPr>
          <w:lang w:val="es"/>
        </w:rPr>
        <w:t xml:space="preserve">deuda que sí queda pendiente: no hay pruebas de front que atrapen regresiones</w:t>
      </w:r>
      <w:r>
        <w:rPr>
          <w:lang w:val="es"/>
        </w:rPr>
        <w:t xml:space="preserve"> </w:t>
      </w:r>
      <w:r>
        <w:rPr>
          <w:lang w:val="es"/>
        </w:rPr>
        <w:t xml:space="preserve">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Xab65d49d92a4c2f732c896b26a18bd0c75c5038"/>
    <w:p>
      <w:pPr>
        <w:pStyle w:val="Heading1"/>
      </w:pPr>
      <w:r>
        <w:rPr>
          <w:lang w:val="es"/>
        </w:rPr>
        <w:t xml:space="preserve">5. Fuentes,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tiene forma de importar el modelo ni de cargar el artefacto serializado, solo</w:t>
      </w:r>
      <w:r>
        <w:rPr>
          <w:lang w:val="es"/>
        </w:rPr>
        <w:t xml:space="preserve"> </w:t>
      </w:r>
      <w:r>
        <w:rPr>
          <w:lang w:val="es"/>
        </w:rPr>
        <w:t xml:space="preserve">puede hablar con la API por HTTP. El historial de commits de cada integrante se</w:t>
      </w:r>
      <w:r>
        <w:rPr>
          <w:lang w:val="es"/>
        </w:rPr>
        <w:t xml:space="preserve"> </w:t>
      </w:r>
      <w:r>
        <w:rPr>
          <w:lang w:val="es"/>
        </w:rPr>
        <w:t xml:space="preserve">consulta en</w:t>
      </w:r>
      <w:r>
        <w:rPr>
          <w:lang w:val="es"/>
        </w:rPr>
        <w:t xml:space="preserve"> </w:t>
      </w:r>
      <w:hyperlink r:id="rId34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5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bookmarkStart w:id="37" w:name="fuentes-de-los-modelos-desarrollados"/>
    <w:p>
      <w:pPr>
        <w:pStyle w:val="Heading2"/>
      </w:pPr>
      <w:r>
        <w:rPr>
          <w:lang w:val="es"/>
        </w:rPr>
        <w:t xml:space="preserve">5.1 Fuentes de los modelos desarrollados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maia-pds-microproyecto-api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src/features/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Base analitica y matriz de diseno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src/models/particion.py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Particion por paciente, sin pacientes compartidos entre conjuntos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src/models/regresion_logistica.py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busqueda.py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regresion_v6.py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optimizar_recall.py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Versiones V1 a V6 de la regresion, rejillas de hiperparametros y ajuste de umbral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src/models/escenarios.py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balanceo.py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Los cuatro escenarios del bosque aleatorio y las siete tecnicas de desbalance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src/models/metricas.py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evaluacion_priorizacion.py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comunes a las dos familias y analisis de lift por capacidad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src/models/experimentos_mlflow.py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Registro de corridas contra el servidor de MLflow en EC2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notebooks/modelos.ipynb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Cuaderno ejecutado del bosque 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docs/soportes/modelos/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de cada version en CSV</w:t>
            </w:r>
          </w:p>
        </w:tc>
      </w:tr>
    </w:tbl>
    <w:bookmarkEnd w:id="37"/>
    <w:bookmarkStart w:id="39" w:name="fuentes-del-tablero-desarrollado"/>
    <w:p>
      <w:pPr>
        <w:pStyle w:val="Heading2"/>
      </w:pPr>
      <w:r>
        <w:rPr>
          <w:lang w:val="es"/>
        </w:rPr>
        <w:t xml:space="preserve">5.2 Fuentes del tablero desarrollado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8">
        <w:r>
          <w:rPr>
            <w:rStyle w:val="Hyperlink"/>
            <w:lang w:val="es"/>
          </w:rPr>
          <w:t xml:space="preserve">maia-pds-microproyecto-ui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app.py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Punto de entrada, navegacion y 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views/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priorizacion.py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paciente.py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y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contexto.py</w:t>
            </w:r>
            <w:r>
              <w:rPr>
                <w:lang w:val="es"/>
              </w:rPr>
              <w:t xml:space="preserve">: una vista por pantalla de la maqueta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Tarjetas de metrica, tabla de priorizacion, graficos y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services/api.py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Unico punto de salida hacia la API; el tablero no importa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Dockerfile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railway.json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.streamlit/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Artefactos de despliegue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ux-ui/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Maqueta de la Entrega 1, contra la que se contrasta la implementacion</w:t>
            </w:r>
          </w:p>
        </w:tc>
      </w:tr>
    </w:tbl>
    <w:bookmarkEnd w:id="39"/>
    <w:bookmarkStart w:id="52" w:name="experimentos-en-mlflow"/>
    <w:p>
      <w:pPr>
        <w:pStyle w:val="Heading2"/>
      </w:pPr>
      <w:r>
        <w:rPr>
          <w:lang w:val="es"/>
        </w:rPr>
        <w:t xml:space="preserve">5.3 Experimentos en MLflow</w:t>
      </w:r>
    </w:p>
    <w:p>
      <w:pPr>
        <w:pStyle w:val="FirstParagraph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entrega-2-mlflow-ec2-ssh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as/entrega-2-mlflow-ec2-consol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 Al</w:t>
      </w:r>
      <w:r>
        <w:rPr>
          <w:lang w:val="es"/>
        </w:rPr>
        <w:t xml:space="preserve"> </w:t>
      </w:r>
      <w:r>
        <w:rPr>
          <w:lang w:val="es"/>
        </w:rPr>
        <w:t xml:space="preserve">cierre de la entrega la instancia queda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detenida</w:t>
      </w:r>
      <w:r>
        <w:rPr>
          <w:lang w:val="es"/>
        </w:rPr>
        <w:t xml:space="preserve">, no terminada, para que</w:t>
      </w:r>
      <w:r>
        <w:rPr>
          <w:lang w:val="es"/>
        </w:rPr>
        <w:t xml:space="preserve"> </w:t>
      </w:r>
      <w:r>
        <w:rPr>
          <w:lang w:val="es"/>
        </w:rPr>
        <w:t xml:space="preserve">pueda verificarse despues; la constancia esta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docs/soportes/ec2-mlflow-detenida.txt</w:t>
      </w:r>
      <w:r>
        <w:rPr>
          <w:lang w:val="es"/>
        </w:rPr>
        <w:t xml:space="preserve">.</w:t>
      </w:r>
    </w:p>
    <w:p>
      <w:pPr>
        <w:pStyle w:val="BodyText"/>
      </w:pPr>
      <w:r>
        <w:drawing>
          <wp:inline>
            <wp:extent cx="5334000" cy="301799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as/entrega-2-mlflow-u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3234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entrega-2-mlflow-ur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7.</w:t>
      </w:r>
      <w:r>
        <w:rPr>
          <w:lang w:val="es"/>
        </w:rPr>
        <w:t xml:space="preserve"> </w:t>
      </w:r>
      <w:r>
        <w:rPr>
          <w:lang w:val="es"/>
        </w:rPr>
        <w:t xml:space="preserve">Interfaz de MLflow servida desde la EC2, con detalle de la barra de</w:t>
      </w:r>
      <w:r>
        <w:rPr>
          <w:lang w:val="es"/>
        </w:rPr>
        <w:t xml:space="preserve"> </w:t>
      </w:r>
      <w:r>
        <w:rPr>
          <w:lang w:val="es"/>
        </w:rPr>
        <w:t xml:space="preserve">direcciones: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3.224.107.117:5000</w:t>
      </w:r>
      <w:r>
        <w:rPr>
          <w:lang w:val="es"/>
        </w:rPr>
        <w:t xml:space="preserve">, la misma IP publica de la Figura 6. El</w:t>
      </w:r>
      <w:r>
        <w:rPr>
          <w:lang w:val="es"/>
        </w:rPr>
        <w:t xml:space="preserve"> </w:t>
      </w:r>
      <w:r>
        <w:rPr>
          <w:lang w:val="es"/>
        </w:rPr>
        <w:t xml:space="preserve">experimento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readmision-diabetes</w:t>
      </w:r>
      <w:r>
        <w:rPr>
          <w:lang w:val="es"/>
        </w:rPr>
        <w:t xml:space="preserve"> </w:t>
      </w:r>
      <w:r>
        <w:rPr>
          <w:lang w:val="es"/>
        </w:rPr>
        <w:t xml:space="preserve">acumula 101 corridas de las dos familias: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comparacion_balanceo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escenarios_bosque</w:t>
      </w:r>
      <w:r>
        <w:rPr>
          <w:lang w:val="es"/>
        </w:rPr>
        <w:t xml:space="preserve"> </w:t>
      </w:r>
      <w:r>
        <w:rPr>
          <w:lang w:val="es"/>
        </w:rPr>
        <w:t xml:space="preserve">del bosque aleatorio,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 </w:t>
      </w:r>
      <w:r>
        <w:rPr>
          <w:lang w:val="es"/>
        </w:rPr>
        <w:t xml:space="preserve">de la regresion y la rejilla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V6_rejilla_elasticnet</w:t>
      </w:r>
      <w:r>
        <w:rPr>
          <w:lang w:val="es"/>
        </w:rPr>
        <w:t xml:space="preserve"> </w:t>
      </w:r>
      <w:r>
        <w:rPr>
          <w:lang w:val="es"/>
        </w:rPr>
        <w:t xml:space="preserve">con sus</w:t>
      </w:r>
      <w:r>
        <w:rPr>
          <w:lang w:val="es"/>
        </w:rPr>
        <w:t xml:space="preserve"> </w:t>
      </w:r>
      <w:r>
        <w:rPr>
          <w:lang w:val="es"/>
        </w:rPr>
        <w:t xml:space="preserve">75 combinaciones como corridas anidadas.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14" Target="media/rId14.png" /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2026-09-07T00:34:27Z</dcterms:created>
  <dcterms:modified xsi:type="dcterms:W3CDTF">2026-09-07T00:34:27Z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