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sz w:val="32"/>
        </w:rPr>
        <w:t>Predicción de reingreso hospitalario temprano en pacientes diabéticos</w:t>
      </w:r>
    </w:p>
    <w:p>
      <w:pPr>
        <w:jc w:val="left"/>
      </w:pPr>
      <w:r>
        <w:rPr>
          <w:b w:val="0"/>
          <w:i w:val="0"/>
          <w:color w:val="595959"/>
          <w:sz w:val="20"/>
        </w:rPr>
        <w:t>Entrega 1 · Micro-proyecto · Desarrollo de Soluciones · MAIA, Universidad de los Andes</w:t>
      </w:r>
    </w:p>
    <w:p>
      <w:pPr>
        <w:jc w:val="left"/>
      </w:pPr>
      <w:r>
        <w:rPr>
          <w:b w:val="0"/>
          <w:i w:val="0"/>
          <w:color w:val="14538B"/>
          <w:sz w:val="19"/>
        </w:rPr>
        <w:t>Repositorio: https://github.com/katterine2558/microproyecto-desarrollo-soluciones</w:t>
      </w:r>
    </w:p>
    <w:p>
      <w:pPr>
        <w:jc w:val="left"/>
      </w:pPr>
      <w:r>
        <w:rPr>
          <w:b w:val="0"/>
          <w:i w:val="0"/>
          <w:color w:val="595959"/>
          <w:sz w:val="20"/>
        </w:rPr>
        <w:t>Camilo Andrés Rodríguez Dueñas · Jasbyn Rainier Solano Carrillo · Leonardo Almanza Sánchez · Gineth Katerine Arias Carrillo</w:t>
      </w:r>
    </w:p>
    <w:p>
      <w:pPr>
        <w:pStyle w:val="Heading1"/>
      </w:pPr>
      <w:r>
        <w:t>1. Problema y su contexto</w:t>
      </w:r>
    </w:p>
    <w:p>
      <w:r>
        <w:rPr>
          <w:b w:val="0"/>
          <w:i w:val="0"/>
        </w:rPr>
        <w:t>El reingreso hospitalario temprano —entendido en este proyecto como una nueva hospitalización dentro de los 30 días posteriores al alta— constituye el evento de interés porque representa una utilización repetida de servicios en un periodo corto y plantea una oportunidad de fortalecer el seguimiento posterior al egreso. En pacientes con diabetes, la necesidad de continuidad del cuidado es especialmente relevante por el carácter crónico de la enfermedad y por la coexistencia frecuente de múltiples diagnósticos, medicamentos y antecedentes de utilización hospitalaria. El propósito del proyecto no es atribuir una causa clínica al reingreso, sino identificar qué pacientes presentan mayor riesgo de volver al hospital en ese plazo.</w:t>
      </w:r>
    </w:p>
    <w:p>
      <w:r>
        <w:rPr>
          <w:b w:val="0"/>
          <w:i w:val="0"/>
        </w:rPr>
        <w:t>Desde una perspectiva operativa, la utilidad del modelo está en apoyar una decisión de priorización antes de que el paciente abandone el hospital. Si la institución dispone de una capacidad limitada para realizar llamadas, controles u otras acciones de seguimiento, una estimación comparable de riesgo permite ordenar los egresos y concentrar primero esos recursos en los pacientes con mayor probabilidad estimada de reingreso.</w:t>
      </w:r>
    </w:p>
    <w:p>
      <w:r>
        <w:rPr>
          <w:b w:val="0"/>
          <w:i w:val="0"/>
        </w:rPr>
        <w:t xml:space="preserve">Sin una estimación sistemática de riesgo, la priorización puede depender principalmente del criterio clínico individual y de las condiciones operativas del proceso de alta. En ese escenario, la capacidad de seguimiento no necesariamente se asigna primero a los pacientes con mayor riesgo estimado. Ese es el vacío que el prototipo busca abordar: no reemplazar el criterio clínico, sino </w:t>
      </w:r>
      <w:r>
        <w:rPr>
          <w:b/>
          <w:i w:val="0"/>
        </w:rPr>
        <w:t>ordenar la lista</w:t>
      </w:r>
      <w:r>
        <w:rPr>
          <w:b w:val="0"/>
          <w:i w:val="0"/>
        </w:rPr>
        <w:t xml:space="preserve"> para apoyar la asignación de la capacidad disponible hacia los pacientes que podrían requerir mayor seguimiento.</w:t>
      </w:r>
    </w:p>
    <w:p>
      <w:r>
        <w:rPr>
          <w:b w:val="0"/>
          <w:i w:val="0"/>
        </w:rPr>
        <w:t>El modelo propuesto es útil porque transforma información disponible durante la hospitalización —antecedentes de utilización de servicios, características del episodio, diagnósticos, pruebas y tratamiento registrado— en una estimación de riesgo individual. Esa estimación complementa, pero no sustituye, el criterio clínico: el prototipo ordena y prioriza casos para seguimiento; no autoriza altas, no diagnostica la causa del reingreso y no prescribe tratamiento.</w:t>
      </w:r>
    </w:p>
    <w:p>
      <w:pPr>
        <w:pStyle w:val="Heading1"/>
      </w:pPr>
      <w:r>
        <w:t>2. Pregunta de negocio y alcance</w:t>
      </w:r>
    </w:p>
    <w:p>
      <w:pPr>
        <w:ind w:left="227"/>
      </w:pPr>
      <w:r>
        <w:rPr>
          <w:b/>
          <w:i w:val="0"/>
        </w:rPr>
        <w:t>¿Qué pacientes diabéticos van a reingresar al hospital dentro de los 30 días siguientes al alta?</w:t>
      </w:r>
    </w:p>
    <w:p>
      <w:r>
        <w:rPr>
          <w:b w:val="0"/>
          <w:i w:val="0"/>
        </w:rPr>
        <w:t>La pregunta se responde el día del alta, antes de que el paciente salga, y su respuesta alimenta una decisión concreta: a qué pacientes se les programa control tras el egreso. El usuario es el personal de enfermería de la unidad de gestión hospitalaria.</w:t>
      </w:r>
    </w:p>
    <w:p>
      <w:r>
        <w:rPr>
          <w:b w:val="0"/>
          <w:i w:val="0"/>
        </w:rPr>
        <w:t>El prototipo contempla dos formas complementarias de uso. La primera trabaja sobre el listado completo de egresos del día, ordenando a los pacientes según su probabilidad estimada de reingreso y permitiendo priorizar el seguimiento de acuerdo con la capacidad disponible. La segunda permite consultar individualmente a un paciente. Durante el diseño se descartaron dos alternativas más limitadas: una basada únicamente en consultas individuales, porque no permitiría establecer a quién priorizar cuando la capacidad de seguimiento es limitada; y otra basada únicamente en el listado diario, porque no permitiría evaluar un caso particular que requiera una consulta independiente.</w:t>
      </w:r>
    </w:p>
    <w:p>
      <w:r>
        <w:rPr>
          <w:b/>
          <w:i w:val="0"/>
        </w:rPr>
        <w:t>Queda explícitamente por fuera del alcance.</w:t>
      </w:r>
      <w:r>
        <w:rPr>
          <w:b w:val="0"/>
          <w:i w:val="0"/>
        </w:rPr>
        <w:t xml:space="preserve"> El prototipo no estima la causa del reingreso, no sugiere tratamientos y no reemplaza el criterio clínico. Tampoco se conecta directamente a un sistema de información hospitalario: el listado de egresos se carga como archivo. La variable race se reserva para evaluar posteriormente el desempeño del modelo entre grupos y no se utiliza como predictora. De igual forma, payer_code se excluye de las variables predictoras, de acuerdo con las decisiones de preparación definidas a partir de la exploración de los datos.</w:t>
      </w:r>
    </w:p>
    <w:p>
      <w:r>
        <w:rPr>
          <w:b/>
          <w:i w:val="0"/>
        </w:rPr>
        <w:t>Límite de los datos.</w:t>
      </w:r>
      <w:r>
        <w:rPr>
          <w:b w:val="0"/>
          <w:i w:val="0"/>
        </w:rPr>
        <w:t xml:space="preserve"> Los registros corresponden a hospitales de Estados Unidos y cubren el periodo 1999–2008. Por esta razón, los patrones identificados no deben generalizarse automáticamente a una población hospitalaria actual o a una institución colombiana. El resultado de esta entrega debe entenderse como un prototipo metodológico; una implementación en otro contexto requeriría validar su desempeño con datos representativos de la población en la que se pretenda utilizar.</w:t>
      </w:r>
    </w:p>
    <w:p>
      <w:pPr>
        <w:pStyle w:val="Heading1"/>
      </w:pPr>
      <w:r>
        <w:t>3. Conjuntos de datos a emplear</w:t>
      </w:r>
    </w:p>
    <w:p>
      <w:r>
        <w:rPr>
          <w:b w:val="0"/>
          <w:i w:val="0"/>
        </w:rPr>
        <w:t xml:space="preserve">Se emplea </w:t>
      </w:r>
      <w:r>
        <w:rPr>
          <w:b/>
          <w:i w:val="0"/>
        </w:rPr>
        <w:t>Diabetes 130-US Hospitals for Years 1999-2008</w:t>
      </w:r>
      <w:r>
        <w:rPr>
          <w:b w:val="0"/>
          <w:i w:val="0"/>
        </w:rPr>
        <w:t>, del UCI Machine Learning Repository (dataset 296), publicado bajo licencia CC BY 4.0 y asociado al artículo de Strack et al. (2014). Está disponible en https://archive.ics.uci.edu/dataset/296/diabetes+130-us+hospitals+for+years+1999-2008.</w:t>
      </w:r>
    </w:p>
    <w:p>
      <w:r>
        <w:rPr>
          <w:b w:val="0"/>
          <w:i w:val="0"/>
        </w:rPr>
        <w:t>Uno de los criterios considerados para seleccionar el conjunto de datos fue su disponibilidad inmediata. Este conjunto puede descargarse directamente desde UCI y cuenta con documentación pública, lo que permite trabajar con la información desde el inicio del proyecto. Frente a una alternativa que requiriera gestionar acceso institucional o recolectar información primaria, su disponibilidad resulta adecuada para el plazo establecido para el microproyecto (8 semanas).</w:t>
      </w:r>
    </w:p>
    <w:p>
      <w:r>
        <w:rPr>
          <w:b w:val="0"/>
          <w:i w:val="0"/>
        </w:rPr>
        <w:t>Para que la procedencia sea verificable por un tercero, el repositorio incluye las huellas SHA-256 de los archivos junto con la URL exacta de descarga. Se contrastaron contra el archivo comprimido que UCI publica actualmente y coinciden byte a byte.</w:t>
      </w:r>
    </w:p>
    <w:tbl>
      <w:tblPr>
        <w:tblStyle w:val="TableGrid"/>
        <w:tblW w:type="auto" w:w="0"/>
        <w:jc w:val="center"/>
        <w:tblLook w:firstColumn="1" w:firstRow="1" w:lastColumn="0" w:lastRow="0" w:noHBand="0" w:noVBand="1" w:val="04A0"/>
      </w:tblPr>
      <w:tblGrid>
        <w:gridCol w:w="4706"/>
        <w:gridCol w:w="4706"/>
      </w:tblGrid>
      <w:tr>
        <w:tc>
          <w:tcPr>
            <w:tcW w:type="dxa" w:w="2835"/>
            <w:shd w:fill="EFEFEC"/>
          </w:tcPr>
          <w:p>
            <w:pPr>
              <w:spacing w:after="40"/>
            </w:pPr>
            <w:r/>
            <w:r>
              <w:rPr>
                <w:b/>
                <w:sz w:val="18"/>
              </w:rPr>
              <w:t>Característica</w:t>
            </w:r>
          </w:p>
        </w:tc>
        <w:tc>
          <w:tcPr>
            <w:tcW w:type="dxa" w:w="6576"/>
            <w:shd w:fill="EFEFEC"/>
          </w:tcPr>
          <w:p>
            <w:pPr>
              <w:spacing w:after="40"/>
            </w:pPr>
            <w:r/>
            <w:r>
              <w:rPr>
                <w:b/>
                <w:sz w:val="18"/>
              </w:rPr>
              <w:t>Valor</w:t>
            </w:r>
          </w:p>
        </w:tc>
      </w:tr>
      <w:tr>
        <w:tc>
          <w:tcPr>
            <w:tcW w:type="dxa" w:w="2835"/>
          </w:tcPr>
          <w:p>
            <w:pPr>
              <w:spacing w:after="40"/>
            </w:pPr>
            <w:r/>
            <w:r>
              <w:rPr>
                <w:b w:val="0"/>
                <w:sz w:val="18"/>
              </w:rPr>
              <w:t>Unidad de análisis</w:t>
            </w:r>
          </w:p>
        </w:tc>
        <w:tc>
          <w:tcPr>
            <w:tcW w:type="dxa" w:w="6576"/>
          </w:tcPr>
          <w:p>
            <w:pPr>
              <w:spacing w:after="40"/>
            </w:pPr>
            <w:r/>
            <w:r>
              <w:rPr>
                <w:b w:val="0"/>
                <w:sz w:val="18"/>
              </w:rPr>
              <w:t>Un encuentro hospitalario (no un paciente)</w:t>
            </w:r>
          </w:p>
        </w:tc>
      </w:tr>
      <w:tr>
        <w:tc>
          <w:tcPr>
            <w:tcW w:type="dxa" w:w="2835"/>
          </w:tcPr>
          <w:p>
            <w:pPr>
              <w:spacing w:after="40"/>
            </w:pPr>
            <w:r/>
            <w:r>
              <w:rPr>
                <w:b w:val="0"/>
                <w:sz w:val="18"/>
              </w:rPr>
              <w:t>Volumen</w:t>
            </w:r>
          </w:p>
        </w:tc>
        <w:tc>
          <w:tcPr>
            <w:tcW w:type="dxa" w:w="6576"/>
          </w:tcPr>
          <w:p>
            <w:pPr>
              <w:spacing w:after="40"/>
            </w:pPr>
            <w:r/>
            <w:r>
              <w:rPr>
                <w:b w:val="0"/>
                <w:sz w:val="18"/>
              </w:rPr>
              <w:t>101.766 encuentros × 50 columnas (47 predictoras, 2 identificadores y 1 objetivo)</w:t>
            </w:r>
          </w:p>
        </w:tc>
      </w:tr>
      <w:tr>
        <w:tc>
          <w:tcPr>
            <w:tcW w:type="dxa" w:w="2835"/>
          </w:tcPr>
          <w:p>
            <w:pPr>
              <w:spacing w:after="40"/>
            </w:pPr>
            <w:r/>
            <w:r>
              <w:rPr>
                <w:b w:val="0"/>
                <w:sz w:val="18"/>
              </w:rPr>
              <w:t>Pacientes únicos</w:t>
            </w:r>
          </w:p>
        </w:tc>
        <w:tc>
          <w:tcPr>
            <w:tcW w:type="dxa" w:w="6576"/>
          </w:tcPr>
          <w:p>
            <w:pPr>
              <w:spacing w:after="40"/>
            </w:pPr>
            <w:r/>
            <w:r>
              <w:rPr>
                <w:b w:val="0"/>
                <w:sz w:val="18"/>
              </w:rPr>
              <w:t>71.518 — hay pacientes con varios encuentros</w:t>
            </w:r>
          </w:p>
        </w:tc>
      </w:tr>
      <w:tr>
        <w:tc>
          <w:tcPr>
            <w:tcW w:type="dxa" w:w="2835"/>
          </w:tcPr>
          <w:p>
            <w:pPr>
              <w:spacing w:after="40"/>
            </w:pPr>
            <w:r/>
            <w:r>
              <w:rPr>
                <w:b w:val="0"/>
                <w:sz w:val="18"/>
              </w:rPr>
              <w:t>Periodo</w:t>
            </w:r>
          </w:p>
        </w:tc>
        <w:tc>
          <w:tcPr>
            <w:tcW w:type="dxa" w:w="6576"/>
          </w:tcPr>
          <w:p>
            <w:pPr>
              <w:spacing w:after="40"/>
            </w:pPr>
            <w:r/>
            <w:r>
              <w:rPr>
                <w:b w:val="0"/>
                <w:sz w:val="18"/>
              </w:rPr>
              <w:t>1999–2008, 130 hospitales de Estados Unidos</w:t>
            </w:r>
          </w:p>
        </w:tc>
      </w:tr>
      <w:tr>
        <w:tc>
          <w:tcPr>
            <w:tcW w:type="dxa" w:w="2835"/>
          </w:tcPr>
          <w:p>
            <w:pPr>
              <w:spacing w:after="40"/>
            </w:pPr>
            <w:r/>
            <w:r>
              <w:rPr>
                <w:b w:val="0"/>
                <w:sz w:val="18"/>
              </w:rPr>
              <w:t>Variable objetivo</w:t>
            </w:r>
          </w:p>
        </w:tc>
        <w:tc>
          <w:tcPr>
            <w:tcW w:type="dxa" w:w="6576"/>
          </w:tcPr>
          <w:p>
            <w:pPr>
              <w:spacing w:after="40"/>
            </w:pPr>
            <w:r/>
            <w:r>
              <w:rPr>
                <w:b w:val="0"/>
                <w:sz w:val="18"/>
              </w:rPr>
              <w:t>readmitted, con valores &lt;30, &gt;30 y NO</w:t>
            </w:r>
          </w:p>
        </w:tc>
      </w:tr>
      <w:tr>
        <w:tc>
          <w:tcPr>
            <w:tcW w:type="dxa" w:w="2835"/>
          </w:tcPr>
          <w:p>
            <w:pPr>
              <w:spacing w:after="40"/>
            </w:pPr>
            <w:r/>
            <w:r>
              <w:rPr>
                <w:b w:val="0"/>
                <w:sz w:val="18"/>
              </w:rPr>
              <w:t>Licencia</w:t>
            </w:r>
          </w:p>
        </w:tc>
        <w:tc>
          <w:tcPr>
            <w:tcW w:type="dxa" w:w="6576"/>
          </w:tcPr>
          <w:p>
            <w:pPr>
              <w:spacing w:after="40"/>
            </w:pPr>
            <w:r/>
            <w:r>
              <w:rPr>
                <w:b w:val="0"/>
                <w:sz w:val="18"/>
              </w:rPr>
              <w:t>CC BY 4.0</w:t>
            </w:r>
          </w:p>
        </w:tc>
      </w:tr>
    </w:tbl>
    <w:p>
      <w:pPr>
        <w:spacing w:after="80"/>
      </w:pPr>
    </w:p>
    <w:p>
      <w:r>
        <w:rPr>
          <w:b/>
          <w:i w:val="0"/>
        </w:rPr>
        <w:t>Definición de la variable objetivo.</w:t>
      </w:r>
      <w:r>
        <w:rPr>
          <w:b w:val="0"/>
          <w:i w:val="0"/>
        </w:rPr>
        <w:t xml:space="preserve"> El campo readmitted contiene tres valores: &lt;30, &gt;30 y NO. Para responder la pregunta de negocio se construye una variable binaria: positivo cuando readmitted = &lt;30 y negativo cuando readmitted = &gt;30 o NO. Esta decisión no implica que los reingresos posteriores a 30 días carezcan de importancia clínica; simplemente quedan fuera de la ventana temporal que el proyecto busca predecir y priorizar.</w:t>
      </w:r>
    </w:p>
    <w:p>
      <w:r>
        <w:rPr>
          <w:b/>
          <w:i w:val="0"/>
        </w:rPr>
        <w:t>Familias de variables.</w:t>
      </w:r>
      <w:r>
        <w:rPr>
          <w:b w:val="0"/>
          <w:i w:val="0"/>
        </w:rPr>
        <w:t xml:space="preserve"> Las variables disponibles se agrupan en demográficas (edad, sexo, etnia), administrativas (tipo de admisión, destino al egreso, aseguradora, especialidad que da el alta), de utilización previa (consultas ambulatorias, urgencias y hospitalizaciones del año anterior), clínicas (días de estancia, número de diagnósticos, códigos ICD-9, resultados de laboratorio) y farmacológicas (23 columnas, una por medicamento). El repositorio incluye el diccionario completo de las 50 variables, con su tipo y sus valores.</w:t>
      </w:r>
    </w:p>
    <w:p>
      <w:pPr>
        <w:pStyle w:val="Heading1"/>
      </w:pPr>
      <w:r>
        <w:t>4. Repositorio Git en uso para el código</w:t>
      </w:r>
    </w:p>
    <w:p>
      <w:r>
        <w:rPr>
          <w:b w:val="0"/>
          <w:i w:val="0"/>
        </w:rPr>
        <w:t>El código está en https://github.com/katterine2558/microproyecto-desarrollo-soluciones. El repositorio sigue un flujo git-flow adaptado al proyecto: main conserva únicamente los estados entregados y se etiqueta en cada entrega; develop integra el trabajo diario; y cada ítem de trabajo vive en su propia rama feature/*, que sale de develop y vuelve a develop mediante merges que preservan la autoría —no se usa squash ni rebase, precisamente porque los commits son la evidencia de la contribución individual.</w:t>
      </w:r>
    </w:p>
    <w:p>
      <w:pPr>
        <w:spacing w:before="60" w:after="160"/>
        <w:ind w:left="283"/>
        <w:jc w:val="left"/>
      </w:pPr>
      <w:r>
        <w:rPr>
          <w:rFonts w:ascii="Consolas" w:hAnsi="Consolas"/>
          <w:color w:val="595959"/>
          <w:sz w:val="17"/>
        </w:rPr>
        <w:t>$ git shortlog -sne --all</w:t>
      </w:r>
      <w:r>
        <w:rPr>
          <w:rFonts w:ascii="Consolas" w:hAnsi="Consolas"/>
          <w:color w:val="595959"/>
          <w:sz w:val="17"/>
        </w:rPr>
        <w:br/>
        <w:t xml:space="preserve">  35</w:t>
        <w:tab/>
        <w:t>katterine2558 &lt;61667956+katterine2558@users.noreply.github.com&gt;</w:t>
      </w:r>
      <w:r>
        <w:rPr>
          <w:rFonts w:ascii="Consolas" w:hAnsi="Consolas"/>
          <w:color w:val="595959"/>
          <w:sz w:val="17"/>
        </w:rPr>
        <w:br/>
        <w:t xml:space="preserve">  4</w:t>
        <w:tab/>
        <w:t>camiloard777 &lt;camiloard777@gmail.com&gt;</w:t>
      </w:r>
      <w:r>
        <w:rPr>
          <w:rFonts w:ascii="Consolas" w:hAnsi="Consolas"/>
          <w:color w:val="595959"/>
          <w:sz w:val="17"/>
        </w:rPr>
        <w:br/>
      </w:r>
      <w:r>
        <w:rPr>
          <w:rFonts w:ascii="Consolas" w:hAnsi="Consolas"/>
          <w:color w:val="595959"/>
          <w:sz w:val="17"/>
        </w:rPr>
        <w:br/>
        <w:t>$ git log --oneline --all | wc -l      →  39 commits</w:t>
      </w:r>
      <w:r>
        <w:rPr>
          <w:rFonts w:ascii="Consolas" w:hAnsi="Consolas"/>
          <w:color w:val="595959"/>
          <w:sz w:val="17"/>
        </w:rPr>
        <w:br/>
        <w:t>$ git branch                           →  develop</w:t>
      </w:r>
    </w:p>
    <w:p>
      <w:r>
        <w:rPr>
          <w:b w:val="0"/>
          <w:i w:val="0"/>
        </w:rPr>
        <w:t>El repositorio es público, de modo que el equipo de tutores puede revisar el código, el historial y las ramas sin solicitar acceso. Los cuatro integrantes figuran como colaboradores con permiso de escritura e integran su trabajo mediante merges directos a develop; cualquier persona ajena al equipo solo puede proponer cambios vía fork y pull request, que es el comportamiento por defecto de GitHub y no requiere reglas de protección de rama.</w:t>
      </w:r>
    </w:p>
    <w:p>
      <w:pPr>
        <w:pStyle w:val="Heading1"/>
      </w:pPr>
      <w:r>
        <w:t>5. Repositorio DVC en uso para los datos</w:t>
      </w:r>
    </w:p>
    <w:p>
      <w:r>
        <w:rPr>
          <w:b w:val="0"/>
          <w:i w:val="0"/>
        </w:rPr>
        <w:t>Los datos se versionan con DVC sobre el mismo repositorio de Git. En Git viaja únicamente el puntero data/raw.dvc —cinco líneas de texto— mientras que los archivos reales, 18 MB, viven en el remoto s3://maia-pds-diabetes-dvc-982005835034. La separación es explícita en el .gitignore: el contenido de data/ está excluido y solo se permiten los punteros .dvc.</w:t>
      </w:r>
    </w:p>
    <w:p>
      <w:r>
        <w:rPr>
          <w:b w:val="0"/>
          <w:i w:val="0"/>
        </w:rPr>
        <w:t>El remoto tiene lectura pública, de modo que cualquier integrante clona el repositorio y ejecuta dvc pull sin necesidad de credenciales. Se requieren credenciales solo para escribir, y se configuran localmente en un archivo que nunca se versiona.</w:t>
      </w:r>
    </w:p>
    <w:p>
      <w:pPr>
        <w:spacing w:before="60" w:after="160"/>
        <w:ind w:left="283"/>
        <w:jc w:val="left"/>
      </w:pPr>
      <w:r>
        <w:rPr>
          <w:rFonts w:ascii="Consolas" w:hAnsi="Consolas"/>
          <w:color w:val="595959"/>
          <w:sz w:val="17"/>
        </w:rPr>
        <w:t>$ cat data/raw.dvc</w:t>
      </w:r>
      <w:r>
        <w:rPr>
          <w:rFonts w:ascii="Consolas" w:hAnsi="Consolas"/>
          <w:color w:val="595959"/>
          <w:sz w:val="17"/>
        </w:rPr>
        <w:br/>
        <w:t xml:space="preserve">  outs:</w:t>
      </w:r>
      <w:r>
        <w:rPr>
          <w:rFonts w:ascii="Consolas" w:hAnsi="Consolas"/>
          <w:color w:val="595959"/>
          <w:sz w:val="17"/>
        </w:rPr>
        <w:br/>
        <w:t xml:space="preserve">  - md5: c96228354d9545119486617492cc9c37.dir</w:t>
      </w:r>
      <w:r>
        <w:rPr>
          <w:rFonts w:ascii="Consolas" w:hAnsi="Consolas"/>
          <w:color w:val="595959"/>
          <w:sz w:val="17"/>
        </w:rPr>
        <w:br/>
        <w:t xml:space="preserve">    size: 19161930</w:t>
      </w:r>
      <w:r>
        <w:rPr>
          <w:rFonts w:ascii="Consolas" w:hAnsi="Consolas"/>
          <w:color w:val="595959"/>
          <w:sz w:val="17"/>
        </w:rPr>
        <w:br/>
        <w:t xml:space="preserve">    nfiles: 2</w:t>
      </w:r>
      <w:r>
        <w:rPr>
          <w:rFonts w:ascii="Consolas" w:hAnsi="Consolas"/>
          <w:color w:val="595959"/>
          <w:sz w:val="17"/>
        </w:rPr>
        <w:br/>
        <w:t xml:space="preserve">    path: raw</w:t>
      </w:r>
      <w:r>
        <w:rPr>
          <w:rFonts w:ascii="Consolas" w:hAnsi="Consolas"/>
          <w:color w:val="595959"/>
          <w:sz w:val="17"/>
        </w:rPr>
        <w:br/>
      </w:r>
      <w:r>
        <w:rPr>
          <w:rFonts w:ascii="Consolas" w:hAnsi="Consolas"/>
          <w:color w:val="595959"/>
          <w:sz w:val="17"/>
        </w:rPr>
        <w:br/>
        <w:t>$ dvc status -c</w:t>
      </w:r>
      <w:r>
        <w:rPr>
          <w:rFonts w:ascii="Consolas" w:hAnsi="Consolas"/>
          <w:color w:val="595959"/>
          <w:sz w:val="17"/>
        </w:rPr>
        <w:br/>
        <w:t xml:space="preserve">  Cache and remote 'storage' are in sync.</w:t>
      </w:r>
    </w:p>
    <w:p>
      <w:r>
        <w:rPr>
          <w:b w:val="0"/>
          <w:i w:val="0"/>
          <w:color w:val="595959"/>
          <w:sz w:val="19"/>
        </w:rPr>
        <w:t>El puntero versionado en Git junto al CSV ausente del repositorio prueba las dos cosas a la vez: los datos están versionados por DVC y están fuera de Git.</w:t>
      </w:r>
    </w:p>
    <w:p>
      <w:pPr>
        <w:pStyle w:val="Heading1"/>
      </w:pPr>
      <w:r>
        <w:t>6. Exploración de los datos</w:t>
      </w:r>
    </w:p>
    <w:p>
      <w:pPr>
        <w:pStyle w:val="Heading2"/>
      </w:pPr>
      <w:r>
        <w:t>6.1 Los faltantes engañan en las dos direcciones</w:t>
      </w:r>
    </w:p>
    <w:p>
      <w:r>
        <w:rPr>
          <w:b w:val="0"/>
          <w:i w:val="0"/>
        </w:rPr>
        <w:t>El primer hallazgo no es sobre los pacientes sino sobre el archivo, y condiciona todo lo demás. El centinela de dato faltante en este conjunto es el carácter ?, no un valor nulo. Con las opciones por defecto de pandas, la instrucción habitual para contar faltantes devuelve cero en todas las columnas, y el conjunto parece completo. No lo está: weight está vacía en el 96,9 % de las filas.</w:t>
      </w:r>
    </w:p>
    <w:p>
      <w:r>
        <w:rPr>
          <w:b w:val="0"/>
          <w:i w:val="0"/>
        </w:rPr>
        <w:t xml:space="preserve">El error simétrico es más peligroso porque es silencioso. Las columnas A1Cresult y max_glu_serum traen el texto literal None, que pandas incluye en su lista de valores nulos por defecto y convierte sin avisar. Pero ahí None no es un faltante: significa que </w:t>
      </w:r>
      <w:r>
        <w:rPr>
          <w:b/>
          <w:i w:val="0"/>
        </w:rPr>
        <w:t>no se ordenó el examen</w:t>
      </w:r>
      <w:r>
        <w:rPr>
          <w:b w:val="0"/>
          <w:i w:val="0"/>
        </w:rPr>
        <w:t>, y eso es información clínica. Que a un paciente diabético no le midan la hemoglobina glicosilada durante la hospitalización dice algo sobre cómo se manejó su caso, y es justamente la hipótesis del artículo original. Tratarlo como dato ausente e imputarlo destruiría 84.748 observaciones válidas.</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fill="EFEFEC"/>
          </w:tcPr>
          <w:p>
            <w:pPr>
              <w:spacing w:after="40"/>
            </w:pPr>
            <w:r/>
            <w:r>
              <w:rPr>
                <w:b/>
                <w:sz w:val="18"/>
              </w:rPr>
              <w:t>Columna</w:t>
            </w:r>
          </w:p>
        </w:tc>
        <w:tc>
          <w:tcPr>
            <w:tcW w:type="dxa" w:w="2608"/>
            <w:shd w:fill="EFEFEC"/>
          </w:tcPr>
          <w:p>
            <w:pPr>
              <w:spacing w:after="40"/>
            </w:pPr>
            <w:r/>
            <w:r>
              <w:rPr>
                <w:b/>
                <w:sz w:val="18"/>
              </w:rPr>
              <w:t>Lectura por defecto</w:t>
            </w:r>
          </w:p>
        </w:tc>
        <w:tc>
          <w:tcPr>
            <w:tcW w:type="dxa" w:w="4422"/>
            <w:shd w:fill="EFEFEC"/>
          </w:tcPr>
          <w:p>
            <w:pPr>
              <w:spacing w:after="40"/>
            </w:pPr>
            <w:r/>
            <w:r>
              <w:rPr>
                <w:b/>
                <w:sz w:val="18"/>
              </w:rPr>
              <w:t>Realidad</w:t>
            </w:r>
          </w:p>
        </w:tc>
      </w:tr>
      <w:tr>
        <w:tc>
          <w:tcPr>
            <w:tcW w:type="dxa" w:w="2381"/>
          </w:tcPr>
          <w:p>
            <w:pPr>
              <w:spacing w:after="40"/>
            </w:pPr>
            <w:r/>
            <w:r>
              <w:rPr>
                <w:b w:val="0"/>
                <w:sz w:val="18"/>
              </w:rPr>
              <w:t>race</w:t>
            </w:r>
          </w:p>
        </w:tc>
        <w:tc>
          <w:tcPr>
            <w:tcW w:type="dxa" w:w="2608"/>
          </w:tcPr>
          <w:p>
            <w:pPr>
              <w:spacing w:after="40"/>
            </w:pPr>
            <w:r/>
            <w:r>
              <w:rPr>
                <w:b w:val="0"/>
                <w:sz w:val="18"/>
              </w:rPr>
              <w:t>0 nulos</w:t>
            </w:r>
          </w:p>
        </w:tc>
        <w:tc>
          <w:tcPr>
            <w:tcW w:type="dxa" w:w="4422"/>
          </w:tcPr>
          <w:p>
            <w:pPr>
              <w:spacing w:after="40"/>
            </w:pPr>
            <w:r/>
            <w:r>
              <w:rPr>
                <w:b w:val="0"/>
                <w:sz w:val="18"/>
              </w:rPr>
              <w:t>2.273 valores ? (2,2 %)</w:t>
            </w:r>
          </w:p>
        </w:tc>
      </w:tr>
      <w:tr>
        <w:tc>
          <w:tcPr>
            <w:tcW w:type="dxa" w:w="2381"/>
          </w:tcPr>
          <w:p>
            <w:pPr>
              <w:spacing w:after="40"/>
            </w:pPr>
            <w:r/>
            <w:r>
              <w:rPr>
                <w:b w:val="0"/>
                <w:sz w:val="18"/>
              </w:rPr>
              <w:t>weight</w:t>
            </w:r>
          </w:p>
        </w:tc>
        <w:tc>
          <w:tcPr>
            <w:tcW w:type="dxa" w:w="2608"/>
          </w:tcPr>
          <w:p>
            <w:pPr>
              <w:spacing w:after="40"/>
            </w:pPr>
            <w:r/>
            <w:r>
              <w:rPr>
                <w:b w:val="0"/>
                <w:sz w:val="18"/>
              </w:rPr>
              <w:t>0 nulos</w:t>
            </w:r>
          </w:p>
        </w:tc>
        <w:tc>
          <w:tcPr>
            <w:tcW w:type="dxa" w:w="4422"/>
          </w:tcPr>
          <w:p>
            <w:pPr>
              <w:spacing w:after="40"/>
            </w:pPr>
            <w:r/>
            <w:r>
              <w:rPr>
                <w:b w:val="0"/>
                <w:sz w:val="18"/>
              </w:rPr>
              <w:t>98.569 valores ? (96,9 %)</w:t>
            </w:r>
          </w:p>
        </w:tc>
      </w:tr>
      <w:tr>
        <w:tc>
          <w:tcPr>
            <w:tcW w:type="dxa" w:w="2381"/>
          </w:tcPr>
          <w:p>
            <w:pPr>
              <w:spacing w:after="40"/>
            </w:pPr>
            <w:r/>
            <w:r>
              <w:rPr>
                <w:b w:val="0"/>
                <w:sz w:val="18"/>
              </w:rPr>
              <w:t>medical_specialty</w:t>
            </w:r>
          </w:p>
        </w:tc>
        <w:tc>
          <w:tcPr>
            <w:tcW w:type="dxa" w:w="2608"/>
          </w:tcPr>
          <w:p>
            <w:pPr>
              <w:spacing w:after="40"/>
            </w:pPr>
            <w:r/>
            <w:r>
              <w:rPr>
                <w:b w:val="0"/>
                <w:sz w:val="18"/>
              </w:rPr>
              <w:t>0 nulos</w:t>
            </w:r>
          </w:p>
        </w:tc>
        <w:tc>
          <w:tcPr>
            <w:tcW w:type="dxa" w:w="4422"/>
          </w:tcPr>
          <w:p>
            <w:pPr>
              <w:spacing w:after="40"/>
            </w:pPr>
            <w:r/>
            <w:r>
              <w:rPr>
                <w:b w:val="0"/>
                <w:sz w:val="18"/>
              </w:rPr>
              <w:t>49,1 % ausente</w:t>
            </w:r>
          </w:p>
        </w:tc>
      </w:tr>
      <w:tr>
        <w:tc>
          <w:tcPr>
            <w:tcW w:type="dxa" w:w="2381"/>
          </w:tcPr>
          <w:p>
            <w:pPr>
              <w:spacing w:after="40"/>
            </w:pPr>
            <w:r/>
            <w:r>
              <w:rPr>
                <w:b w:val="0"/>
                <w:sz w:val="18"/>
              </w:rPr>
              <w:t>A1Cresult</w:t>
            </w:r>
          </w:p>
        </w:tc>
        <w:tc>
          <w:tcPr>
            <w:tcW w:type="dxa" w:w="2608"/>
          </w:tcPr>
          <w:p>
            <w:pPr>
              <w:spacing w:after="40"/>
            </w:pPr>
            <w:r/>
            <w:r>
              <w:rPr>
                <w:b w:val="0"/>
                <w:sz w:val="18"/>
              </w:rPr>
              <w:t>84.748 nulos</w:t>
            </w:r>
          </w:p>
        </w:tc>
        <w:tc>
          <w:tcPr>
            <w:tcW w:type="dxa" w:w="4422"/>
          </w:tcPr>
          <w:p>
            <w:pPr>
              <w:spacing w:after="40"/>
            </w:pPr>
            <w:r/>
            <w:r>
              <w:rPr>
                <w:b w:val="0"/>
                <w:sz w:val="18"/>
              </w:rPr>
              <w:t>0 faltantes — None = examen no ordenado</w:t>
            </w:r>
          </w:p>
        </w:tc>
      </w:tr>
      <w:tr>
        <w:tc>
          <w:tcPr>
            <w:tcW w:type="dxa" w:w="2381"/>
          </w:tcPr>
          <w:p>
            <w:pPr>
              <w:spacing w:after="40"/>
            </w:pPr>
            <w:r/>
            <w:r>
              <w:rPr>
                <w:b w:val="0"/>
                <w:sz w:val="18"/>
              </w:rPr>
              <w:t>max_glu_serum</w:t>
            </w:r>
          </w:p>
        </w:tc>
        <w:tc>
          <w:tcPr>
            <w:tcW w:type="dxa" w:w="2608"/>
          </w:tcPr>
          <w:p>
            <w:pPr>
              <w:spacing w:after="40"/>
            </w:pPr>
            <w:r/>
            <w:r>
              <w:rPr>
                <w:b w:val="0"/>
                <w:sz w:val="18"/>
              </w:rPr>
              <w:t>96.420 nulos</w:t>
            </w:r>
          </w:p>
        </w:tc>
        <w:tc>
          <w:tcPr>
            <w:tcW w:type="dxa" w:w="4422"/>
          </w:tcPr>
          <w:p>
            <w:pPr>
              <w:spacing w:after="40"/>
            </w:pPr>
            <w:r/>
            <w:r>
              <w:rPr>
                <w:b w:val="0"/>
                <w:sz w:val="18"/>
              </w:rPr>
              <w:t>0 faltantes — None = examen no ordenado</w:t>
            </w:r>
          </w:p>
        </w:tc>
      </w:tr>
    </w:tbl>
    <w:p>
      <w:pPr>
        <w:spacing w:after="80"/>
      </w:pPr>
    </w:p>
    <w:p>
      <w:r>
        <w:rPr>
          <w:b/>
          <w:i w:val="0"/>
        </w:rPr>
        <w:t>Por lo tanto</w:t>
      </w:r>
      <w:r>
        <w:rPr>
          <w:b w:val="0"/>
          <w:i w:val="0"/>
        </w:rPr>
        <w:t>, todo el pipeline lee el archivo desactivando la interpretación automática de nulos y convierte ? explícitamente, columna por columna. La ausencia de especialidad, con casi la mitad de los registros, se tratará como categoría propia y no como dato a imputar.</w:t>
      </w:r>
    </w:p>
    <w:p>
      <w:pPr>
        <w:pStyle w:val="Heading2"/>
      </w:pPr>
      <w:r>
        <w:t>6.2 Exclusiones: dos motivos distintos</w:t>
      </w:r>
    </w:p>
    <w:p>
      <w:r>
        <w:rPr>
          <w:b w:val="0"/>
          <w:i w:val="0"/>
        </w:rPr>
        <w:t>El destino al egreso identifica encuentros que no deben entrar al análisis, por razones que conviene no confundir. Los 1.652 encuentros de pacientes fallecidos no pueden reingresar, y los datos lo confirman: ninguno registra reingreso. Excluirlos corrige un imposible. Los 771 con egreso a hospicio sí reingresan —43 lo hacen antes de los 30 días— y se excluyen por una razón distinta: son pacientes en cuidado de fin de vida, donde agendar un control para evitar el reingreso no es la intervención que el tablero decide.</w:t>
      </w:r>
    </w:p>
    <w:p>
      <w:r>
        <w:rPr>
          <w:b w:val="0"/>
          <w:i w:val="0"/>
        </w:rPr>
        <w:t xml:space="preserve">En conjunto salen 2.423 encuentros, el 2,38 %. La base de trabajo queda en </w:t>
      </w:r>
      <w:r>
        <w:rPr>
          <w:b/>
          <w:i w:val="0"/>
        </w:rPr>
        <w:t>99.343 egresos</w:t>
      </w:r>
      <w:r>
        <w:rPr>
          <w:b w:val="0"/>
          <w:i w:val="0"/>
        </w:rPr>
        <w:t xml:space="preserve">, con una tasa de reingreso temprano del </w:t>
      </w:r>
      <w:r>
        <w:rPr>
          <w:b/>
          <w:i w:val="0"/>
        </w:rPr>
        <w:t>11,4 %</w:t>
      </w:r>
      <w:r>
        <w:rPr>
          <w:b w:val="0"/>
          <w:i w:val="0"/>
        </w:rPr>
        <w:t>.</w:t>
      </w:r>
    </w:p>
    <w:p>
      <w:r>
        <w:rPr>
          <w:b/>
          <w:i w:val="0"/>
        </w:rPr>
        <w:t>Por lo tanto</w:t>
      </w:r>
      <w:r>
        <w:rPr>
          <w:b w:val="0"/>
          <w:i w:val="0"/>
        </w:rPr>
        <w:t>, con menos de doce reingresos tempranos por cada cien casos, la exactitud utilizada de manera aislada resulta insuficiente para evaluar el desempeño del modelo. Por ejemplo, un modelo que predijera siempre «no reingresa» alcanzaría una exactitud cercana al 88,6 %, aun sin identificar ningún reingreso temprano. Por esta razón, la evaluación deberá considerar métricas que permitan valorar la identificación y priorización de la clase minoritaria.</w:t>
      </w:r>
    </w:p>
    <w:p>
      <w:pPr>
        <w:pStyle w:val="Heading2"/>
      </w:pPr>
      <w:r>
        <w:t>6.3 Dónde se concentra el riesgo</w:t>
      </w:r>
    </w:p>
    <w:p>
      <w:r>
        <w:rPr>
          <w:b w:val="0"/>
          <w:i w:val="0"/>
        </w:rPr>
        <w:t>La utilización previa es, con diferencia, la señal más fuerte del conjunto. La tasa de reingreso pasa de 8,6 % en quienes no estuvieron hospitalizados el año anterior a 37,1 % en quienes lo estuvieron cinco veces o más: un gradiente de más de cuatro veces, monótono en todos los tramos.</w:t>
      </w:r>
    </w:p>
    <w:p>
      <w:pPr>
        <w:jc w:val="center"/>
      </w:pPr>
      <w:r>
        <w:drawing>
          <wp:inline xmlns:a="http://schemas.openxmlformats.org/drawingml/2006/main" xmlns:pic="http://schemas.openxmlformats.org/drawingml/2006/picture">
            <wp:extent cx="5760000" cy="2739054"/>
            <wp:docPr id="1" name="Picture 1"/>
            <wp:cNvGraphicFramePr>
              <a:graphicFrameLocks noChangeAspect="1"/>
            </wp:cNvGraphicFramePr>
            <a:graphic>
              <a:graphicData uri="http://schemas.openxmlformats.org/drawingml/2006/picture">
                <pic:pic>
                  <pic:nvPicPr>
                    <pic:cNvPr id="0" name="01-reingreso-por-hospitalizaciones-previas.png"/>
                    <pic:cNvPicPr/>
                  </pic:nvPicPr>
                  <pic:blipFill>
                    <a:blip r:embed="rId9"/>
                    <a:stretch>
                      <a:fillRect/>
                    </a:stretch>
                  </pic:blipFill>
                  <pic:spPr>
                    <a:xfrm>
                      <a:off x="0" y="0"/>
                      <a:ext cx="5760000" cy="2739054"/>
                    </a:xfrm>
                    <a:prstGeom prst="rect"/>
                  </pic:spPr>
                </pic:pic>
              </a:graphicData>
            </a:graphic>
          </wp:inline>
        </w:drawing>
      </w:r>
    </w:p>
    <w:p>
      <w:pPr>
        <w:spacing w:after="200"/>
        <w:jc w:val="center"/>
      </w:pPr>
      <w:r>
        <w:rPr>
          <w:b w:val="0"/>
          <w:i w:val="0"/>
          <w:color w:val="595959"/>
          <w:sz w:val="17"/>
        </w:rPr>
        <w:t>Figura 1. Tasa de reingreso &lt; 30 días según hospitalizaciones en el año previo. Base: 99.343 egresos tras exclusiones.</w:t>
      </w:r>
    </w:p>
    <w:p>
      <w:r>
        <w:rPr>
          <w:b w:val="0"/>
          <w:i w:val="0"/>
        </w:rPr>
        <w:t>El patrón observado convierte a number_inpatient y a las demás variables de utilización previa en candidatas relevantes para el modelamiento. Su aporte definitivo deberá confirmarse durante el entrenamiento y la validación del modelo. La maqueta las muestra junto a la probabilidad estimada porque son antecedentes fáciles de interpretar para el usuario.</w:t>
      </w:r>
    </w:p>
    <w:p>
      <w:pPr>
        <w:jc w:val="center"/>
      </w:pPr>
      <w:r>
        <w:drawing>
          <wp:inline xmlns:a="http://schemas.openxmlformats.org/drawingml/2006/main" xmlns:pic="http://schemas.openxmlformats.org/drawingml/2006/picture">
            <wp:extent cx="5400000" cy="4769408"/>
            <wp:docPr id="2" name="Picture 2"/>
            <wp:cNvGraphicFramePr>
              <a:graphicFrameLocks noChangeAspect="1"/>
            </wp:cNvGraphicFramePr>
            <a:graphic>
              <a:graphicData uri="http://schemas.openxmlformats.org/drawingml/2006/picture">
                <pic:pic>
                  <pic:nvPicPr>
                    <pic:cNvPr id="0" name="02-reingreso-por-especialidad.png"/>
                    <pic:cNvPicPr/>
                  </pic:nvPicPr>
                  <pic:blipFill>
                    <a:blip r:embed="rId10"/>
                    <a:stretch>
                      <a:fillRect/>
                    </a:stretch>
                  </pic:blipFill>
                  <pic:spPr>
                    <a:xfrm>
                      <a:off x="0" y="0"/>
                      <a:ext cx="5400000" cy="4769408"/>
                    </a:xfrm>
                    <a:prstGeom prst="rect"/>
                  </pic:spPr>
                </pic:pic>
              </a:graphicData>
            </a:graphic>
          </wp:inline>
        </w:drawing>
      </w:r>
    </w:p>
    <w:p>
      <w:pPr>
        <w:spacing w:after="200"/>
        <w:jc w:val="center"/>
      </w:pPr>
      <w:r>
        <w:rPr>
          <w:b w:val="0"/>
          <w:i w:val="0"/>
          <w:color w:val="595959"/>
          <w:sz w:val="17"/>
        </w:rPr>
        <w:t>Figura 2. Tasa de reingreso por especialidad que da el alta. Solo especialidades con al menos 500 egresos; se excluye la categoría sin especialidad registrada.</w:t>
      </w:r>
    </w:p>
    <w:p>
      <w:r>
        <w:rPr>
          <w:b w:val="0"/>
          <w:i w:val="0"/>
        </w:rPr>
        <w:t xml:space="preserve">Entre especialidades el rango va de 4,8 % en ginecobstetricia a 16,1 % en nefrología, que dobla a cardiología (8,0 %). </w:t>
      </w:r>
      <w:r>
        <w:rPr>
          <w:b/>
          <w:i w:val="0"/>
        </w:rPr>
        <w:t>Por lo tanto</w:t>
      </w:r>
      <w:r>
        <w:rPr>
          <w:b w:val="0"/>
          <w:i w:val="0"/>
        </w:rPr>
        <w:t>, hay servicios donde reforzar la continuidad del cuidado rinde más, y esa es una decisión que no necesita predecir a ningún paciente en particular: alimenta el componente descriptivo del tablero.</w:t>
      </w:r>
    </w:p>
    <w:p>
      <w:pPr>
        <w:jc w:val="center"/>
      </w:pPr>
      <w:r>
        <w:drawing>
          <wp:inline xmlns:a="http://schemas.openxmlformats.org/drawingml/2006/main" xmlns:pic="http://schemas.openxmlformats.org/drawingml/2006/picture">
            <wp:extent cx="5760000" cy="2645090"/>
            <wp:docPr id="3" name="Picture 3"/>
            <wp:cNvGraphicFramePr>
              <a:graphicFrameLocks noChangeAspect="1"/>
            </wp:cNvGraphicFramePr>
            <a:graphic>
              <a:graphicData uri="http://schemas.openxmlformats.org/drawingml/2006/picture">
                <pic:pic>
                  <pic:nvPicPr>
                    <pic:cNvPr id="0" name="03-reingreso-por-edad.png"/>
                    <pic:cNvPicPr/>
                  </pic:nvPicPr>
                  <pic:blipFill>
                    <a:blip r:embed="rId11"/>
                    <a:stretch>
                      <a:fillRect/>
                    </a:stretch>
                  </pic:blipFill>
                  <pic:spPr>
                    <a:xfrm>
                      <a:off x="0" y="0"/>
                      <a:ext cx="5760000" cy="2645090"/>
                    </a:xfrm>
                    <a:prstGeom prst="rect"/>
                  </pic:spPr>
                </pic:pic>
              </a:graphicData>
            </a:graphic>
          </wp:inline>
        </w:drawing>
      </w:r>
    </w:p>
    <w:p>
      <w:pPr>
        <w:spacing w:after="200"/>
        <w:jc w:val="center"/>
      </w:pPr>
      <w:r>
        <w:rPr>
          <w:b w:val="0"/>
          <w:i w:val="0"/>
          <w:color w:val="595959"/>
          <w:sz w:val="17"/>
        </w:rPr>
        <w:t>Figura 3. Tasa de reingreso por grupo de edad. El pico de 20–30 años se apoya en 1.649 registros, frente a más de 20.000 en los grupos mayores.</w:t>
      </w:r>
    </w:p>
    <w:p>
      <w:r>
        <w:rPr>
          <w:b w:val="0"/>
          <w:i w:val="0"/>
        </w:rPr>
        <w:t xml:space="preserve">La edad muestra un ascenso sostenido a partir de los 50 años, pero el máximo aparente está en el grupo de 20 a 30. </w:t>
      </w:r>
      <w:r>
        <w:rPr>
          <w:b/>
          <w:i w:val="0"/>
        </w:rPr>
        <w:t>Por lo tanto</w:t>
      </w:r>
      <w:r>
        <w:rPr>
          <w:b w:val="0"/>
          <w:i w:val="0"/>
        </w:rPr>
        <w:t>, conviene leerlo con reservas: descansa sobre 1.649 registros, un orden de magnitud menos que los grupos mayores, y no justificaría por sí solo una regla de priorización.</w:t>
      </w:r>
    </w:p>
    <w:p>
      <w:pPr>
        <w:pStyle w:val="Heading2"/>
      </w:pPr>
      <w:r>
        <w:t>6.4 Riesgo de fuga por pacientes repetidos</w:t>
      </w:r>
    </w:p>
    <w:p>
      <w:r>
        <w:rPr>
          <w:b w:val="0"/>
          <w:i w:val="0"/>
        </w:rPr>
        <w:t xml:space="preserve">Los 99.343 encuentros corresponden a 69.990 pacientes distintos: 16.341 pacientes aparecen más de una vez. </w:t>
      </w:r>
      <w:r>
        <w:rPr>
          <w:b/>
          <w:i w:val="0"/>
        </w:rPr>
        <w:t>Por lo tanto</w:t>
      </w:r>
      <w:r>
        <w:rPr>
          <w:b w:val="0"/>
          <w:i w:val="0"/>
        </w:rPr>
        <w:t>, una partición aleatoria en entrenamiento y prueba dejaría encuentros del mismo paciente a ambos lados y produciría un desempeño optimista que no se sostendría en operación. La partición se hará por patient_nbr.</w:t>
      </w:r>
    </w:p>
    <w:p>
      <w:r>
        <w:rPr>
          <w:b w:val="0"/>
          <w:i w:val="0"/>
        </w:rPr>
        <w:t>Se detectaron además dos columnas de varianza cero —examide y citoglipton, con un único valor en las 101.766 filas— y otras siete de medicamentos con menos de cincuenta registros distintos de «no recetado». Todas se descartan.</w:t>
      </w:r>
    </w:p>
    <w:p>
      <w:pPr>
        <w:pStyle w:val="Heading1"/>
      </w:pPr>
      <w:r>
        <w:t>7. Maqueta del prototipo</w:t>
      </w:r>
    </w:p>
    <w:p>
      <w:r>
        <w:rPr>
          <w:b w:val="0"/>
          <w:i w:val="0"/>
        </w:rPr>
        <w:t>La maqueta define tres pantallas y trece elementos identificados de E1 a E13. Las cifras que muestra el componente descriptivo son reales, calculadas sobre los 99.343 egresos; los datos de las pantallas de predicción son ilustrativos.</w:t>
      </w:r>
    </w:p>
    <w:p>
      <w:pPr>
        <w:jc w:val="center"/>
      </w:pPr>
      <w:r>
        <w:drawing>
          <wp:inline xmlns:a="http://schemas.openxmlformats.org/drawingml/2006/main" xmlns:pic="http://schemas.openxmlformats.org/drawingml/2006/picture">
            <wp:extent cx="5976000" cy="3454128"/>
            <wp:docPr id="4" name="Picture 4"/>
            <wp:cNvGraphicFramePr>
              <a:graphicFrameLocks noChangeAspect="1"/>
            </wp:cNvGraphicFramePr>
            <a:graphic>
              <a:graphicData uri="http://schemas.openxmlformats.org/drawingml/2006/picture">
                <pic:pic>
                  <pic:nvPicPr>
                    <pic:cNvPr id="0" name="04-maqueta-pantalla-1-priorizacion.png"/>
                    <pic:cNvPicPr/>
                  </pic:nvPicPr>
                  <pic:blipFill>
                    <a:blip r:embed="rId12"/>
                    <a:stretch>
                      <a:fillRect/>
                    </a:stretch>
                  </pic:blipFill>
                  <pic:spPr>
                    <a:xfrm>
                      <a:off x="0" y="0"/>
                      <a:ext cx="5976000" cy="3454128"/>
                    </a:xfrm>
                    <a:prstGeom prst="rect"/>
                  </pic:spPr>
                </pic:pic>
              </a:graphicData>
            </a:graphic>
          </wp:inline>
        </w:drawing>
      </w:r>
    </w:p>
    <w:p>
      <w:pPr>
        <w:spacing w:after="200"/>
        <w:jc w:val="center"/>
      </w:pPr>
      <w:r>
        <w:rPr>
          <w:b w:val="0"/>
          <w:i w:val="0"/>
          <w:color w:val="595959"/>
          <w:sz w:val="17"/>
        </w:rPr>
        <w:t>Figura 4. Pantalla 1 — priorización de los egresos del día. La enfermera declara su capacidad (E1) y la línea de corte se mueve con ese número (E3).</w:t>
      </w:r>
    </w:p>
    <w:p>
      <w:r>
        <w:rPr>
          <w:b w:val="0"/>
          <w:i w:val="0"/>
        </w:rPr>
        <w:t>La pantalla de priorización es la que sostiene la decisión. Ordena por probabilidad estimada en vez de emitir una etiqueta, porque con una tasa base de 11,4 % lo que sirve a quien programa los controles es el orden, no un sí o un no. La línea de capacidad vuelve visible una limitación que hoy nadie mide: cuántos pacientes de riesgo alto quedan sin control por falta de recurso.</w:t>
      </w:r>
    </w:p>
    <w:p>
      <w:pPr>
        <w:jc w:val="center"/>
      </w:pPr>
      <w:r>
        <w:drawing>
          <wp:inline xmlns:a="http://schemas.openxmlformats.org/drawingml/2006/main" xmlns:pic="http://schemas.openxmlformats.org/drawingml/2006/picture">
            <wp:extent cx="5580000" cy="1011758"/>
            <wp:docPr id="5" name="Picture 5"/>
            <wp:cNvGraphicFramePr>
              <a:graphicFrameLocks noChangeAspect="1"/>
            </wp:cNvGraphicFramePr>
            <a:graphic>
              <a:graphicData uri="http://schemas.openxmlformats.org/drawingml/2006/picture">
                <pic:pic>
                  <pic:nvPicPr>
                    <pic:cNvPr id="0" name="07-arquitectura.png"/>
                    <pic:cNvPicPr/>
                  </pic:nvPicPr>
                  <pic:blipFill>
                    <a:blip r:embed="rId13"/>
                    <a:stretch>
                      <a:fillRect/>
                    </a:stretch>
                  </pic:blipFill>
                  <pic:spPr>
                    <a:xfrm>
                      <a:off x="0" y="0"/>
                      <a:ext cx="5580000" cy="1011758"/>
                    </a:xfrm>
                    <a:prstGeom prst="rect"/>
                  </pic:spPr>
                </pic:pic>
              </a:graphicData>
            </a:graphic>
          </wp:inline>
        </w:drawing>
      </w:r>
    </w:p>
    <w:p>
      <w:pPr>
        <w:spacing w:after="200"/>
        <w:jc w:val="center"/>
      </w:pPr>
      <w:r>
        <w:rPr>
          <w:b w:val="0"/>
          <w:i w:val="0"/>
          <w:color w:val="595959"/>
          <w:sz w:val="17"/>
        </w:rPr>
        <w:t>Figura 5. Arquitectura. El tablero consume las predicciones por HTTP; nunca carga el artefacto del modelo.</w:t>
      </w:r>
    </w:p>
    <w:p>
      <w:r>
        <w:rPr>
          <w:b w:val="0"/>
          <w:i w:val="0"/>
        </w:rPr>
        <w:t>Los tres componentes se despliegan en contenedores separados. El tablero obtiene las predicciones llamando a la API, nunca abriendo el archivo del modelo: si lo hiciera, los dos quedarían amarrados y no sería posible actualizar el modelo sin volver a desplegar el tablero.</w:t>
      </w:r>
    </w:p>
    <w:p>
      <w:r>
        <w:rPr>
          <w:b/>
          <w:i w:val="0"/>
        </w:rPr>
        <w:t>Relación con la pregunta de negocio.</w:t>
      </w:r>
      <w:r>
        <w:rPr>
          <w:b w:val="0"/>
          <w:i w:val="0"/>
        </w:rPr>
        <w:t xml:space="preserve"> Cada elemento de la maqueta responde una parte concreta de la pregunta; la memoria completa incluye la tabla de trazabilidad de los trece. Un extracto: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680"/>
            <w:shd w:fill="EFEFEC"/>
          </w:tcPr>
          <w:p>
            <w:pPr>
              <w:spacing w:after="40"/>
            </w:pPr>
            <w:r/>
            <w:r>
              <w:rPr>
                <w:b/>
                <w:sz w:val="18"/>
              </w:rPr>
              <w:t>Id</w:t>
            </w:r>
          </w:p>
        </w:tc>
        <w:tc>
          <w:tcPr>
            <w:tcW w:type="dxa" w:w="3402"/>
            <w:shd w:fill="EFEFEC"/>
          </w:tcPr>
          <w:p>
            <w:pPr>
              <w:spacing w:after="40"/>
            </w:pPr>
            <w:r/>
            <w:r>
              <w:rPr>
                <w:b/>
                <w:sz w:val="18"/>
              </w:rPr>
              <w:t>Elemento</w:t>
            </w:r>
          </w:p>
        </w:tc>
        <w:tc>
          <w:tcPr>
            <w:tcW w:type="dxa" w:w="3515"/>
            <w:shd w:fill="EFEFEC"/>
          </w:tcPr>
          <w:p>
            <w:pPr>
              <w:spacing w:after="40"/>
            </w:pPr>
            <w:r/>
            <w:r>
              <w:rPr>
                <w:b/>
                <w:sz w:val="18"/>
              </w:rPr>
              <w:t>Qué responde</w:t>
            </w:r>
          </w:p>
        </w:tc>
        <w:tc>
          <w:tcPr>
            <w:tcW w:type="dxa" w:w="1814"/>
            <w:shd w:fill="EFEFEC"/>
          </w:tcPr>
          <w:p>
            <w:pPr>
              <w:spacing w:after="40"/>
            </w:pPr>
            <w:r/>
            <w:r>
              <w:rPr>
                <w:b/>
                <w:sz w:val="18"/>
              </w:rPr>
              <w:t>Tipo</w:t>
            </w:r>
          </w:p>
        </w:tc>
      </w:tr>
      <w:tr>
        <w:tc>
          <w:tcPr>
            <w:tcW w:type="dxa" w:w="680"/>
          </w:tcPr>
          <w:p>
            <w:pPr>
              <w:spacing w:after="40"/>
            </w:pPr>
            <w:r/>
            <w:r>
              <w:rPr>
                <w:b w:val="0"/>
                <w:sz w:val="18"/>
              </w:rPr>
              <w:t>E2</w:t>
            </w:r>
          </w:p>
        </w:tc>
        <w:tc>
          <w:tcPr>
            <w:tcW w:type="dxa" w:w="3402"/>
          </w:tcPr>
          <w:p>
            <w:pPr>
              <w:spacing w:after="40"/>
            </w:pPr>
            <w:r/>
            <w:r>
              <w:rPr>
                <w:b w:val="0"/>
                <w:sz w:val="18"/>
              </w:rPr>
              <w:t>Orden por probabilidad estimada</w:t>
            </w:r>
          </w:p>
        </w:tc>
        <w:tc>
          <w:tcPr>
            <w:tcW w:type="dxa" w:w="3515"/>
          </w:tcPr>
          <w:p>
            <w:pPr>
              <w:spacing w:after="40"/>
            </w:pPr>
            <w:r/>
            <w:r>
              <w:rPr>
                <w:b w:val="0"/>
                <w:sz w:val="18"/>
              </w:rPr>
              <w:t>¿A quién atiendo primero?</w:t>
            </w:r>
          </w:p>
        </w:tc>
        <w:tc>
          <w:tcPr>
            <w:tcW w:type="dxa" w:w="1814"/>
          </w:tcPr>
          <w:p>
            <w:pPr>
              <w:spacing w:after="40"/>
            </w:pPr>
            <w:r/>
            <w:r>
              <w:rPr>
                <w:b w:val="0"/>
                <w:sz w:val="18"/>
              </w:rPr>
              <w:t>Predictivo</w:t>
            </w:r>
          </w:p>
        </w:tc>
      </w:tr>
      <w:tr>
        <w:tc>
          <w:tcPr>
            <w:tcW w:type="dxa" w:w="680"/>
          </w:tcPr>
          <w:p>
            <w:pPr>
              <w:spacing w:after="40"/>
            </w:pPr>
            <w:r/>
            <w:r>
              <w:rPr>
                <w:b w:val="0"/>
                <w:sz w:val="18"/>
              </w:rPr>
              <w:t>E3</w:t>
            </w:r>
          </w:p>
        </w:tc>
        <w:tc>
          <w:tcPr>
            <w:tcW w:type="dxa" w:w="3402"/>
          </w:tcPr>
          <w:p>
            <w:pPr>
              <w:spacing w:after="40"/>
            </w:pPr>
            <w:r/>
            <w:r>
              <w:rPr>
                <w:b w:val="0"/>
                <w:sz w:val="18"/>
              </w:rPr>
              <w:t>Línea de capacidad visible</w:t>
            </w:r>
          </w:p>
        </w:tc>
        <w:tc>
          <w:tcPr>
            <w:tcW w:type="dxa" w:w="3515"/>
          </w:tcPr>
          <w:p>
            <w:pPr>
              <w:spacing w:after="40"/>
            </w:pPr>
            <w:r/>
            <w:r>
              <w:rPr>
                <w:b w:val="0"/>
                <w:sz w:val="18"/>
              </w:rPr>
              <w:t>¿A cuántos alcanzo hoy?</w:t>
            </w:r>
          </w:p>
        </w:tc>
        <w:tc>
          <w:tcPr>
            <w:tcW w:type="dxa" w:w="1814"/>
          </w:tcPr>
          <w:p>
            <w:pPr>
              <w:spacing w:after="40"/>
            </w:pPr>
            <w:r/>
            <w:r>
              <w:rPr>
                <w:b w:val="0"/>
                <w:sz w:val="18"/>
              </w:rPr>
              <w:t>Predictivo</w:t>
            </w:r>
          </w:p>
        </w:tc>
      </w:tr>
      <w:tr>
        <w:tc>
          <w:tcPr>
            <w:tcW w:type="dxa" w:w="680"/>
          </w:tcPr>
          <w:p>
            <w:pPr>
              <w:spacing w:after="40"/>
            </w:pPr>
            <w:r/>
            <w:r>
              <w:rPr>
                <w:b w:val="0"/>
                <w:sz w:val="18"/>
              </w:rPr>
              <w:t>E7</w:t>
            </w:r>
          </w:p>
        </w:tc>
        <w:tc>
          <w:tcPr>
            <w:tcW w:type="dxa" w:w="3402"/>
          </w:tcPr>
          <w:p>
            <w:pPr>
              <w:spacing w:after="40"/>
            </w:pPr>
            <w:r/>
            <w:r>
              <w:rPr>
                <w:b w:val="0"/>
                <w:sz w:val="18"/>
              </w:rPr>
              <w:t>Probabilidad calibrada</w:t>
            </w:r>
          </w:p>
        </w:tc>
        <w:tc>
          <w:tcPr>
            <w:tcW w:type="dxa" w:w="3515"/>
          </w:tcPr>
          <w:p>
            <w:pPr>
              <w:spacing w:after="40"/>
            </w:pPr>
            <w:r/>
            <w:r>
              <w:rPr>
                <w:b w:val="0"/>
                <w:sz w:val="18"/>
              </w:rPr>
              <w:t>¿Qué tan probable es este caso?</w:t>
            </w:r>
          </w:p>
        </w:tc>
        <w:tc>
          <w:tcPr>
            <w:tcW w:type="dxa" w:w="1814"/>
          </w:tcPr>
          <w:p>
            <w:pPr>
              <w:spacing w:after="40"/>
            </w:pPr>
            <w:r/>
            <w:r>
              <w:rPr>
                <w:b w:val="0"/>
                <w:sz w:val="18"/>
              </w:rPr>
              <w:t>Predictivo</w:t>
            </w:r>
          </w:p>
        </w:tc>
      </w:tr>
      <w:tr>
        <w:tc>
          <w:tcPr>
            <w:tcW w:type="dxa" w:w="680"/>
          </w:tcPr>
          <w:p>
            <w:pPr>
              <w:spacing w:after="40"/>
            </w:pPr>
            <w:r/>
            <w:r>
              <w:rPr>
                <w:b w:val="0"/>
                <w:sz w:val="18"/>
              </w:rPr>
              <w:t>E9</w:t>
            </w:r>
          </w:p>
        </w:tc>
        <w:tc>
          <w:tcPr>
            <w:tcW w:type="dxa" w:w="3402"/>
          </w:tcPr>
          <w:p>
            <w:pPr>
              <w:spacing w:after="40"/>
            </w:pPr>
            <w:r/>
            <w:r>
              <w:rPr>
                <w:b w:val="0"/>
                <w:sz w:val="18"/>
              </w:rPr>
              <w:t>Factores que pesaron</w:t>
            </w:r>
          </w:p>
        </w:tc>
        <w:tc>
          <w:tcPr>
            <w:tcW w:type="dxa" w:w="3515"/>
          </w:tcPr>
          <w:p>
            <w:pPr>
              <w:spacing w:after="40"/>
            </w:pPr>
            <w:r/>
            <w:r>
              <w:rPr>
                <w:b w:val="0"/>
                <w:sz w:val="18"/>
              </w:rPr>
              <w:t>¿Por qué este paciente?</w:t>
            </w:r>
          </w:p>
        </w:tc>
        <w:tc>
          <w:tcPr>
            <w:tcW w:type="dxa" w:w="1814"/>
          </w:tcPr>
          <w:p>
            <w:pPr>
              <w:spacing w:after="40"/>
            </w:pPr>
            <w:r/>
            <w:r>
              <w:rPr>
                <w:b w:val="0"/>
                <w:sz w:val="18"/>
              </w:rPr>
              <w:t>Predictivo</w:t>
            </w:r>
          </w:p>
        </w:tc>
      </w:tr>
      <w:tr>
        <w:tc>
          <w:tcPr>
            <w:tcW w:type="dxa" w:w="680"/>
          </w:tcPr>
          <w:p>
            <w:pPr>
              <w:spacing w:after="40"/>
            </w:pPr>
            <w:r/>
            <w:r>
              <w:rPr>
                <w:b w:val="0"/>
                <w:sz w:val="18"/>
              </w:rPr>
              <w:t>E10</w:t>
            </w:r>
          </w:p>
        </w:tc>
        <w:tc>
          <w:tcPr>
            <w:tcW w:type="dxa" w:w="3402"/>
          </w:tcPr>
          <w:p>
            <w:pPr>
              <w:spacing w:after="40"/>
            </w:pPr>
            <w:r/>
            <w:r>
              <w:rPr>
                <w:b w:val="0"/>
                <w:sz w:val="18"/>
              </w:rPr>
              <w:t>Reingreso por hospitalizaciones previas</w:t>
            </w:r>
          </w:p>
        </w:tc>
        <w:tc>
          <w:tcPr>
            <w:tcW w:type="dxa" w:w="3515"/>
          </w:tcPr>
          <w:p>
            <w:pPr>
              <w:spacing w:after="40"/>
            </w:pPr>
            <w:r/>
            <w:r>
              <w:rPr>
                <w:b w:val="0"/>
                <w:sz w:val="18"/>
              </w:rPr>
              <w:t>¿Dónde está el riesgo?</w:t>
            </w:r>
          </w:p>
        </w:tc>
        <w:tc>
          <w:tcPr>
            <w:tcW w:type="dxa" w:w="1814"/>
          </w:tcPr>
          <w:p>
            <w:pPr>
              <w:spacing w:after="40"/>
            </w:pPr>
            <w:r/>
            <w:r>
              <w:rPr>
                <w:b w:val="0"/>
                <w:sz w:val="18"/>
              </w:rPr>
              <w:t>Descriptivo</w:t>
            </w:r>
          </w:p>
        </w:tc>
      </w:tr>
      <w:tr>
        <w:tc>
          <w:tcPr>
            <w:tcW w:type="dxa" w:w="680"/>
          </w:tcPr>
          <w:p>
            <w:pPr>
              <w:spacing w:after="40"/>
            </w:pPr>
            <w:r/>
            <w:r>
              <w:rPr>
                <w:b w:val="0"/>
                <w:sz w:val="18"/>
              </w:rPr>
              <w:t>E11</w:t>
            </w:r>
          </w:p>
        </w:tc>
        <w:tc>
          <w:tcPr>
            <w:tcW w:type="dxa" w:w="3402"/>
          </w:tcPr>
          <w:p>
            <w:pPr>
              <w:spacing w:after="40"/>
            </w:pPr>
            <w:r/>
            <w:r>
              <w:rPr>
                <w:b w:val="0"/>
                <w:sz w:val="18"/>
              </w:rPr>
              <w:t>Reingreso por servicio</w:t>
            </w:r>
          </w:p>
        </w:tc>
        <w:tc>
          <w:tcPr>
            <w:tcW w:type="dxa" w:w="3515"/>
          </w:tcPr>
          <w:p>
            <w:pPr>
              <w:spacing w:after="40"/>
            </w:pPr>
            <w:r/>
            <w:r>
              <w:rPr>
                <w:b w:val="0"/>
                <w:sz w:val="18"/>
              </w:rPr>
              <w:t>¿Dónde reforzar el cuidado?</w:t>
            </w:r>
          </w:p>
        </w:tc>
        <w:tc>
          <w:tcPr>
            <w:tcW w:type="dxa" w:w="1814"/>
          </w:tcPr>
          <w:p>
            <w:pPr>
              <w:spacing w:after="40"/>
            </w:pPr>
            <w:r/>
            <w:r>
              <w:rPr>
                <w:b w:val="0"/>
                <w:sz w:val="18"/>
              </w:rPr>
              <w:t>Descriptivo</w:t>
            </w:r>
          </w:p>
        </w:tc>
      </w:tr>
    </w:tbl>
    <w:p>
      <w:pPr>
        <w:spacing w:after="80"/>
      </w:pPr>
    </w:p>
    <w:p>
      <w:r>
        <w:rPr>
          <w:b w:val="0"/>
          <w:i w:val="0"/>
        </w:rPr>
        <w:t>La maqueta se iteró durante la semana 3 con los datos ya explorados. El cambio principal fue anclar las bandas de riesgo en la tasa general observada —bajo por debajo de 11,4 %, medio hasta el doble, alto de 22,8 % en adelante— en lugar de usar percentiles, que se moverían con la composición del listado de cada día.</w:t>
      </w:r>
    </w:p>
    <w:p>
      <w:pPr>
        <w:pStyle w:val="Heading1"/>
      </w:pPr>
      <w:r>
        <w:t>8. Reporte de trabajo en equipo</w:t>
      </w:r>
    </w:p>
    <w:tbl>
      <w:tblPr>
        <w:tblStyle w:val="TableGrid"/>
        <w:tblW w:type="auto" w:w="0"/>
        <w:jc w:val="center"/>
        <w:tblLook w:firstColumn="1" w:firstRow="1" w:lastColumn="0" w:lastRow="0" w:noHBand="0" w:noVBand="1" w:val="04A0"/>
      </w:tblPr>
      <w:tblGrid>
        <w:gridCol w:w="4706"/>
        <w:gridCol w:w="4706"/>
      </w:tblGrid>
      <w:tr>
        <w:tc>
          <w:tcPr>
            <w:tcW w:type="dxa" w:w="5953"/>
            <w:shd w:fill="EFEFEC"/>
          </w:tcPr>
          <w:p>
            <w:pPr>
              <w:spacing w:after="40"/>
            </w:pPr>
            <w:r/>
            <w:r>
              <w:rPr>
                <w:b/>
                <w:sz w:val="18"/>
              </w:rPr>
              <w:t>Actividad</w:t>
            </w:r>
          </w:p>
        </w:tc>
        <w:tc>
          <w:tcPr>
            <w:tcW w:type="dxa" w:w="3458"/>
            <w:shd w:fill="EFEFEC"/>
          </w:tcPr>
          <w:p>
            <w:pPr>
              <w:spacing w:after="40"/>
            </w:pPr>
            <w:r/>
            <w:r>
              <w:rPr>
                <w:b/>
                <w:sz w:val="18"/>
              </w:rPr>
              <w:t>Responsable</w:t>
            </w:r>
          </w:p>
        </w:tc>
      </w:tr>
      <w:tr>
        <w:tc>
          <w:tcPr>
            <w:tcW w:type="dxa" w:w="5953"/>
          </w:tcPr>
          <w:p>
            <w:pPr>
              <w:spacing w:after="40"/>
            </w:pPr>
            <w:r/>
            <w:r>
              <w:rPr>
                <w:b w:val="0"/>
                <w:sz w:val="18"/>
              </w:rPr>
              <w:t>Problema y contexto</w:t>
            </w:r>
          </w:p>
        </w:tc>
        <w:tc>
          <w:tcPr>
            <w:tcW w:type="dxa" w:w="3458"/>
          </w:tcPr>
          <w:p>
            <w:pPr>
              <w:spacing w:after="40"/>
            </w:pPr>
            <w:r/>
            <w:r>
              <w:rPr>
                <w:b w:val="0"/>
                <w:sz w:val="18"/>
              </w:rPr>
              <w:t>Todos</w:t>
            </w:r>
          </w:p>
        </w:tc>
      </w:tr>
      <w:tr>
        <w:tc>
          <w:tcPr>
            <w:tcW w:type="dxa" w:w="5953"/>
          </w:tcPr>
          <w:p>
            <w:pPr>
              <w:spacing w:after="40"/>
            </w:pPr>
            <w:r/>
            <w:r>
              <w:rPr>
                <w:b w:val="0"/>
                <w:sz w:val="18"/>
              </w:rPr>
              <w:t>Pregunta de negocio y alcance</w:t>
            </w:r>
          </w:p>
        </w:tc>
        <w:tc>
          <w:tcPr>
            <w:tcW w:type="dxa" w:w="3458"/>
          </w:tcPr>
          <w:p>
            <w:pPr>
              <w:spacing w:after="40"/>
            </w:pPr>
            <w:r/>
            <w:r>
              <w:rPr>
                <w:b w:val="0"/>
                <w:sz w:val="18"/>
              </w:rPr>
              <w:t>Todos</w:t>
            </w:r>
          </w:p>
        </w:tc>
      </w:tr>
      <w:tr>
        <w:tc>
          <w:tcPr>
            <w:tcW w:type="dxa" w:w="5953"/>
          </w:tcPr>
          <w:p>
            <w:pPr>
              <w:spacing w:after="40"/>
            </w:pPr>
            <w:r/>
            <w:r>
              <w:rPr>
                <w:b w:val="0"/>
                <w:sz w:val="18"/>
              </w:rPr>
              <w:t>Descripción del conjunto de datos</w:t>
            </w:r>
          </w:p>
        </w:tc>
        <w:tc>
          <w:tcPr>
            <w:tcW w:type="dxa" w:w="3458"/>
          </w:tcPr>
          <w:p>
            <w:pPr>
              <w:spacing w:after="40"/>
            </w:pPr>
            <w:r/>
            <w:r>
              <w:rPr>
                <w:b w:val="0"/>
                <w:sz w:val="18"/>
              </w:rPr>
              <w:t>Gineth Katerine Arias Carrillo</w:t>
            </w:r>
          </w:p>
        </w:tc>
      </w:tr>
      <w:tr>
        <w:tc>
          <w:tcPr>
            <w:tcW w:type="dxa" w:w="5953"/>
          </w:tcPr>
          <w:p>
            <w:pPr>
              <w:spacing w:after="40"/>
            </w:pPr>
            <w:r/>
            <w:r>
              <w:rPr>
                <w:b w:val="0"/>
                <w:sz w:val="18"/>
              </w:rPr>
              <w:t>Exploración de los datos</w:t>
            </w:r>
          </w:p>
        </w:tc>
        <w:tc>
          <w:tcPr>
            <w:tcW w:type="dxa" w:w="3458"/>
          </w:tcPr>
          <w:p>
            <w:pPr>
              <w:spacing w:after="40"/>
            </w:pPr>
            <w:r/>
            <w:r>
              <w:rPr>
                <w:b w:val="0"/>
                <w:sz w:val="18"/>
              </w:rPr>
              <w:t>Gineth Katerine Arias Carrillo</w:t>
            </w:r>
          </w:p>
        </w:tc>
      </w:tr>
      <w:tr>
        <w:tc>
          <w:tcPr>
            <w:tcW w:type="dxa" w:w="5953"/>
          </w:tcPr>
          <w:p>
            <w:pPr>
              <w:spacing w:after="40"/>
            </w:pPr>
            <w:r/>
            <w:r>
              <w:rPr>
                <w:b w:val="0"/>
                <w:sz w:val="18"/>
              </w:rPr>
              <w:t>Maqueta del prototipo</w:t>
            </w:r>
          </w:p>
        </w:tc>
        <w:tc>
          <w:tcPr>
            <w:tcW w:type="dxa" w:w="3458"/>
          </w:tcPr>
          <w:p>
            <w:pPr>
              <w:spacing w:after="40"/>
            </w:pPr>
            <w:r/>
            <w:r>
              <w:rPr>
                <w:b w:val="0"/>
                <w:sz w:val="18"/>
              </w:rPr>
              <w:t>Gineth Katerine Arias Carrillo, Jasbyn Rainier Solano Carrillo</w:t>
            </w:r>
          </w:p>
        </w:tc>
      </w:tr>
      <w:tr>
        <w:tc>
          <w:tcPr>
            <w:tcW w:type="dxa" w:w="5953"/>
          </w:tcPr>
          <w:p>
            <w:pPr>
              <w:spacing w:after="40"/>
            </w:pPr>
            <w:r/>
            <w:r>
              <w:rPr>
                <w:b w:val="0"/>
                <w:sz w:val="18"/>
              </w:rPr>
              <w:t>Repositorios creados</w:t>
            </w:r>
          </w:p>
        </w:tc>
        <w:tc>
          <w:tcPr>
            <w:tcW w:type="dxa" w:w="3458"/>
          </w:tcPr>
          <w:p>
            <w:pPr>
              <w:spacing w:after="40"/>
            </w:pPr>
            <w:r/>
            <w:r>
              <w:rPr>
                <w:b w:val="0"/>
                <w:sz w:val="18"/>
              </w:rPr>
              <w:t>Gineth Katerine Arias Carrillo</w:t>
            </w:r>
          </w:p>
        </w:tc>
      </w:tr>
      <w:tr>
        <w:tc>
          <w:tcPr>
            <w:tcW w:type="dxa" w:w="5953"/>
          </w:tcPr>
          <w:p>
            <w:pPr>
              <w:spacing w:after="40"/>
            </w:pPr>
            <w:r/>
            <w:r>
              <w:rPr>
                <w:b w:val="0"/>
                <w:sz w:val="18"/>
              </w:rPr>
              <w:t>Revisión y ajuste del reporte</w:t>
            </w:r>
          </w:p>
        </w:tc>
        <w:tc>
          <w:tcPr>
            <w:tcW w:type="dxa" w:w="3458"/>
          </w:tcPr>
          <w:p>
            <w:pPr>
              <w:spacing w:after="40"/>
            </w:pPr>
            <w:r/>
            <w:r>
              <w:rPr>
                <w:b w:val="0"/>
                <w:sz w:val="18"/>
              </w:rPr>
              <w:t>Camilo Rodríguez Dueñas</w:t>
            </w:r>
          </w:p>
        </w:tc>
      </w:tr>
    </w:tbl>
    <w:p>
      <w:pPr>
        <w:spacing w:after="80"/>
      </w:pPr>
    </w:p>
    <w:p>
      <w:pPr>
        <w:pStyle w:val="Heading1"/>
      </w:pPr>
      <w:r>
        <w:t>9. Referencias</w:t>
      </w:r>
    </w:p>
    <w:p>
      <w:r>
        <w:rPr>
          <w:b w:val="0"/>
          <w:i w:val="0"/>
          <w:sz w:val="19"/>
        </w:rPr>
        <w:t>Clore, J., Cios, K., DeShazo, J., &amp; Strack, B. (2014). Diabetes 130-US Hospitals for Years 1999-2008 [Dataset]. UCI Machine Learning Repository. https://doi.org/10.24432/C5230J</w:t>
      </w:r>
    </w:p>
    <w:p>
      <w:r>
        <w:rPr>
          <w:b w:val="0"/>
          <w:i w:val="0"/>
          <w:sz w:val="19"/>
        </w:rPr>
        <w:t>Strack, B., DeShazo, J. P., Gennings, C., Olmo, J. L., Ventura, S., Cios, K. J., &amp; Clore, J. N. (2014). Impact of HbA1c measurement on hospital readmission rates: Analysis of 70,000 clinical database patient records. BioMed Research International, 2014, Article 781670. https://doi.org/10.1155/2014/781670</w:t>
      </w:r>
    </w:p>
    <w:p>
      <w:pPr>
        <w:pStyle w:val="Heading1"/>
      </w:pPr>
      <w:r>
        <w:t>Soportes de la entrega</w:t>
      </w:r>
    </w:p>
    <w:p>
      <w:pPr>
        <w:pStyle w:val="ListBullet"/>
      </w:pPr>
      <w:r>
        <w:rPr>
          <w:b w:val="0"/>
          <w:i w:val="0"/>
        </w:rPr>
        <w:t>Repositorio, con el historial de commits y las ramas: https://github.com/katterine2558/microproyecto-desarrollo-soluciones</w:t>
      </w:r>
    </w:p>
    <w:p>
      <w:pPr>
        <w:pStyle w:val="ListBullet"/>
      </w:pPr>
      <w:r>
        <w:rPr>
          <w:b w:val="0"/>
          <w:i w:val="0"/>
        </w:rPr>
        <w:t>Conjunto de datos original, UCI 296, licencia CC BY 4.0: https://archive.ics.uci.edu/dataset/296/diabetes+130-us+hospitals+for+years+1999-2008</w:t>
      </w:r>
    </w:p>
    <w:p>
      <w:pPr>
        <w:pStyle w:val="ListBullet"/>
      </w:pPr>
      <w:r>
        <w:rPr>
          <w:b w:val="0"/>
          <w:i w:val="0"/>
        </w:rPr>
        <w:t>Remoto DVC de los datos, lectura pública: s3://maia-pds-diabetes-dvc-982005835034</w:t>
      </w:r>
    </w:p>
    <w:p>
      <w:pPr>
        <w:pStyle w:val="ListBullet"/>
      </w:pPr>
      <w:r>
        <w:rPr>
          <w:b w:val="0"/>
          <w:i w:val="0"/>
        </w:rPr>
        <w:t>Notebook de exploración, nueve secciones ejecutadas: https://github.com/katterine2558/microproyecto-desarrollo-soluciones/blob/main/notebooks/eda.ipynb</w:t>
      </w:r>
    </w:p>
    <w:p>
      <w:pPr>
        <w:pStyle w:val="ListBullet"/>
      </w:pPr>
      <w:r>
        <w:rPr>
          <w:b w:val="0"/>
          <w:i w:val="0"/>
        </w:rPr>
        <w:t>Diccionario de las 50 variables: https://github.com/katterine2558/microproyecto-desarrollo-soluciones/blob/main/docs/diccionario-variables.md</w:t>
      </w:r>
    </w:p>
    <w:p>
      <w:pPr>
        <w:pStyle w:val="ListBullet"/>
      </w:pPr>
      <w:r>
        <w:rPr>
          <w:b w:val="0"/>
          <w:i w:val="0"/>
        </w:rPr>
        <w:t>Huellas SHA-256 y URL de descarga de los datos: https://github.com/katterine2558/microproyecto-desarrollo-soluciones/blob/main/docs/soportes/checksums-datos-crudos.txt</w:t>
      </w:r>
    </w:p>
    <w:p>
      <w:pPr>
        <w:pStyle w:val="ListBullet"/>
      </w:pPr>
      <w:r>
        <w:rPr>
          <w:b w:val="0"/>
          <w:i w:val="0"/>
        </w:rPr>
        <w:t>Maqueta, pantallas: https://github.com/katterine2558/microproyecto-desarrollo-soluciones/blob/main/docs/maqueta/pantallas.html</w:t>
      </w:r>
    </w:p>
    <w:p>
      <w:pPr>
        <w:pStyle w:val="ListBullet"/>
      </w:pPr>
      <w:r>
        <w:rPr>
          <w:b w:val="0"/>
          <w:i w:val="0"/>
        </w:rPr>
        <w:t>Maqueta, memoria de los trece elementos: https://github.com/katterine2558/microproyecto-desarrollo-soluciones/blob/main/docs/maqueta/memoria.html</w:t>
      </w:r>
    </w:p>
    <w:p>
      <w:pPr>
        <w:pStyle w:val="ListBullet"/>
      </w:pPr>
      <w:r>
        <w:rPr>
          <w:b w:val="0"/>
          <w:i w:val="0"/>
        </w:rPr>
        <w:t>Figuras en resolución completa: https://github.com/katterine2558/microproyecto-desarrollo-soluciones/tree/main/docs/entregas/figuras</w:t>
      </w:r>
    </w:p>
    <w:p>
      <w:pPr>
        <w:pStyle w:val="ListBullet"/>
      </w:pPr>
      <w:r>
        <w:rPr>
          <w:b w:val="0"/>
          <w:i w:val="0"/>
        </w:rPr>
        <w:t>Política IAM del remoto de datos: https://github.com/katterine2558/microproyecto-desarrollo-soluciones/blob/main/docs/soportes/politica-iam-dvc.json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jc w:val="left"/>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Calibri" w:hAnsi="Calibri"/>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