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DC5" w:rsidRPr="00023351" w:rsidRDefault="00F87E6A" w:rsidP="00F87E6A">
      <w:pPr>
        <w:widowControl w:val="0"/>
        <w:tabs>
          <w:tab w:val="left" w:pos="5420"/>
        </w:tabs>
        <w:ind w:firstLine="0"/>
        <w:jc w:val="center"/>
        <w:rPr>
          <w:highlight w:val="yellow"/>
        </w:rPr>
      </w:pPr>
      <w:r w:rsidRPr="00023351">
        <w:rPr>
          <w:smallCaps/>
          <w:highlight w:val="yellow"/>
        </w:rPr>
        <w:t xml:space="preserve">ФЕДЕРАЛЬНОЕ </w:t>
      </w:r>
      <w:r w:rsidR="00975DC5" w:rsidRPr="00023351">
        <w:rPr>
          <w:smallCaps/>
          <w:highlight w:val="yellow"/>
        </w:rPr>
        <w:t>ГОСУДАРСТВЕННОЕ АВТОНОМНОЕ ОБРАЗОВАТЕЛЬНОЕ УЧРЕЖДЕНИЕ ВЫСШЕГО ОБРАЗОВАНИЯ</w:t>
      </w:r>
    </w:p>
    <w:p w:rsidR="00975DC5" w:rsidRPr="00023351" w:rsidRDefault="00975DC5" w:rsidP="00975DC5">
      <w:pPr>
        <w:widowControl w:val="0"/>
        <w:tabs>
          <w:tab w:val="left" w:pos="5420"/>
        </w:tabs>
        <w:jc w:val="center"/>
        <w:rPr>
          <w:highlight w:val="yellow"/>
        </w:rPr>
      </w:pPr>
      <w:r w:rsidRPr="00023351">
        <w:rPr>
          <w:smallCaps/>
          <w:highlight w:val="yellow"/>
        </w:rPr>
        <w:t>НАЦИОНАЛЬНЫЙ ИССЛЕДОВАТЕЛЬСКИЙ УНИВЕРСИТЕТ</w:t>
      </w:r>
    </w:p>
    <w:p w:rsidR="00975DC5" w:rsidRPr="00023351" w:rsidRDefault="00975DC5" w:rsidP="00975DC5">
      <w:pPr>
        <w:widowControl w:val="0"/>
        <w:tabs>
          <w:tab w:val="left" w:pos="5420"/>
        </w:tabs>
        <w:jc w:val="center"/>
        <w:rPr>
          <w:highlight w:val="yellow"/>
        </w:rPr>
      </w:pPr>
      <w:r w:rsidRPr="00023351">
        <w:rPr>
          <w:smallCaps/>
          <w:highlight w:val="yellow"/>
        </w:rPr>
        <w:t>«ВЫСШАЯ ШКОЛА ЭКОНОМИКИ»</w:t>
      </w:r>
    </w:p>
    <w:p w:rsidR="00975DC5" w:rsidRPr="00023351" w:rsidRDefault="00975DC5" w:rsidP="00975DC5">
      <w:pPr>
        <w:shd w:val="clear" w:color="auto" w:fill="FFFFFF"/>
        <w:tabs>
          <w:tab w:val="left" w:leader="underscore" w:pos="4766"/>
        </w:tabs>
        <w:spacing w:before="302"/>
        <w:ind w:left="67" w:firstLine="720"/>
        <w:jc w:val="center"/>
        <w:rPr>
          <w:highlight w:val="yellow"/>
        </w:rPr>
      </w:pPr>
      <w:r w:rsidRPr="00023351">
        <w:rPr>
          <w:bCs/>
          <w:highlight w:val="yellow"/>
        </w:rPr>
        <w:t>Факультет экономических наук</w:t>
      </w:r>
    </w:p>
    <w:p w:rsidR="00975DC5" w:rsidRPr="00023351" w:rsidRDefault="00975DC5" w:rsidP="00ED3D50">
      <w:pPr>
        <w:rPr>
          <w:highlight w:val="yellow"/>
        </w:rPr>
      </w:pPr>
    </w:p>
    <w:p w:rsidR="00975DC5" w:rsidRPr="00023351" w:rsidRDefault="00975DC5" w:rsidP="00ED3D50">
      <w:pPr>
        <w:rPr>
          <w:highlight w:val="yellow"/>
        </w:rPr>
      </w:pPr>
    </w:p>
    <w:p w:rsidR="00975DC5" w:rsidRPr="00023351" w:rsidRDefault="00975DC5" w:rsidP="00ED3D50">
      <w:pPr>
        <w:rPr>
          <w:highlight w:val="yellow"/>
        </w:rPr>
      </w:pPr>
    </w:p>
    <w:p w:rsidR="00975DC5" w:rsidRPr="00023351" w:rsidRDefault="00F87E6A" w:rsidP="00ED3D50">
      <w:pPr>
        <w:jc w:val="center"/>
        <w:rPr>
          <w:highlight w:val="yellow"/>
        </w:rPr>
      </w:pPr>
      <w:r w:rsidRPr="00023351">
        <w:rPr>
          <w:highlight w:val="yellow"/>
        </w:rPr>
        <w:t>Лузина Екатерина Кирилловна</w:t>
      </w:r>
    </w:p>
    <w:p w:rsidR="00975DC5" w:rsidRPr="00023351" w:rsidRDefault="00975DC5" w:rsidP="00975DC5">
      <w:pPr>
        <w:rPr>
          <w:highlight w:val="yellow"/>
        </w:rPr>
      </w:pPr>
    </w:p>
    <w:p w:rsidR="00975DC5" w:rsidRPr="00023351" w:rsidRDefault="00975DC5" w:rsidP="00975DC5">
      <w:pPr>
        <w:jc w:val="center"/>
        <w:rPr>
          <w:b/>
          <w:i/>
          <w:highlight w:val="yellow"/>
        </w:rPr>
      </w:pPr>
      <w:r w:rsidRPr="00023351">
        <w:rPr>
          <w:b/>
          <w:i/>
          <w:highlight w:val="yellow"/>
        </w:rPr>
        <w:t>«</w:t>
      </w:r>
      <w:r w:rsidR="00F87E6A" w:rsidRPr="00023351">
        <w:rPr>
          <w:b/>
          <w:i/>
          <w:highlight w:val="yellow"/>
        </w:rPr>
        <w:t>Использование высокочастотных данных для оценки рыночного риска и риска рыночной ликвидности</w:t>
      </w:r>
      <w:r w:rsidRPr="00023351">
        <w:rPr>
          <w:b/>
          <w:i/>
          <w:highlight w:val="yellow"/>
        </w:rPr>
        <w:t>»</w:t>
      </w:r>
    </w:p>
    <w:p w:rsidR="00975DC5" w:rsidRPr="00023351" w:rsidRDefault="00975DC5" w:rsidP="00975DC5">
      <w:pPr>
        <w:rPr>
          <w:highlight w:val="yellow"/>
        </w:rPr>
      </w:pPr>
    </w:p>
    <w:p w:rsidR="00975DC5" w:rsidRPr="00023351" w:rsidRDefault="00975DC5" w:rsidP="00ED3D50">
      <w:pPr>
        <w:jc w:val="center"/>
        <w:rPr>
          <w:i/>
          <w:iCs/>
          <w:highlight w:val="yellow"/>
        </w:rPr>
      </w:pPr>
      <w:r w:rsidRPr="00023351">
        <w:rPr>
          <w:highlight w:val="yellow"/>
        </w:rPr>
        <w:t>Курсовая работа</w:t>
      </w:r>
    </w:p>
    <w:p w:rsidR="00975DC5" w:rsidRPr="00023351" w:rsidRDefault="00975DC5" w:rsidP="00975DC5">
      <w:pPr>
        <w:jc w:val="center"/>
        <w:rPr>
          <w:highlight w:val="yellow"/>
        </w:rPr>
      </w:pPr>
      <w:r w:rsidRPr="00023351">
        <w:rPr>
          <w:highlight w:val="yellow"/>
        </w:rPr>
        <w:t>по направлению подготовки 38.04.08 Финансы и кредит</w:t>
      </w:r>
    </w:p>
    <w:p w:rsidR="00975DC5" w:rsidRPr="00023351" w:rsidRDefault="00975DC5" w:rsidP="00ED3D50">
      <w:pPr>
        <w:jc w:val="center"/>
        <w:rPr>
          <w:highlight w:val="yellow"/>
        </w:rPr>
      </w:pPr>
      <w:r w:rsidRPr="00023351">
        <w:rPr>
          <w:highlight w:val="yellow"/>
        </w:rPr>
        <w:t>Образовательная программа "Финансовые рынки и финансовые институты"</w:t>
      </w:r>
    </w:p>
    <w:p w:rsidR="00975DC5" w:rsidRPr="00023351" w:rsidRDefault="00975DC5" w:rsidP="00975DC5">
      <w:pPr>
        <w:jc w:val="center"/>
        <w:rPr>
          <w:highlight w:val="yellow"/>
        </w:rPr>
      </w:pPr>
    </w:p>
    <w:p w:rsidR="00975DC5" w:rsidRPr="00023351" w:rsidRDefault="00975DC5" w:rsidP="00975DC5">
      <w:pPr>
        <w:jc w:val="center"/>
        <w:rPr>
          <w:highlight w:val="yellow"/>
        </w:rPr>
      </w:pPr>
    </w:p>
    <w:p w:rsidR="00975DC5" w:rsidRPr="00023351" w:rsidRDefault="00975DC5" w:rsidP="00975DC5">
      <w:pPr>
        <w:jc w:val="center"/>
        <w:rPr>
          <w:highlight w:val="yellow"/>
        </w:rPr>
      </w:pPr>
    </w:p>
    <w:p w:rsidR="00975DC5" w:rsidRPr="00023351" w:rsidRDefault="00975DC5" w:rsidP="00975DC5">
      <w:pPr>
        <w:jc w:val="center"/>
        <w:rPr>
          <w:highlight w:val="yellow"/>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6"/>
        <w:gridCol w:w="3473"/>
      </w:tblGrid>
      <w:tr w:rsidR="00975DC5" w:rsidRPr="00023351" w:rsidTr="00B05CE1">
        <w:tc>
          <w:tcPr>
            <w:tcW w:w="6062" w:type="dxa"/>
          </w:tcPr>
          <w:p w:rsidR="00975DC5" w:rsidRPr="00023351" w:rsidRDefault="00975DC5" w:rsidP="00F87E6A">
            <w:pPr>
              <w:shd w:val="clear" w:color="auto" w:fill="FFFFFF"/>
              <w:tabs>
                <w:tab w:val="left" w:pos="9600"/>
              </w:tabs>
              <w:ind w:left="6118" w:right="45" w:hanging="6118"/>
              <w:rPr>
                <w:highlight w:val="yellow"/>
              </w:rPr>
            </w:pPr>
          </w:p>
        </w:tc>
        <w:tc>
          <w:tcPr>
            <w:tcW w:w="3509" w:type="dxa"/>
          </w:tcPr>
          <w:p w:rsidR="00975DC5" w:rsidRPr="00023351" w:rsidRDefault="00975DC5" w:rsidP="00B05CE1">
            <w:pPr>
              <w:shd w:val="clear" w:color="auto" w:fill="FFFFFF"/>
              <w:tabs>
                <w:tab w:val="left" w:pos="9600"/>
              </w:tabs>
              <w:ind w:right="45"/>
              <w:rPr>
                <w:highlight w:val="yellow"/>
              </w:rPr>
            </w:pPr>
            <w:r w:rsidRPr="00023351">
              <w:rPr>
                <w:highlight w:val="yellow"/>
              </w:rPr>
              <w:t xml:space="preserve">Руководитель </w:t>
            </w:r>
          </w:p>
          <w:p w:rsidR="00975DC5" w:rsidRPr="00023351" w:rsidRDefault="00F87E6A" w:rsidP="00B05CE1">
            <w:pPr>
              <w:rPr>
                <w:highlight w:val="yellow"/>
              </w:rPr>
            </w:pPr>
            <w:r w:rsidRPr="00023351">
              <w:rPr>
                <w:highlight w:val="yellow"/>
              </w:rPr>
              <w:t>Мл. научный сотрудник</w:t>
            </w:r>
            <w:r w:rsidR="00975DC5" w:rsidRPr="00023351">
              <w:rPr>
                <w:highlight w:val="yellow"/>
              </w:rPr>
              <w:t xml:space="preserve"> </w:t>
            </w:r>
          </w:p>
          <w:p w:rsidR="00975DC5" w:rsidRPr="00023351" w:rsidRDefault="00F87E6A" w:rsidP="00B05CE1">
            <w:pPr>
              <w:rPr>
                <w:highlight w:val="yellow"/>
              </w:rPr>
            </w:pPr>
            <w:proofErr w:type="spellStart"/>
            <w:r w:rsidRPr="00023351">
              <w:rPr>
                <w:highlight w:val="yellow"/>
              </w:rPr>
              <w:t>Курбангалеев</w:t>
            </w:r>
            <w:proofErr w:type="spellEnd"/>
          </w:p>
          <w:p w:rsidR="00975DC5" w:rsidRPr="00023351" w:rsidRDefault="00F87E6A" w:rsidP="00B05CE1">
            <w:pPr>
              <w:rPr>
                <w:highlight w:val="yellow"/>
              </w:rPr>
            </w:pPr>
            <w:r w:rsidRPr="00023351">
              <w:rPr>
                <w:highlight w:val="yellow"/>
              </w:rPr>
              <w:t xml:space="preserve">Марат </w:t>
            </w:r>
            <w:proofErr w:type="spellStart"/>
            <w:r w:rsidRPr="00023351">
              <w:rPr>
                <w:highlight w:val="yellow"/>
              </w:rPr>
              <w:t>Зуфарович</w:t>
            </w:r>
            <w:proofErr w:type="spellEnd"/>
          </w:p>
          <w:p w:rsidR="00975DC5" w:rsidRPr="00023351" w:rsidRDefault="00975DC5" w:rsidP="00B05CE1">
            <w:pPr>
              <w:rPr>
                <w:highlight w:val="yellow"/>
              </w:rPr>
            </w:pPr>
          </w:p>
        </w:tc>
      </w:tr>
      <w:tr w:rsidR="00975DC5" w:rsidRPr="00023351" w:rsidTr="00B05CE1">
        <w:tc>
          <w:tcPr>
            <w:tcW w:w="6062" w:type="dxa"/>
          </w:tcPr>
          <w:p w:rsidR="00975DC5" w:rsidRPr="00023351" w:rsidRDefault="00975DC5" w:rsidP="00B05CE1">
            <w:pPr>
              <w:rPr>
                <w:highlight w:val="yellow"/>
              </w:rPr>
            </w:pPr>
          </w:p>
        </w:tc>
        <w:tc>
          <w:tcPr>
            <w:tcW w:w="3509" w:type="dxa"/>
          </w:tcPr>
          <w:p w:rsidR="00975DC5" w:rsidRPr="00023351" w:rsidRDefault="00975DC5" w:rsidP="00F87E6A">
            <w:pPr>
              <w:rPr>
                <w:highlight w:val="yellow"/>
              </w:rPr>
            </w:pPr>
          </w:p>
          <w:p w:rsidR="00F87E6A" w:rsidRPr="00023351" w:rsidRDefault="00F87E6A" w:rsidP="00F87E6A">
            <w:pPr>
              <w:rPr>
                <w:highlight w:val="yellow"/>
              </w:rPr>
            </w:pPr>
          </w:p>
          <w:p w:rsidR="00F87E6A" w:rsidRPr="00023351" w:rsidRDefault="00F87E6A" w:rsidP="00F87E6A">
            <w:pPr>
              <w:rPr>
                <w:highlight w:val="yellow"/>
              </w:rPr>
            </w:pPr>
          </w:p>
          <w:p w:rsidR="00F87E6A" w:rsidRPr="00023351" w:rsidRDefault="00F87E6A" w:rsidP="00F87E6A">
            <w:pPr>
              <w:rPr>
                <w:highlight w:val="yellow"/>
              </w:rPr>
            </w:pPr>
          </w:p>
          <w:p w:rsidR="00F87E6A" w:rsidRPr="00023351" w:rsidRDefault="00F87E6A" w:rsidP="00F87E6A">
            <w:pPr>
              <w:rPr>
                <w:highlight w:val="yellow"/>
              </w:rPr>
            </w:pPr>
          </w:p>
          <w:p w:rsidR="00F87E6A" w:rsidRPr="00023351" w:rsidRDefault="00F87E6A" w:rsidP="00F87E6A">
            <w:pPr>
              <w:rPr>
                <w:highlight w:val="yellow"/>
              </w:rPr>
            </w:pPr>
          </w:p>
        </w:tc>
      </w:tr>
    </w:tbl>
    <w:p w:rsidR="00975DC5" w:rsidRPr="00023351" w:rsidRDefault="00975DC5" w:rsidP="00975DC5">
      <w:pPr>
        <w:shd w:val="clear" w:color="auto" w:fill="FFFFFF"/>
        <w:rPr>
          <w:highlight w:val="yellow"/>
        </w:rPr>
      </w:pPr>
    </w:p>
    <w:p w:rsidR="00975DC5" w:rsidRPr="00023351" w:rsidRDefault="00975DC5" w:rsidP="00975DC5">
      <w:pPr>
        <w:shd w:val="clear" w:color="auto" w:fill="FFFFFF"/>
        <w:ind w:left="6139" w:hanging="19"/>
        <w:rPr>
          <w:highlight w:val="yellow"/>
        </w:rPr>
      </w:pPr>
    </w:p>
    <w:p w:rsidR="00247608" w:rsidRPr="009B46AA" w:rsidRDefault="00975DC5" w:rsidP="009B46AA">
      <w:pPr>
        <w:shd w:val="clear" w:color="auto" w:fill="FFFFFF"/>
        <w:jc w:val="center"/>
      </w:pPr>
      <w:r w:rsidRPr="00023351">
        <w:rPr>
          <w:highlight w:val="yellow"/>
        </w:rPr>
        <w:t>Москва 2019</w:t>
      </w:r>
    </w:p>
    <w:sdt>
      <w:sdtPr>
        <w:rPr>
          <w:color w:val="000000" w:themeColor="text1"/>
          <w:szCs w:val="28"/>
        </w:rPr>
        <w:id w:val="1634590703"/>
        <w:docPartObj>
          <w:docPartGallery w:val="Table of Contents"/>
          <w:docPartUnique/>
        </w:docPartObj>
      </w:sdtPr>
      <w:sdtEndPr>
        <w:rPr>
          <w:noProof/>
        </w:rPr>
      </w:sdtEndPr>
      <w:sdtContent>
        <w:p w:rsidR="00207012" w:rsidRPr="008F158A" w:rsidRDefault="0086673B" w:rsidP="008F158A">
          <w:pPr>
            <w:spacing w:line="240" w:lineRule="auto"/>
            <w:ind w:firstLine="0"/>
            <w:jc w:val="center"/>
            <w:rPr>
              <w:color w:val="000000" w:themeColor="text1"/>
              <w:szCs w:val="28"/>
            </w:rPr>
          </w:pPr>
          <w:r>
            <w:rPr>
              <w:color w:val="000000" w:themeColor="text1"/>
              <w:szCs w:val="28"/>
            </w:rPr>
            <w:t>О</w:t>
          </w:r>
          <w:r w:rsidRPr="008F158A">
            <w:rPr>
              <w:color w:val="000000" w:themeColor="text1"/>
              <w:szCs w:val="28"/>
            </w:rPr>
            <w:t>главление</w:t>
          </w:r>
        </w:p>
        <w:p w:rsidR="00023351" w:rsidRDefault="008A22F8">
          <w:pPr>
            <w:pStyle w:val="13"/>
            <w:rPr>
              <w:rFonts w:asciiTheme="minorHAnsi" w:eastAsiaTheme="minorEastAsia" w:hAnsiTheme="minorHAnsi"/>
              <w:bCs w:val="0"/>
              <w:noProof/>
              <w:sz w:val="24"/>
              <w:szCs w:val="24"/>
            </w:rPr>
          </w:pPr>
          <w:r>
            <w:rPr>
              <w:b/>
              <w:caps/>
              <w:color w:val="000000" w:themeColor="text1"/>
              <w:szCs w:val="28"/>
            </w:rPr>
            <w:fldChar w:fldCharType="begin"/>
          </w:r>
          <w:r>
            <w:rPr>
              <w:b/>
              <w:caps/>
              <w:color w:val="000000" w:themeColor="text1"/>
              <w:szCs w:val="28"/>
            </w:rPr>
            <w:instrText xml:space="preserve"> TOC \o "1-3" \h \z \u </w:instrText>
          </w:r>
          <w:r>
            <w:rPr>
              <w:b/>
              <w:caps/>
              <w:color w:val="000000" w:themeColor="text1"/>
              <w:szCs w:val="28"/>
            </w:rPr>
            <w:fldChar w:fldCharType="separate"/>
          </w:r>
          <w:hyperlink w:anchor="_Toc38914800" w:history="1">
            <w:r w:rsidR="00023351" w:rsidRPr="00E43FF3">
              <w:rPr>
                <w:rStyle w:val="a6"/>
                <w:noProof/>
              </w:rPr>
              <w:t>Введение</w:t>
            </w:r>
            <w:r w:rsidR="00023351">
              <w:rPr>
                <w:noProof/>
                <w:webHidden/>
              </w:rPr>
              <w:tab/>
            </w:r>
            <w:r w:rsidR="00023351">
              <w:rPr>
                <w:noProof/>
                <w:webHidden/>
              </w:rPr>
              <w:fldChar w:fldCharType="begin"/>
            </w:r>
            <w:r w:rsidR="00023351">
              <w:rPr>
                <w:noProof/>
                <w:webHidden/>
              </w:rPr>
              <w:instrText xml:space="preserve"> PAGEREF _Toc38914800 \h </w:instrText>
            </w:r>
            <w:r w:rsidR="00023351">
              <w:rPr>
                <w:noProof/>
                <w:webHidden/>
              </w:rPr>
            </w:r>
            <w:r w:rsidR="00023351">
              <w:rPr>
                <w:noProof/>
                <w:webHidden/>
              </w:rPr>
              <w:fldChar w:fldCharType="separate"/>
            </w:r>
            <w:r w:rsidR="00023351">
              <w:rPr>
                <w:noProof/>
                <w:webHidden/>
              </w:rPr>
              <w:t>3</w:t>
            </w:r>
            <w:r w:rsidR="00023351">
              <w:rPr>
                <w:noProof/>
                <w:webHidden/>
              </w:rPr>
              <w:fldChar w:fldCharType="end"/>
            </w:r>
          </w:hyperlink>
        </w:p>
        <w:p w:rsidR="00023351" w:rsidRDefault="009A6400">
          <w:pPr>
            <w:pStyle w:val="13"/>
            <w:tabs>
              <w:tab w:val="left" w:pos="1200"/>
            </w:tabs>
            <w:rPr>
              <w:rFonts w:asciiTheme="minorHAnsi" w:eastAsiaTheme="minorEastAsia" w:hAnsiTheme="minorHAnsi"/>
              <w:bCs w:val="0"/>
              <w:noProof/>
              <w:sz w:val="24"/>
              <w:szCs w:val="24"/>
            </w:rPr>
          </w:pPr>
          <w:hyperlink w:anchor="_Toc38914801" w:history="1">
            <w:r w:rsidR="00023351" w:rsidRPr="00E43FF3">
              <w:rPr>
                <w:rStyle w:val="a6"/>
                <w:noProof/>
              </w:rPr>
              <w:t>1.</w:t>
            </w:r>
            <w:r w:rsidR="00023351">
              <w:rPr>
                <w:rFonts w:asciiTheme="minorHAnsi" w:eastAsiaTheme="minorEastAsia" w:hAnsiTheme="minorHAnsi"/>
                <w:bCs w:val="0"/>
                <w:noProof/>
                <w:sz w:val="24"/>
                <w:szCs w:val="24"/>
              </w:rPr>
              <w:tab/>
            </w:r>
            <w:r w:rsidR="00023351" w:rsidRPr="00E43FF3">
              <w:rPr>
                <w:rStyle w:val="a6"/>
                <w:noProof/>
              </w:rPr>
              <w:t>Обзор литературы</w:t>
            </w:r>
            <w:r w:rsidR="00023351">
              <w:rPr>
                <w:noProof/>
                <w:webHidden/>
              </w:rPr>
              <w:tab/>
            </w:r>
            <w:r w:rsidR="00023351">
              <w:rPr>
                <w:noProof/>
                <w:webHidden/>
              </w:rPr>
              <w:fldChar w:fldCharType="begin"/>
            </w:r>
            <w:r w:rsidR="00023351">
              <w:rPr>
                <w:noProof/>
                <w:webHidden/>
              </w:rPr>
              <w:instrText xml:space="preserve"> PAGEREF _Toc38914801 \h </w:instrText>
            </w:r>
            <w:r w:rsidR="00023351">
              <w:rPr>
                <w:noProof/>
                <w:webHidden/>
              </w:rPr>
            </w:r>
            <w:r w:rsidR="00023351">
              <w:rPr>
                <w:noProof/>
                <w:webHidden/>
              </w:rPr>
              <w:fldChar w:fldCharType="separate"/>
            </w:r>
            <w:r w:rsidR="00023351">
              <w:rPr>
                <w:noProof/>
                <w:webHidden/>
              </w:rPr>
              <w:t>4</w:t>
            </w:r>
            <w:r w:rsidR="00023351">
              <w:rPr>
                <w:noProof/>
                <w:webHidden/>
              </w:rPr>
              <w:fldChar w:fldCharType="end"/>
            </w:r>
          </w:hyperlink>
        </w:p>
        <w:p w:rsidR="00023351" w:rsidRDefault="009A6400">
          <w:pPr>
            <w:pStyle w:val="21"/>
            <w:rPr>
              <w:rFonts w:asciiTheme="minorHAnsi" w:eastAsiaTheme="minorEastAsia" w:hAnsiTheme="minorHAnsi"/>
              <w:noProof/>
              <w:sz w:val="24"/>
              <w:szCs w:val="24"/>
            </w:rPr>
          </w:pPr>
          <w:hyperlink w:anchor="_Toc38914802" w:history="1">
            <w:r w:rsidR="00023351" w:rsidRPr="00E43FF3">
              <w:rPr>
                <w:rStyle w:val="a6"/>
                <w:noProof/>
              </w:rPr>
              <w:t>Общее</w:t>
            </w:r>
            <w:r w:rsidR="00023351">
              <w:rPr>
                <w:noProof/>
                <w:webHidden/>
              </w:rPr>
              <w:tab/>
            </w:r>
            <w:r w:rsidR="00023351">
              <w:rPr>
                <w:noProof/>
                <w:webHidden/>
              </w:rPr>
              <w:fldChar w:fldCharType="begin"/>
            </w:r>
            <w:r w:rsidR="00023351">
              <w:rPr>
                <w:noProof/>
                <w:webHidden/>
              </w:rPr>
              <w:instrText xml:space="preserve"> PAGEREF _Toc38914802 \h </w:instrText>
            </w:r>
            <w:r w:rsidR="00023351">
              <w:rPr>
                <w:noProof/>
                <w:webHidden/>
              </w:rPr>
            </w:r>
            <w:r w:rsidR="00023351">
              <w:rPr>
                <w:noProof/>
                <w:webHidden/>
              </w:rPr>
              <w:fldChar w:fldCharType="separate"/>
            </w:r>
            <w:r w:rsidR="00023351">
              <w:rPr>
                <w:noProof/>
                <w:webHidden/>
              </w:rPr>
              <w:t>4</w:t>
            </w:r>
            <w:r w:rsidR="00023351">
              <w:rPr>
                <w:noProof/>
                <w:webHidden/>
              </w:rPr>
              <w:fldChar w:fldCharType="end"/>
            </w:r>
          </w:hyperlink>
        </w:p>
        <w:p w:rsidR="00023351" w:rsidRDefault="009A6400">
          <w:pPr>
            <w:pStyle w:val="21"/>
            <w:rPr>
              <w:rFonts w:asciiTheme="minorHAnsi" w:eastAsiaTheme="minorEastAsia" w:hAnsiTheme="minorHAnsi"/>
              <w:noProof/>
              <w:sz w:val="24"/>
              <w:szCs w:val="24"/>
            </w:rPr>
          </w:pPr>
          <w:hyperlink w:anchor="_Toc38914803" w:history="1">
            <w:r w:rsidR="00023351" w:rsidRPr="00E43FF3">
              <w:rPr>
                <w:rStyle w:val="a6"/>
                <w:noProof/>
              </w:rPr>
              <w:t>Определение ликвидности</w:t>
            </w:r>
            <w:r w:rsidR="00023351">
              <w:rPr>
                <w:noProof/>
                <w:webHidden/>
              </w:rPr>
              <w:tab/>
            </w:r>
            <w:r w:rsidR="00023351">
              <w:rPr>
                <w:noProof/>
                <w:webHidden/>
              </w:rPr>
              <w:fldChar w:fldCharType="begin"/>
            </w:r>
            <w:r w:rsidR="00023351">
              <w:rPr>
                <w:noProof/>
                <w:webHidden/>
              </w:rPr>
              <w:instrText xml:space="preserve"> PAGEREF _Toc38914803 \h </w:instrText>
            </w:r>
            <w:r w:rsidR="00023351">
              <w:rPr>
                <w:noProof/>
                <w:webHidden/>
              </w:rPr>
            </w:r>
            <w:r w:rsidR="00023351">
              <w:rPr>
                <w:noProof/>
                <w:webHidden/>
              </w:rPr>
              <w:fldChar w:fldCharType="separate"/>
            </w:r>
            <w:r w:rsidR="00023351">
              <w:rPr>
                <w:noProof/>
                <w:webHidden/>
              </w:rPr>
              <w:t>4</w:t>
            </w:r>
            <w:r w:rsidR="00023351">
              <w:rPr>
                <w:noProof/>
                <w:webHidden/>
              </w:rPr>
              <w:fldChar w:fldCharType="end"/>
            </w:r>
          </w:hyperlink>
        </w:p>
        <w:p w:rsidR="00023351" w:rsidRDefault="009A6400">
          <w:pPr>
            <w:pStyle w:val="21"/>
            <w:rPr>
              <w:rFonts w:asciiTheme="minorHAnsi" w:eastAsiaTheme="minorEastAsia" w:hAnsiTheme="minorHAnsi"/>
              <w:noProof/>
              <w:sz w:val="24"/>
              <w:szCs w:val="24"/>
            </w:rPr>
          </w:pPr>
          <w:hyperlink w:anchor="_Toc38914804" w:history="1">
            <w:r w:rsidR="00023351" w:rsidRPr="00E43FF3">
              <w:rPr>
                <w:rStyle w:val="a6"/>
                <w:noProof/>
              </w:rPr>
              <w:t>Оценка ликвидности</w:t>
            </w:r>
            <w:r w:rsidR="00023351">
              <w:rPr>
                <w:noProof/>
                <w:webHidden/>
              </w:rPr>
              <w:tab/>
            </w:r>
            <w:r w:rsidR="00023351">
              <w:rPr>
                <w:noProof/>
                <w:webHidden/>
              </w:rPr>
              <w:fldChar w:fldCharType="begin"/>
            </w:r>
            <w:r w:rsidR="00023351">
              <w:rPr>
                <w:noProof/>
                <w:webHidden/>
              </w:rPr>
              <w:instrText xml:space="preserve"> PAGEREF _Toc38914804 \h </w:instrText>
            </w:r>
            <w:r w:rsidR="00023351">
              <w:rPr>
                <w:noProof/>
                <w:webHidden/>
              </w:rPr>
            </w:r>
            <w:r w:rsidR="00023351">
              <w:rPr>
                <w:noProof/>
                <w:webHidden/>
              </w:rPr>
              <w:fldChar w:fldCharType="separate"/>
            </w:r>
            <w:r w:rsidR="00023351">
              <w:rPr>
                <w:noProof/>
                <w:webHidden/>
              </w:rPr>
              <w:t>5</w:t>
            </w:r>
            <w:r w:rsidR="00023351">
              <w:rPr>
                <w:noProof/>
                <w:webHidden/>
              </w:rPr>
              <w:fldChar w:fldCharType="end"/>
            </w:r>
          </w:hyperlink>
        </w:p>
        <w:p w:rsidR="00023351" w:rsidRDefault="009A6400">
          <w:pPr>
            <w:pStyle w:val="21"/>
            <w:rPr>
              <w:rFonts w:asciiTheme="minorHAnsi" w:eastAsiaTheme="minorEastAsia" w:hAnsiTheme="minorHAnsi"/>
              <w:noProof/>
              <w:sz w:val="24"/>
              <w:szCs w:val="24"/>
            </w:rPr>
          </w:pPr>
          <w:hyperlink w:anchor="_Toc38914805" w:history="1">
            <w:r w:rsidR="00023351" w:rsidRPr="00E43FF3">
              <w:rPr>
                <w:rStyle w:val="a6"/>
                <w:noProof/>
              </w:rPr>
              <w:t>Скрытая ликвидность</w:t>
            </w:r>
            <w:r w:rsidR="00023351">
              <w:rPr>
                <w:noProof/>
                <w:webHidden/>
              </w:rPr>
              <w:tab/>
            </w:r>
            <w:r w:rsidR="00023351">
              <w:rPr>
                <w:noProof/>
                <w:webHidden/>
              </w:rPr>
              <w:fldChar w:fldCharType="begin"/>
            </w:r>
            <w:r w:rsidR="00023351">
              <w:rPr>
                <w:noProof/>
                <w:webHidden/>
              </w:rPr>
              <w:instrText xml:space="preserve"> PAGEREF _Toc38914805 \h </w:instrText>
            </w:r>
            <w:r w:rsidR="00023351">
              <w:rPr>
                <w:noProof/>
                <w:webHidden/>
              </w:rPr>
            </w:r>
            <w:r w:rsidR="00023351">
              <w:rPr>
                <w:noProof/>
                <w:webHidden/>
              </w:rPr>
              <w:fldChar w:fldCharType="separate"/>
            </w:r>
            <w:r w:rsidR="00023351">
              <w:rPr>
                <w:noProof/>
                <w:webHidden/>
              </w:rPr>
              <w:t>9</w:t>
            </w:r>
            <w:r w:rsidR="00023351">
              <w:rPr>
                <w:noProof/>
                <w:webHidden/>
              </w:rPr>
              <w:fldChar w:fldCharType="end"/>
            </w:r>
          </w:hyperlink>
        </w:p>
        <w:p w:rsidR="00023351" w:rsidRDefault="009A6400">
          <w:pPr>
            <w:pStyle w:val="21"/>
            <w:rPr>
              <w:rFonts w:asciiTheme="minorHAnsi" w:eastAsiaTheme="minorEastAsia" w:hAnsiTheme="minorHAnsi"/>
              <w:noProof/>
              <w:sz w:val="24"/>
              <w:szCs w:val="24"/>
            </w:rPr>
          </w:pPr>
          <w:hyperlink w:anchor="_Toc38914806" w:history="1">
            <w:r w:rsidR="00023351" w:rsidRPr="00E43FF3">
              <w:rPr>
                <w:rStyle w:val="a6"/>
                <w:noProof/>
              </w:rPr>
              <w:t>Высокочастотная торговля</w:t>
            </w:r>
            <w:r w:rsidR="00023351">
              <w:rPr>
                <w:noProof/>
                <w:webHidden/>
              </w:rPr>
              <w:tab/>
            </w:r>
            <w:r w:rsidR="00023351">
              <w:rPr>
                <w:noProof/>
                <w:webHidden/>
              </w:rPr>
              <w:fldChar w:fldCharType="begin"/>
            </w:r>
            <w:r w:rsidR="00023351">
              <w:rPr>
                <w:noProof/>
                <w:webHidden/>
              </w:rPr>
              <w:instrText xml:space="preserve"> PAGEREF _Toc38914806 \h </w:instrText>
            </w:r>
            <w:r w:rsidR="00023351">
              <w:rPr>
                <w:noProof/>
                <w:webHidden/>
              </w:rPr>
            </w:r>
            <w:r w:rsidR="00023351">
              <w:rPr>
                <w:noProof/>
                <w:webHidden/>
              </w:rPr>
              <w:fldChar w:fldCharType="separate"/>
            </w:r>
            <w:r w:rsidR="00023351">
              <w:rPr>
                <w:noProof/>
                <w:webHidden/>
              </w:rPr>
              <w:t>13</w:t>
            </w:r>
            <w:r w:rsidR="00023351">
              <w:rPr>
                <w:noProof/>
                <w:webHidden/>
              </w:rPr>
              <w:fldChar w:fldCharType="end"/>
            </w:r>
          </w:hyperlink>
        </w:p>
        <w:p w:rsidR="00023351" w:rsidRDefault="009A6400">
          <w:pPr>
            <w:pStyle w:val="21"/>
            <w:rPr>
              <w:rFonts w:asciiTheme="minorHAnsi" w:eastAsiaTheme="minorEastAsia" w:hAnsiTheme="minorHAnsi"/>
              <w:noProof/>
              <w:sz w:val="24"/>
              <w:szCs w:val="24"/>
            </w:rPr>
          </w:pPr>
          <w:hyperlink w:anchor="_Toc38914807" w:history="1">
            <w:r w:rsidR="00023351" w:rsidRPr="00E43FF3">
              <w:rPr>
                <w:rStyle w:val="a6"/>
                <w:noProof/>
              </w:rPr>
              <w:t>НУЖНО ОПРЕДЕЛИТЬСЯ, КАКАЯ ЦЕЛЬ РАБОТЫ И СФОРМУЛИРОВАТЬ НА ЕЕ ОСНОВАНИИ ГИПОТЕЗЫ</w:t>
            </w:r>
            <w:r w:rsidR="00023351">
              <w:rPr>
                <w:noProof/>
                <w:webHidden/>
              </w:rPr>
              <w:tab/>
            </w:r>
            <w:r w:rsidR="00023351">
              <w:rPr>
                <w:noProof/>
                <w:webHidden/>
              </w:rPr>
              <w:fldChar w:fldCharType="begin"/>
            </w:r>
            <w:r w:rsidR="00023351">
              <w:rPr>
                <w:noProof/>
                <w:webHidden/>
              </w:rPr>
              <w:instrText xml:space="preserve"> PAGEREF _Toc38914807 \h </w:instrText>
            </w:r>
            <w:r w:rsidR="00023351">
              <w:rPr>
                <w:noProof/>
                <w:webHidden/>
              </w:rPr>
            </w:r>
            <w:r w:rsidR="00023351">
              <w:rPr>
                <w:noProof/>
                <w:webHidden/>
              </w:rPr>
              <w:fldChar w:fldCharType="separate"/>
            </w:r>
            <w:r w:rsidR="00023351">
              <w:rPr>
                <w:noProof/>
                <w:webHidden/>
              </w:rPr>
              <w:t>15</w:t>
            </w:r>
            <w:r w:rsidR="00023351">
              <w:rPr>
                <w:noProof/>
                <w:webHidden/>
              </w:rPr>
              <w:fldChar w:fldCharType="end"/>
            </w:r>
          </w:hyperlink>
        </w:p>
        <w:p w:rsidR="00023351" w:rsidRDefault="009A6400">
          <w:pPr>
            <w:pStyle w:val="13"/>
            <w:tabs>
              <w:tab w:val="left" w:pos="1200"/>
            </w:tabs>
            <w:rPr>
              <w:rFonts w:asciiTheme="minorHAnsi" w:eastAsiaTheme="minorEastAsia" w:hAnsiTheme="minorHAnsi"/>
              <w:bCs w:val="0"/>
              <w:noProof/>
              <w:sz w:val="24"/>
              <w:szCs w:val="24"/>
            </w:rPr>
          </w:pPr>
          <w:hyperlink w:anchor="_Toc38914808" w:history="1">
            <w:r w:rsidR="00023351" w:rsidRPr="00E43FF3">
              <w:rPr>
                <w:rStyle w:val="a6"/>
                <w:noProof/>
              </w:rPr>
              <w:t>2.</w:t>
            </w:r>
            <w:r w:rsidR="00023351">
              <w:rPr>
                <w:rFonts w:asciiTheme="minorHAnsi" w:eastAsiaTheme="minorEastAsia" w:hAnsiTheme="minorHAnsi"/>
                <w:bCs w:val="0"/>
                <w:noProof/>
                <w:sz w:val="24"/>
                <w:szCs w:val="24"/>
              </w:rPr>
              <w:tab/>
            </w:r>
            <w:r w:rsidR="00023351" w:rsidRPr="00E43FF3">
              <w:rPr>
                <w:rStyle w:val="a6"/>
                <w:noProof/>
              </w:rPr>
              <w:t>Данные и методология</w:t>
            </w:r>
            <w:r w:rsidR="00023351">
              <w:rPr>
                <w:noProof/>
                <w:webHidden/>
              </w:rPr>
              <w:tab/>
            </w:r>
            <w:r w:rsidR="00023351">
              <w:rPr>
                <w:noProof/>
                <w:webHidden/>
              </w:rPr>
              <w:fldChar w:fldCharType="begin"/>
            </w:r>
            <w:r w:rsidR="00023351">
              <w:rPr>
                <w:noProof/>
                <w:webHidden/>
              </w:rPr>
              <w:instrText xml:space="preserve"> PAGEREF _Toc38914808 \h </w:instrText>
            </w:r>
            <w:r w:rsidR="00023351">
              <w:rPr>
                <w:noProof/>
                <w:webHidden/>
              </w:rPr>
            </w:r>
            <w:r w:rsidR="00023351">
              <w:rPr>
                <w:noProof/>
                <w:webHidden/>
              </w:rPr>
              <w:fldChar w:fldCharType="separate"/>
            </w:r>
            <w:r w:rsidR="00023351">
              <w:rPr>
                <w:noProof/>
                <w:webHidden/>
              </w:rPr>
              <w:t>16</w:t>
            </w:r>
            <w:r w:rsidR="00023351">
              <w:rPr>
                <w:noProof/>
                <w:webHidden/>
              </w:rPr>
              <w:fldChar w:fldCharType="end"/>
            </w:r>
          </w:hyperlink>
        </w:p>
        <w:p w:rsidR="00023351" w:rsidRDefault="009A6400">
          <w:pPr>
            <w:pStyle w:val="21"/>
            <w:rPr>
              <w:rFonts w:asciiTheme="minorHAnsi" w:eastAsiaTheme="minorEastAsia" w:hAnsiTheme="minorHAnsi"/>
              <w:noProof/>
              <w:sz w:val="24"/>
              <w:szCs w:val="24"/>
            </w:rPr>
          </w:pPr>
          <w:hyperlink w:anchor="_Toc38914809" w:history="1">
            <w:r w:rsidR="00023351" w:rsidRPr="00E43FF3">
              <w:rPr>
                <w:rStyle w:val="a6"/>
                <w:noProof/>
              </w:rPr>
              <w:t>Данные</w:t>
            </w:r>
            <w:r w:rsidR="00023351">
              <w:rPr>
                <w:noProof/>
                <w:webHidden/>
              </w:rPr>
              <w:tab/>
            </w:r>
            <w:r w:rsidR="00023351">
              <w:rPr>
                <w:noProof/>
                <w:webHidden/>
              </w:rPr>
              <w:fldChar w:fldCharType="begin"/>
            </w:r>
            <w:r w:rsidR="00023351">
              <w:rPr>
                <w:noProof/>
                <w:webHidden/>
              </w:rPr>
              <w:instrText xml:space="preserve"> PAGEREF _Toc38914809 \h </w:instrText>
            </w:r>
            <w:r w:rsidR="00023351">
              <w:rPr>
                <w:noProof/>
                <w:webHidden/>
              </w:rPr>
            </w:r>
            <w:r w:rsidR="00023351">
              <w:rPr>
                <w:noProof/>
                <w:webHidden/>
              </w:rPr>
              <w:fldChar w:fldCharType="separate"/>
            </w:r>
            <w:r w:rsidR="00023351">
              <w:rPr>
                <w:noProof/>
                <w:webHidden/>
              </w:rPr>
              <w:t>16</w:t>
            </w:r>
            <w:r w:rsidR="00023351">
              <w:rPr>
                <w:noProof/>
                <w:webHidden/>
              </w:rPr>
              <w:fldChar w:fldCharType="end"/>
            </w:r>
          </w:hyperlink>
        </w:p>
        <w:p w:rsidR="00023351" w:rsidRDefault="009A6400">
          <w:pPr>
            <w:pStyle w:val="31"/>
            <w:tabs>
              <w:tab w:val="right" w:leader="dot" w:pos="9339"/>
            </w:tabs>
            <w:rPr>
              <w:rFonts w:asciiTheme="minorHAnsi" w:eastAsiaTheme="minorEastAsia" w:hAnsiTheme="minorHAnsi"/>
              <w:iCs w:val="0"/>
              <w:noProof/>
              <w:sz w:val="24"/>
              <w:szCs w:val="24"/>
            </w:rPr>
          </w:pPr>
          <w:hyperlink w:anchor="_Toc38914810" w:history="1">
            <w:r w:rsidR="00023351" w:rsidRPr="00E43FF3">
              <w:rPr>
                <w:rStyle w:val="a6"/>
                <w:noProof/>
              </w:rPr>
              <w:t>Формат данных</w:t>
            </w:r>
            <w:r w:rsidR="00023351">
              <w:rPr>
                <w:noProof/>
                <w:webHidden/>
              </w:rPr>
              <w:tab/>
            </w:r>
            <w:r w:rsidR="00023351">
              <w:rPr>
                <w:noProof/>
                <w:webHidden/>
              </w:rPr>
              <w:fldChar w:fldCharType="begin"/>
            </w:r>
            <w:r w:rsidR="00023351">
              <w:rPr>
                <w:noProof/>
                <w:webHidden/>
              </w:rPr>
              <w:instrText xml:space="preserve"> PAGEREF _Toc38914810 \h </w:instrText>
            </w:r>
            <w:r w:rsidR="00023351">
              <w:rPr>
                <w:noProof/>
                <w:webHidden/>
              </w:rPr>
            </w:r>
            <w:r w:rsidR="00023351">
              <w:rPr>
                <w:noProof/>
                <w:webHidden/>
              </w:rPr>
              <w:fldChar w:fldCharType="separate"/>
            </w:r>
            <w:r w:rsidR="00023351">
              <w:rPr>
                <w:noProof/>
                <w:webHidden/>
              </w:rPr>
              <w:t>16</w:t>
            </w:r>
            <w:r w:rsidR="00023351">
              <w:rPr>
                <w:noProof/>
                <w:webHidden/>
              </w:rPr>
              <w:fldChar w:fldCharType="end"/>
            </w:r>
          </w:hyperlink>
        </w:p>
        <w:p w:rsidR="00023351" w:rsidRDefault="009A6400">
          <w:pPr>
            <w:pStyle w:val="31"/>
            <w:tabs>
              <w:tab w:val="right" w:leader="dot" w:pos="9339"/>
            </w:tabs>
            <w:rPr>
              <w:rFonts w:asciiTheme="minorHAnsi" w:eastAsiaTheme="minorEastAsia" w:hAnsiTheme="minorHAnsi"/>
              <w:iCs w:val="0"/>
              <w:noProof/>
              <w:sz w:val="24"/>
              <w:szCs w:val="24"/>
            </w:rPr>
          </w:pPr>
          <w:hyperlink w:anchor="_Toc38914811" w:history="1">
            <w:r w:rsidR="00023351" w:rsidRPr="00E43FF3">
              <w:rPr>
                <w:rStyle w:val="a6"/>
                <w:noProof/>
              </w:rPr>
              <w:t>Айсберг-заявки</w:t>
            </w:r>
            <w:r w:rsidR="00023351">
              <w:rPr>
                <w:noProof/>
                <w:webHidden/>
              </w:rPr>
              <w:tab/>
            </w:r>
            <w:r w:rsidR="00023351">
              <w:rPr>
                <w:noProof/>
                <w:webHidden/>
              </w:rPr>
              <w:fldChar w:fldCharType="begin"/>
            </w:r>
            <w:r w:rsidR="00023351">
              <w:rPr>
                <w:noProof/>
                <w:webHidden/>
              </w:rPr>
              <w:instrText xml:space="preserve"> PAGEREF _Toc38914811 \h </w:instrText>
            </w:r>
            <w:r w:rsidR="00023351">
              <w:rPr>
                <w:noProof/>
                <w:webHidden/>
              </w:rPr>
            </w:r>
            <w:r w:rsidR="00023351">
              <w:rPr>
                <w:noProof/>
                <w:webHidden/>
              </w:rPr>
              <w:fldChar w:fldCharType="separate"/>
            </w:r>
            <w:r w:rsidR="00023351">
              <w:rPr>
                <w:noProof/>
                <w:webHidden/>
              </w:rPr>
              <w:t>20</w:t>
            </w:r>
            <w:r w:rsidR="00023351">
              <w:rPr>
                <w:noProof/>
                <w:webHidden/>
              </w:rPr>
              <w:fldChar w:fldCharType="end"/>
            </w:r>
          </w:hyperlink>
        </w:p>
        <w:p w:rsidR="00023351" w:rsidRDefault="009A6400">
          <w:pPr>
            <w:pStyle w:val="31"/>
            <w:tabs>
              <w:tab w:val="right" w:leader="dot" w:pos="9339"/>
            </w:tabs>
            <w:rPr>
              <w:rFonts w:asciiTheme="minorHAnsi" w:eastAsiaTheme="minorEastAsia" w:hAnsiTheme="minorHAnsi"/>
              <w:iCs w:val="0"/>
              <w:noProof/>
              <w:sz w:val="24"/>
              <w:szCs w:val="24"/>
            </w:rPr>
          </w:pPr>
          <w:hyperlink w:anchor="_Toc38914812" w:history="1">
            <w:r w:rsidR="00023351" w:rsidRPr="00E43FF3">
              <w:rPr>
                <w:rStyle w:val="a6"/>
                <w:noProof/>
              </w:rPr>
              <w:t>Цепочка айсберг-заявок</w:t>
            </w:r>
            <w:r w:rsidR="00023351">
              <w:rPr>
                <w:noProof/>
                <w:webHidden/>
              </w:rPr>
              <w:tab/>
            </w:r>
            <w:r w:rsidR="00023351">
              <w:rPr>
                <w:noProof/>
                <w:webHidden/>
              </w:rPr>
              <w:fldChar w:fldCharType="begin"/>
            </w:r>
            <w:r w:rsidR="00023351">
              <w:rPr>
                <w:noProof/>
                <w:webHidden/>
              </w:rPr>
              <w:instrText xml:space="preserve"> PAGEREF _Toc38914812 \h </w:instrText>
            </w:r>
            <w:r w:rsidR="00023351">
              <w:rPr>
                <w:noProof/>
                <w:webHidden/>
              </w:rPr>
            </w:r>
            <w:r w:rsidR="00023351">
              <w:rPr>
                <w:noProof/>
                <w:webHidden/>
              </w:rPr>
              <w:fldChar w:fldCharType="separate"/>
            </w:r>
            <w:r w:rsidR="00023351">
              <w:rPr>
                <w:noProof/>
                <w:webHidden/>
              </w:rPr>
              <w:t>21</w:t>
            </w:r>
            <w:r w:rsidR="00023351">
              <w:rPr>
                <w:noProof/>
                <w:webHidden/>
              </w:rPr>
              <w:fldChar w:fldCharType="end"/>
            </w:r>
          </w:hyperlink>
        </w:p>
        <w:p w:rsidR="00023351" w:rsidRDefault="009A6400">
          <w:pPr>
            <w:pStyle w:val="31"/>
            <w:tabs>
              <w:tab w:val="right" w:leader="dot" w:pos="9339"/>
            </w:tabs>
            <w:rPr>
              <w:rFonts w:asciiTheme="minorHAnsi" w:eastAsiaTheme="minorEastAsia" w:hAnsiTheme="minorHAnsi"/>
              <w:iCs w:val="0"/>
              <w:noProof/>
              <w:sz w:val="24"/>
              <w:szCs w:val="24"/>
            </w:rPr>
          </w:pPr>
          <w:hyperlink w:anchor="_Toc38914813" w:history="1">
            <w:r w:rsidR="00023351" w:rsidRPr="00E43FF3">
              <w:rPr>
                <w:rStyle w:val="a6"/>
                <w:noProof/>
              </w:rPr>
              <w:t>Ретроспектива</w:t>
            </w:r>
            <w:r w:rsidR="00023351">
              <w:rPr>
                <w:noProof/>
                <w:webHidden/>
              </w:rPr>
              <w:tab/>
            </w:r>
            <w:r w:rsidR="00023351">
              <w:rPr>
                <w:noProof/>
                <w:webHidden/>
              </w:rPr>
              <w:fldChar w:fldCharType="begin"/>
            </w:r>
            <w:r w:rsidR="00023351">
              <w:rPr>
                <w:noProof/>
                <w:webHidden/>
              </w:rPr>
              <w:instrText xml:space="preserve"> PAGEREF _Toc38914813 \h </w:instrText>
            </w:r>
            <w:r w:rsidR="00023351">
              <w:rPr>
                <w:noProof/>
                <w:webHidden/>
              </w:rPr>
            </w:r>
            <w:r w:rsidR="00023351">
              <w:rPr>
                <w:noProof/>
                <w:webHidden/>
              </w:rPr>
              <w:fldChar w:fldCharType="separate"/>
            </w:r>
            <w:r w:rsidR="00023351">
              <w:rPr>
                <w:noProof/>
                <w:webHidden/>
              </w:rPr>
              <w:t>22</w:t>
            </w:r>
            <w:r w:rsidR="00023351">
              <w:rPr>
                <w:noProof/>
                <w:webHidden/>
              </w:rPr>
              <w:fldChar w:fldCharType="end"/>
            </w:r>
          </w:hyperlink>
        </w:p>
        <w:p w:rsidR="00023351" w:rsidRDefault="009A6400">
          <w:pPr>
            <w:pStyle w:val="13"/>
            <w:tabs>
              <w:tab w:val="left" w:pos="1200"/>
            </w:tabs>
            <w:rPr>
              <w:rFonts w:asciiTheme="minorHAnsi" w:eastAsiaTheme="minorEastAsia" w:hAnsiTheme="minorHAnsi"/>
              <w:bCs w:val="0"/>
              <w:noProof/>
              <w:sz w:val="24"/>
              <w:szCs w:val="24"/>
            </w:rPr>
          </w:pPr>
          <w:hyperlink w:anchor="_Toc38914814" w:history="1">
            <w:r w:rsidR="00023351" w:rsidRPr="00E43FF3">
              <w:rPr>
                <w:rStyle w:val="a6"/>
                <w:noProof/>
              </w:rPr>
              <w:t>3.</w:t>
            </w:r>
            <w:r w:rsidR="00023351">
              <w:rPr>
                <w:rFonts w:asciiTheme="minorHAnsi" w:eastAsiaTheme="minorEastAsia" w:hAnsiTheme="minorHAnsi"/>
                <w:bCs w:val="0"/>
                <w:noProof/>
                <w:sz w:val="24"/>
                <w:szCs w:val="24"/>
              </w:rPr>
              <w:tab/>
            </w:r>
            <w:r w:rsidR="00023351" w:rsidRPr="00E43FF3">
              <w:rPr>
                <w:rStyle w:val="a6"/>
                <w:noProof/>
              </w:rPr>
              <w:t>Результаты</w:t>
            </w:r>
            <w:r w:rsidR="00023351">
              <w:rPr>
                <w:noProof/>
                <w:webHidden/>
              </w:rPr>
              <w:tab/>
            </w:r>
            <w:r w:rsidR="00023351">
              <w:rPr>
                <w:noProof/>
                <w:webHidden/>
              </w:rPr>
              <w:fldChar w:fldCharType="begin"/>
            </w:r>
            <w:r w:rsidR="00023351">
              <w:rPr>
                <w:noProof/>
                <w:webHidden/>
              </w:rPr>
              <w:instrText xml:space="preserve"> PAGEREF _Toc38914814 \h </w:instrText>
            </w:r>
            <w:r w:rsidR="00023351">
              <w:rPr>
                <w:noProof/>
                <w:webHidden/>
              </w:rPr>
            </w:r>
            <w:r w:rsidR="00023351">
              <w:rPr>
                <w:noProof/>
                <w:webHidden/>
              </w:rPr>
              <w:fldChar w:fldCharType="separate"/>
            </w:r>
            <w:r w:rsidR="00023351">
              <w:rPr>
                <w:noProof/>
                <w:webHidden/>
              </w:rPr>
              <w:t>24</w:t>
            </w:r>
            <w:r w:rsidR="00023351">
              <w:rPr>
                <w:noProof/>
                <w:webHidden/>
              </w:rPr>
              <w:fldChar w:fldCharType="end"/>
            </w:r>
          </w:hyperlink>
        </w:p>
        <w:p w:rsidR="00023351" w:rsidRDefault="009A6400">
          <w:pPr>
            <w:pStyle w:val="13"/>
            <w:rPr>
              <w:rFonts w:asciiTheme="minorHAnsi" w:eastAsiaTheme="minorEastAsia" w:hAnsiTheme="minorHAnsi"/>
              <w:bCs w:val="0"/>
              <w:noProof/>
              <w:sz w:val="24"/>
              <w:szCs w:val="24"/>
            </w:rPr>
          </w:pPr>
          <w:hyperlink w:anchor="_Toc38914815" w:history="1">
            <w:r w:rsidR="00023351" w:rsidRPr="00E43FF3">
              <w:rPr>
                <w:rStyle w:val="a6"/>
                <w:noProof/>
              </w:rPr>
              <w:t>Заключение</w:t>
            </w:r>
            <w:r w:rsidR="00023351">
              <w:rPr>
                <w:noProof/>
                <w:webHidden/>
              </w:rPr>
              <w:tab/>
            </w:r>
            <w:r w:rsidR="00023351">
              <w:rPr>
                <w:noProof/>
                <w:webHidden/>
              </w:rPr>
              <w:fldChar w:fldCharType="begin"/>
            </w:r>
            <w:r w:rsidR="00023351">
              <w:rPr>
                <w:noProof/>
                <w:webHidden/>
              </w:rPr>
              <w:instrText xml:space="preserve"> PAGEREF _Toc38914815 \h </w:instrText>
            </w:r>
            <w:r w:rsidR="00023351">
              <w:rPr>
                <w:noProof/>
                <w:webHidden/>
              </w:rPr>
            </w:r>
            <w:r w:rsidR="00023351">
              <w:rPr>
                <w:noProof/>
                <w:webHidden/>
              </w:rPr>
              <w:fldChar w:fldCharType="separate"/>
            </w:r>
            <w:r w:rsidR="00023351">
              <w:rPr>
                <w:noProof/>
                <w:webHidden/>
              </w:rPr>
              <w:t>25</w:t>
            </w:r>
            <w:r w:rsidR="00023351">
              <w:rPr>
                <w:noProof/>
                <w:webHidden/>
              </w:rPr>
              <w:fldChar w:fldCharType="end"/>
            </w:r>
          </w:hyperlink>
        </w:p>
        <w:p w:rsidR="00023351" w:rsidRDefault="009A6400">
          <w:pPr>
            <w:pStyle w:val="13"/>
            <w:rPr>
              <w:rFonts w:asciiTheme="minorHAnsi" w:eastAsiaTheme="minorEastAsia" w:hAnsiTheme="minorHAnsi"/>
              <w:bCs w:val="0"/>
              <w:noProof/>
              <w:sz w:val="24"/>
              <w:szCs w:val="24"/>
            </w:rPr>
          </w:pPr>
          <w:hyperlink w:anchor="_Toc38914816" w:history="1">
            <w:r w:rsidR="00023351" w:rsidRPr="00E43FF3">
              <w:rPr>
                <w:rStyle w:val="a6"/>
                <w:noProof/>
              </w:rPr>
              <w:t>Список литературы</w:t>
            </w:r>
            <w:r w:rsidR="00023351">
              <w:rPr>
                <w:noProof/>
                <w:webHidden/>
              </w:rPr>
              <w:tab/>
            </w:r>
            <w:r w:rsidR="00023351">
              <w:rPr>
                <w:noProof/>
                <w:webHidden/>
              </w:rPr>
              <w:fldChar w:fldCharType="begin"/>
            </w:r>
            <w:r w:rsidR="00023351">
              <w:rPr>
                <w:noProof/>
                <w:webHidden/>
              </w:rPr>
              <w:instrText xml:space="preserve"> PAGEREF _Toc38914816 \h </w:instrText>
            </w:r>
            <w:r w:rsidR="00023351">
              <w:rPr>
                <w:noProof/>
                <w:webHidden/>
              </w:rPr>
            </w:r>
            <w:r w:rsidR="00023351">
              <w:rPr>
                <w:noProof/>
                <w:webHidden/>
              </w:rPr>
              <w:fldChar w:fldCharType="separate"/>
            </w:r>
            <w:r w:rsidR="00023351">
              <w:rPr>
                <w:noProof/>
                <w:webHidden/>
              </w:rPr>
              <w:t>26</w:t>
            </w:r>
            <w:r w:rsidR="00023351">
              <w:rPr>
                <w:noProof/>
                <w:webHidden/>
              </w:rPr>
              <w:fldChar w:fldCharType="end"/>
            </w:r>
          </w:hyperlink>
        </w:p>
        <w:p w:rsidR="00783242" w:rsidRPr="00C67677" w:rsidRDefault="008A22F8" w:rsidP="00C67677">
          <w:pPr>
            <w:spacing w:line="240" w:lineRule="auto"/>
            <w:ind w:firstLine="0"/>
          </w:pPr>
          <w:r>
            <w:rPr>
              <w:b/>
              <w:caps/>
              <w:color w:val="000000" w:themeColor="text1"/>
              <w:sz w:val="20"/>
              <w:szCs w:val="28"/>
            </w:rPr>
            <w:fldChar w:fldCharType="end"/>
          </w:r>
        </w:p>
      </w:sdtContent>
    </w:sdt>
    <w:p w:rsidR="00A04A19" w:rsidRDefault="00A04A19">
      <w:pPr>
        <w:spacing w:line="240" w:lineRule="auto"/>
        <w:ind w:firstLine="0"/>
        <w:jc w:val="left"/>
        <w:rPr>
          <w:rFonts w:eastAsiaTheme="majorEastAsia" w:cstheme="majorBidi"/>
          <w:color w:val="000000" w:themeColor="text1"/>
          <w:sz w:val="32"/>
          <w:szCs w:val="32"/>
        </w:rPr>
      </w:pPr>
      <w:r>
        <w:br w:type="page"/>
      </w:r>
    </w:p>
    <w:p w:rsidR="00C67677" w:rsidRDefault="00C67677" w:rsidP="00940DD0">
      <w:pPr>
        <w:pStyle w:val="1"/>
      </w:pPr>
      <w:bookmarkStart w:id="0" w:name="_Toc38914801"/>
      <w:r>
        <w:lastRenderedPageBreak/>
        <w:t>Введение</w:t>
      </w:r>
    </w:p>
    <w:p w:rsidR="00E33B29" w:rsidRDefault="0028625E" w:rsidP="00C67677">
      <w:pPr>
        <w:rPr>
          <w:highlight w:val="yellow"/>
        </w:rPr>
      </w:pPr>
      <w:r>
        <w:rPr>
          <w:highlight w:val="yellow"/>
        </w:rPr>
        <w:t>Ликвидность</w:t>
      </w:r>
    </w:p>
    <w:p w:rsidR="0028625E" w:rsidRDefault="0028625E" w:rsidP="00C67677">
      <w:pPr>
        <w:rPr>
          <w:highlight w:val="yellow"/>
        </w:rPr>
      </w:pPr>
      <w:r>
        <w:rPr>
          <w:highlight w:val="yellow"/>
        </w:rPr>
        <w:t>Скрытая ликвидность, источники и какие у нее последствия</w:t>
      </w:r>
    </w:p>
    <w:p w:rsidR="00C72BBF" w:rsidRPr="00F107D6" w:rsidRDefault="0028625E" w:rsidP="0028625E">
      <w:pPr>
        <w:rPr>
          <w:b/>
          <w:bCs/>
        </w:rPr>
      </w:pPr>
      <w:r>
        <w:t>В</w:t>
      </w:r>
      <w:r w:rsidR="00C67677">
        <w:t xml:space="preserve"> рамках данной работы исследование скрытой ликвидности производи</w:t>
      </w:r>
      <w:r>
        <w:t>тся</w:t>
      </w:r>
      <w:r w:rsidR="00C67677">
        <w:t xml:space="preserve"> на основании данных о ходе торгов </w:t>
      </w:r>
      <w:r w:rsidR="00F2781F">
        <w:t xml:space="preserve">инструментами </w:t>
      </w:r>
      <w:r w:rsidR="00C67677">
        <w:t>основного режима фондовой секции Московской Биржи</w:t>
      </w:r>
      <w:r>
        <w:t xml:space="preserve">. </w:t>
      </w:r>
      <w:r w:rsidR="00F2781F">
        <w:t>Торги в д</w:t>
      </w:r>
      <w:r>
        <w:t>анн</w:t>
      </w:r>
      <w:r w:rsidR="00F2781F">
        <w:t>ом</w:t>
      </w:r>
      <w:r>
        <w:t xml:space="preserve"> режим</w:t>
      </w:r>
      <w:r w:rsidR="00F2781F">
        <w:t>е</w:t>
      </w:r>
      <w:r>
        <w:t xml:space="preserve"> торгов </w:t>
      </w:r>
      <w:r w:rsidR="00F2781F">
        <w:t>организованы в формате</w:t>
      </w:r>
      <w:r>
        <w:t xml:space="preserve"> двусторонн</w:t>
      </w:r>
      <w:r w:rsidR="00F2781F">
        <w:t>его</w:t>
      </w:r>
      <w:r>
        <w:t xml:space="preserve"> непрерывн</w:t>
      </w:r>
      <w:r w:rsidR="00F2781F">
        <w:t>ого</w:t>
      </w:r>
      <w:r>
        <w:t xml:space="preserve"> </w:t>
      </w:r>
      <w:r w:rsidR="00F107D6">
        <w:t>аукцион</w:t>
      </w:r>
      <w:r w:rsidR="00F2781F">
        <w:t>а</w:t>
      </w:r>
      <w:r>
        <w:t xml:space="preserve">, в рамках которого участникам известны данные о 10 лучших уровнях цен на обеих сторонах стакана и соответствующий им объем. </w:t>
      </w:r>
      <w:r w:rsidR="00F2781F">
        <w:t>У</w:t>
      </w:r>
      <w:r>
        <w:t xml:space="preserve">частникам </w:t>
      </w:r>
      <w:r w:rsidR="00F2781F">
        <w:t>предоставляется</w:t>
      </w:r>
      <w:r>
        <w:t xml:space="preserve"> возможность скрытия части объема своей заявки с помощью айсберг-заявок. Именно </w:t>
      </w:r>
      <w:r w:rsidR="00F2781F">
        <w:t>такой тип заявок</w:t>
      </w:r>
      <w:r>
        <w:t xml:space="preserve"> буд</w:t>
      </w:r>
      <w:r w:rsidR="00F2781F">
        <w:t>е</w:t>
      </w:r>
      <w:r>
        <w:t xml:space="preserve">т рассматриваться в данной работе </w:t>
      </w:r>
      <w:r w:rsidR="00C67677">
        <w:t>в качестве источника скрытой ликвидности</w:t>
      </w:r>
      <w:r>
        <w:t>.</w:t>
      </w:r>
      <w:r w:rsidR="00F107D6">
        <w:t xml:space="preserve"> </w:t>
      </w:r>
      <w:r>
        <w:t>В работе используются данные</w:t>
      </w:r>
      <w:r w:rsidR="00F107D6">
        <w:t xml:space="preserve"> за период </w:t>
      </w:r>
      <w:proofErr w:type="spellStart"/>
      <w:r w:rsidR="00F107D6">
        <w:t>дд.</w:t>
      </w:r>
      <w:proofErr w:type="gramStart"/>
      <w:r w:rsidR="00F107D6">
        <w:t>мм.гггг</w:t>
      </w:r>
      <w:proofErr w:type="spellEnd"/>
      <w:proofErr w:type="gramEnd"/>
      <w:r w:rsidR="00F107D6">
        <w:t xml:space="preserve"> - </w:t>
      </w:r>
      <w:proofErr w:type="spellStart"/>
      <w:r w:rsidR="00F107D6">
        <w:t>дд.мм.гггг</w:t>
      </w:r>
      <w:proofErr w:type="spellEnd"/>
      <w:r w:rsidR="00F107D6">
        <w:t xml:space="preserve"> по </w:t>
      </w:r>
      <w:r w:rsidR="00F107D6">
        <w:rPr>
          <w:lang w:val="en-US"/>
        </w:rPr>
        <w:t>N</w:t>
      </w:r>
      <w:r w:rsidR="00F107D6" w:rsidRPr="00F107D6">
        <w:t xml:space="preserve"> </w:t>
      </w:r>
      <w:r w:rsidR="00F107D6">
        <w:t xml:space="preserve">инструментам, относящимся к списку голубых фишек по состоянию на </w:t>
      </w:r>
      <w:proofErr w:type="spellStart"/>
      <w:r w:rsidR="00F107D6">
        <w:t>дд.мм.гггг</w:t>
      </w:r>
      <w:proofErr w:type="spellEnd"/>
      <w:r w:rsidR="00F107D6">
        <w:t>.</w:t>
      </w:r>
    </w:p>
    <w:p w:rsidR="00C67677" w:rsidRDefault="00F2781F" w:rsidP="00C67677">
      <w:r>
        <w:t>Ц</w:t>
      </w:r>
      <w:r w:rsidR="00C67677">
        <w:t>елью данной работы является</w:t>
      </w:r>
      <w:r w:rsidR="00C72BBF">
        <w:t xml:space="preserve"> </w:t>
      </w:r>
      <w:r w:rsidR="00C72BBF" w:rsidRPr="00F2781F">
        <w:rPr>
          <w:highlight w:val="yellow"/>
        </w:rPr>
        <w:t>выявление условий наиболее вероятных моментов выставления</w:t>
      </w:r>
      <w:r w:rsidR="00796FC5">
        <w:rPr>
          <w:highlight w:val="yellow"/>
        </w:rPr>
        <w:t xml:space="preserve"> айсберг-</w:t>
      </w:r>
      <w:r w:rsidR="00C72BBF" w:rsidRPr="00F2781F">
        <w:rPr>
          <w:highlight w:val="yellow"/>
        </w:rPr>
        <w:t>заявок</w:t>
      </w:r>
      <w:r w:rsidR="00796FC5">
        <w:rPr>
          <w:highlight w:val="yellow"/>
        </w:rPr>
        <w:t>, что</w:t>
      </w:r>
      <w:r w:rsidR="00C72BBF" w:rsidRPr="00F2781F">
        <w:rPr>
          <w:highlight w:val="yellow"/>
        </w:rPr>
        <w:t xml:space="preserve"> позволит участникам оптимизировать свою стратегию и минимизировать риски ликвидации своей позиции</w:t>
      </w:r>
      <w:r w:rsidR="00C72BBF">
        <w:t>.</w:t>
      </w:r>
    </w:p>
    <w:p w:rsidR="00E33B29" w:rsidRPr="00762E25" w:rsidRDefault="00C67677" w:rsidP="00E33B29">
      <w:pPr>
        <w:rPr>
          <w:lang w:val="en-US"/>
        </w:rPr>
      </w:pPr>
      <w:r>
        <w:t>Важное условие – истинный объем скрытой ликвидности изначально неизвестен, поэтому одной из первых задач данной работы является разработка алгоритма выявления скрытого объема.</w:t>
      </w:r>
      <w:r w:rsidR="00796FC5">
        <w:t xml:space="preserve"> В качестве индикатора айсберг-заявки использовалось несоответствие объема в заявке при ее выставлении и при ее исполнении, а именно, ситуация, когда сделка по заявке произошла на объем больший, чем был указан в заявке на момент ее выставления. </w:t>
      </w:r>
      <w:r w:rsidR="00E33B29">
        <w:t>Следующая задач</w:t>
      </w:r>
      <w:r w:rsidR="00DC6844">
        <w:t xml:space="preserve">а </w:t>
      </w:r>
      <w:r w:rsidR="00E33B29">
        <w:t xml:space="preserve">– это </w:t>
      </w:r>
      <w:r w:rsidR="00DC6844">
        <w:t xml:space="preserve">объединение выявленных айсбергов в цепочку для восстановления истории всплытий айсберга. Разработка алгоритма для решения данной задачи позволит </w:t>
      </w:r>
      <w:r w:rsidR="00A0707D">
        <w:t>приблизить</w:t>
      </w:r>
      <w:r w:rsidR="00DC6844">
        <w:t xml:space="preserve"> оценку </w:t>
      </w:r>
      <w:r w:rsidR="00A0707D">
        <w:t xml:space="preserve">скрытого объема к фактическому значению в каждый момент времени. </w:t>
      </w:r>
      <w:r w:rsidR="00413A9C">
        <w:t xml:space="preserve">Для решения данной задачи был разработан алгоритм, который проверял одновременное выполнение условий совпадения у айсберг-заявок цены, направления, видимого объема и минимального лага между исполнением одной заявки и выставлением следующей. </w:t>
      </w:r>
      <w:r w:rsidR="00A0707D">
        <w:t xml:space="preserve">В результате полученных оценок скрытого объема </w:t>
      </w:r>
      <w:r w:rsidR="002770C3">
        <w:t>необходимо произвести …, для решения данной задачи в работе используется …. По</w:t>
      </w:r>
      <w:r w:rsidR="002770C3" w:rsidRPr="00762E25">
        <w:rPr>
          <w:lang w:val="en-US"/>
        </w:rPr>
        <w:t xml:space="preserve"> </w:t>
      </w:r>
      <w:r w:rsidR="002770C3">
        <w:t>результатам</w:t>
      </w:r>
      <w:r w:rsidR="002770C3" w:rsidRPr="00762E25">
        <w:rPr>
          <w:lang w:val="en-US"/>
        </w:rPr>
        <w:t xml:space="preserve"> </w:t>
      </w:r>
      <w:r w:rsidR="002770C3">
        <w:t>которой</w:t>
      </w:r>
      <w:r w:rsidR="002770C3" w:rsidRPr="00762E25">
        <w:rPr>
          <w:lang w:val="en-US"/>
        </w:rPr>
        <w:t xml:space="preserve"> </w:t>
      </w:r>
      <w:r w:rsidR="002770C3">
        <w:t>было</w:t>
      </w:r>
      <w:r w:rsidR="002770C3" w:rsidRPr="00762E25">
        <w:rPr>
          <w:lang w:val="en-US"/>
        </w:rPr>
        <w:t xml:space="preserve"> </w:t>
      </w:r>
      <w:r w:rsidR="002770C3">
        <w:t>обнаружено</w:t>
      </w:r>
      <w:r w:rsidR="002770C3" w:rsidRPr="00762E25">
        <w:rPr>
          <w:lang w:val="en-US"/>
        </w:rPr>
        <w:t xml:space="preserve">, </w:t>
      </w:r>
      <w:r w:rsidR="002770C3">
        <w:t>что</w:t>
      </w:r>
      <w:r w:rsidR="002770C3" w:rsidRPr="00762E25">
        <w:rPr>
          <w:lang w:val="en-US"/>
        </w:rPr>
        <w:t xml:space="preserve"> …</w:t>
      </w:r>
      <w:r w:rsidR="00A0707D" w:rsidRPr="00762E25">
        <w:rPr>
          <w:lang w:val="en-US"/>
        </w:rPr>
        <w:t xml:space="preserve"> </w:t>
      </w:r>
    </w:p>
    <w:p w:rsidR="00C67677" w:rsidRDefault="00C67677" w:rsidP="00C67677">
      <w:pPr>
        <w:rPr>
          <w:lang w:val="en-US"/>
        </w:rPr>
      </w:pPr>
      <w:r>
        <w:rPr>
          <w:lang w:val="en-US"/>
        </w:rPr>
        <w:t>The rest of the paper will be organized as follows:</w:t>
      </w:r>
    </w:p>
    <w:p w:rsidR="00C67677" w:rsidRDefault="00C67677" w:rsidP="00C67677">
      <w:pPr>
        <w:pStyle w:val="ac"/>
        <w:numPr>
          <w:ilvl w:val="0"/>
          <w:numId w:val="17"/>
        </w:numPr>
      </w:pPr>
      <w:r>
        <w:t>Обзор литературы</w:t>
      </w:r>
    </w:p>
    <w:p w:rsidR="00E33B29" w:rsidRDefault="00C67677" w:rsidP="00E33B29">
      <w:pPr>
        <w:pStyle w:val="ac"/>
        <w:numPr>
          <w:ilvl w:val="0"/>
          <w:numId w:val="17"/>
        </w:numPr>
      </w:pPr>
      <w:r>
        <w:t xml:space="preserve">Данные, где помимо описания формата данных и описательных статистик, приведено описание рынка и </w:t>
      </w:r>
      <w:r w:rsidR="00E33B29">
        <w:t>правил торгов</w:t>
      </w:r>
    </w:p>
    <w:p w:rsidR="00E33B29" w:rsidRDefault="00E33B29" w:rsidP="00E33B29">
      <w:pPr>
        <w:pStyle w:val="ac"/>
        <w:numPr>
          <w:ilvl w:val="0"/>
          <w:numId w:val="17"/>
        </w:numPr>
      </w:pPr>
      <w:r>
        <w:t>Алгоритм поиска скрытого объема</w:t>
      </w:r>
    </w:p>
    <w:p w:rsidR="00E33B29" w:rsidRPr="00C67677" w:rsidRDefault="00E33B29" w:rsidP="00E33B29">
      <w:pPr>
        <w:pStyle w:val="ac"/>
        <w:numPr>
          <w:ilvl w:val="0"/>
          <w:numId w:val="17"/>
        </w:numPr>
      </w:pPr>
      <w:r>
        <w:lastRenderedPageBreak/>
        <w:t xml:space="preserve">Ну и описание того, что мы </w:t>
      </w:r>
      <w:proofErr w:type="gramStart"/>
      <w:r>
        <w:t>все таки</w:t>
      </w:r>
      <w:proofErr w:type="gramEnd"/>
      <w:r>
        <w:t xml:space="preserve"> будем делать с этой выявленной скрытой ликвидностью. А что мы будем с ней делать, пока непонятно</w:t>
      </w:r>
    </w:p>
    <w:p w:rsidR="00C67677" w:rsidRPr="00C67677" w:rsidRDefault="00C67677" w:rsidP="00C67677">
      <w:pPr>
        <w:spacing w:line="240" w:lineRule="auto"/>
        <w:ind w:firstLine="0"/>
        <w:jc w:val="left"/>
      </w:pPr>
      <w:r w:rsidRPr="00C67677">
        <w:br w:type="page"/>
      </w:r>
    </w:p>
    <w:p w:rsidR="00F87E6A" w:rsidRDefault="00940DD0" w:rsidP="00940DD0">
      <w:pPr>
        <w:pStyle w:val="1"/>
      </w:pPr>
      <w:r>
        <w:lastRenderedPageBreak/>
        <w:t>Обзор литературы</w:t>
      </w:r>
      <w:bookmarkEnd w:id="0"/>
    </w:p>
    <w:p w:rsidR="00E24F3D" w:rsidRDefault="00023351" w:rsidP="00E24F3D">
      <w:pPr>
        <w:pStyle w:val="2"/>
      </w:pPr>
      <w:r>
        <w:t>Финансовый рынок</w:t>
      </w:r>
    </w:p>
    <w:p w:rsidR="00A07E99" w:rsidRPr="002E23D1" w:rsidRDefault="00A07E99" w:rsidP="002E23D1">
      <w:r>
        <w:t>Финансовый рынок представляет собой совокупность валютного, фондового, товарного и срочного рынка. Последний представлен производными на финансовые инструменты валютной, фондовой и товарной секции</w:t>
      </w:r>
      <w:r w:rsidRPr="00FA6B82">
        <w:t>.</w:t>
      </w:r>
      <w:r w:rsidR="002E23D1">
        <w:t xml:space="preserve"> </w:t>
      </w:r>
      <w:r>
        <w:t>Российский финансовый рынок уступает по уровню развития финансовым рынкам развитых и даже некоторых развивающихся стран. В качестве причин можно рассматривать низкий средний уровень финансовой грамотности населения, недоверие со стороны населения к финансовым организациям, а также нестабильную экономическую ситуацию в стране. Для преодоления существующего разрыва правительство РФ определило «Стратегию развития финансового рынка Российской Федерации к 2020 году», в соответствии с которой правительство планирует обеспечить приток частного капитала на финансовый рынок к концу 2020 года за счет:</w:t>
      </w:r>
    </w:p>
    <w:p w:rsidR="00A07E99" w:rsidRDefault="00A07E99" w:rsidP="008F7BC5">
      <w:pPr>
        <w:pStyle w:val="ac"/>
        <w:numPr>
          <w:ilvl w:val="0"/>
          <w:numId w:val="2"/>
        </w:numPr>
      </w:pPr>
      <w:r w:rsidRPr="00FA6B82">
        <w:t>«</w:t>
      </w:r>
      <w:r>
        <w:t>П</w:t>
      </w:r>
      <w:r w:rsidRPr="00FA6B82">
        <w:t>овышения емкости и прозрачности</w:t>
      </w:r>
      <w:r>
        <w:t xml:space="preserve"> </w:t>
      </w:r>
      <w:r w:rsidRPr="00FA6B82">
        <w:t>ф</w:t>
      </w:r>
      <w:r>
        <w:t>инансового рынка;</w:t>
      </w:r>
    </w:p>
    <w:p w:rsidR="00A07E99" w:rsidRDefault="00A07E99" w:rsidP="008F7BC5">
      <w:pPr>
        <w:pStyle w:val="ac"/>
        <w:numPr>
          <w:ilvl w:val="0"/>
          <w:numId w:val="2"/>
        </w:numPr>
      </w:pPr>
      <w:r>
        <w:t>Обеспечения эффективности рыночной инфраструктуры;</w:t>
      </w:r>
    </w:p>
    <w:p w:rsidR="00A07E99" w:rsidRDefault="00A07E99" w:rsidP="008F7BC5">
      <w:pPr>
        <w:pStyle w:val="ac"/>
        <w:numPr>
          <w:ilvl w:val="0"/>
          <w:numId w:val="2"/>
        </w:numPr>
      </w:pPr>
      <w:r>
        <w:t>Формирования благоприятного налогового климата для участников финансового рынка;</w:t>
      </w:r>
    </w:p>
    <w:p w:rsidR="00F96714" w:rsidRPr="00A62F20" w:rsidRDefault="00A07E99" w:rsidP="008F7BC5">
      <w:pPr>
        <w:pStyle w:val="ac"/>
        <w:numPr>
          <w:ilvl w:val="0"/>
          <w:numId w:val="2"/>
        </w:numPr>
      </w:pPr>
      <w:r>
        <w:t>Совершенствования правового регулирования на финансовом рынке</w:t>
      </w:r>
      <w:r w:rsidRPr="00FA6B82">
        <w:t>»</w:t>
      </w:r>
      <w:r w:rsidR="005E18D7">
        <w:t xml:space="preserve"> </w:t>
      </w:r>
      <w:r w:rsidR="005E18D7">
        <w:fldChar w:fldCharType="begin"/>
      </w:r>
      <w:r w:rsidR="00651EA5">
        <w:instrText xml:space="preserve"> ADDIN ZOTERO_ITEM CSL_CITATION {"citationID":"JJM7rrkc","properties":{"formattedCitation":"(\\uc0\\u1055{}\\uc0\\u1088{}\\uc0\\u1072{}\\uc0\\u1074{}\\uc0\\u1080{}\\uc0\\u1090{}\\uc0\\u1077{}\\uc0\\u1083{}\\uc0\\u1100{}\\uc0\\u1089{}\\uc0\\u1090{}\\uc0\\u1074{}\\uc0\\u1086{} \\uc0\\u1056{}\\uc0\\u1086{}\\uc0\\u1089{}\\uc0\\u1089{}\\uc0\\u1080{}\\uc0\\u1081{}\\uc0\\u1089{}\\uc0\\u1082{}\\uc0\\u1086{}\\uc0\\u1081{} \\uc0\\u1060{}\\uc0\\u1077{}\\uc0\\u1076{}\\uc0\\u1077{}\\uc0\\u1088{}\\uc0\\u1072{}\\uc0\\u1094{}\\uc0\\u1080{}\\uc0\\u1080{}, 2008)","plainCitation":"(Правительство Российской Федерации, 2008)","noteIndex":0},"citationItems":[{"id":175,"uris":["http://zotero.org/users/3945180/items/NB35SCGT"],"uri":["http://zotero.org/users/3945180/items/NB35SCGT"],"itemData":{"id":175,"type":"bill","language":"ru","number":"N 2043-р","title":"Стратегия развития финансового рынка Российской Федерации на период до 2020 года","author":[{"family":"Правительство Российской Федерации","given":""}],"issued":{"date-parts":[["2008"]]}}}],"schema":"https://github.com/citation-style-language/schema/raw/master/csl-citation.json"} </w:instrText>
      </w:r>
      <w:r w:rsidR="005E18D7">
        <w:fldChar w:fldCharType="separate"/>
      </w:r>
      <w:r w:rsidR="005E18D7" w:rsidRPr="005E18D7">
        <w:t>(Правительство Российской Федерации, 2008)</w:t>
      </w:r>
      <w:r w:rsidR="005E18D7">
        <w:fldChar w:fldCharType="end"/>
      </w:r>
      <w:r w:rsidR="005E18D7">
        <w:t>.</w:t>
      </w:r>
    </w:p>
    <w:p w:rsidR="00A07E99" w:rsidRDefault="00A07E99" w:rsidP="00E24F3D">
      <w:r>
        <w:t xml:space="preserve">В рамках данной программы государство стимулирует открытие Индивидуальных Инвестиционных Счетов (ИИС), которые должны обеспечить приток частного капитала на финансовый рынок и стимулировать участников на проведение финансовых операций. По данным на 01.02.2020 Московская Биржа зарегистрировала более </w:t>
      </w:r>
      <w:r w:rsidRPr="00A07E99">
        <w:t>1</w:t>
      </w:r>
      <w:r>
        <w:t>,7 миллиона заявок на открытие ИИС</w:t>
      </w:r>
      <w:r w:rsidR="002E23D1">
        <w:t xml:space="preserve"> </w:t>
      </w:r>
      <w:r w:rsidR="00042BBC">
        <w:fldChar w:fldCharType="begin"/>
      </w:r>
      <w:r w:rsidR="0091382E">
        <w:instrText xml:space="preserve"> ADDIN ZOTERO_ITEM CSL_CITATION {"citationID":"ec81SqSW","properties":{"formattedCitation":"(\\uc0\\u1052{}\\uc0\\u1086{}\\uc0\\u1089{}\\uc0\\u1082{}\\uc0\\u1086{}\\uc0\\u1074{}\\uc0\\u1089{}\\uc0\\u1082{}\\uc0\\u1072{}\\uc0\\u1103{} \\uc0\\u1041{}\\uc0\\u1080{}\\uc0\\u1088{}\\uc0\\u1078{}\\uc0\\u1072{}, 2020a)","plainCitation":"(Московская Биржа, 2020a)","noteIndex":0},"citationItems":[{"id":1,"uris":["http://zotero.org/users/3945180/items/RBXZ94QA"],"uri":["http://zotero.org/users/3945180/items/RBXZ94QA"],"itemData":{"id":1,"type":"webpage","container-title":"Московская Биржа","language":"ru","title":"Рейтинг участников торгов по количеству зарегистрированных Индивидуальных инвестиционных счетов","URL":"https://www.moex.com/ru/spot/members-rating.aspx?rid=125","author":[{"family":"Московская Биржа","given":""}],"issued":{"date-parts":[["2020",3,30]]}}}],"schema":"https://github.com/citation-style-language/schema/raw/master/csl-citation.json"} </w:instrText>
      </w:r>
      <w:r w:rsidR="00042BBC">
        <w:fldChar w:fldCharType="separate"/>
      </w:r>
      <w:r w:rsidR="0091382E" w:rsidRPr="0091382E">
        <w:t>(Московская Биржа, 2020a)</w:t>
      </w:r>
      <w:r w:rsidR="00042BBC">
        <w:fldChar w:fldCharType="end"/>
      </w:r>
      <w:r>
        <w:t xml:space="preserve">, </w:t>
      </w:r>
      <w:r w:rsidRPr="00116254">
        <w:t>причем наибольший прирост количества открытых ИИС приходится на 2019 год (</w:t>
      </w:r>
      <w:r w:rsidR="00627659" w:rsidRPr="00116254">
        <w:t>более 1,5</w:t>
      </w:r>
      <w:r w:rsidRPr="00116254">
        <w:t xml:space="preserve"> </w:t>
      </w:r>
      <w:r w:rsidR="00627659" w:rsidRPr="00116254">
        <w:t>млн</w:t>
      </w:r>
      <w:r w:rsidRPr="00116254">
        <w:t xml:space="preserve"> ИИС за год), хотя</w:t>
      </w:r>
      <w:r>
        <w:t xml:space="preserve"> сама программа, предоставляющая частным лицам возможность открыть ИИС у брокера (брокерский счет) или у управляющей компании (счет доверительного управления) </w:t>
      </w:r>
      <w:r w:rsidR="00E24F3D">
        <w:t>существует с 1 января 2015 года</w:t>
      </w:r>
      <w:r>
        <w:t>.</w:t>
      </w:r>
    </w:p>
    <w:p w:rsidR="00A07E99" w:rsidRPr="009B626A" w:rsidRDefault="00023351" w:rsidP="00A07E99">
      <w:pPr>
        <w:pStyle w:val="2"/>
      </w:pPr>
      <w:r>
        <w:t>Ликвидность</w:t>
      </w:r>
    </w:p>
    <w:p w:rsidR="00CB0232" w:rsidRDefault="00CB0232" w:rsidP="00A07E99">
      <w:r>
        <w:t>Одной из основных характеристик финансового рынка является ликвидность.</w:t>
      </w:r>
    </w:p>
    <w:p w:rsidR="0003080A" w:rsidRDefault="00A07E99" w:rsidP="00A07E99">
      <w:r>
        <w:t>Существует множество способов определения ликвидности. Общая идея всех сводится к тому, что ликвидность характеризуется</w:t>
      </w:r>
      <w:r w:rsidR="00E97DC6">
        <w:t xml:space="preserve"> наличием продавцов и покупателей на рынке,</w:t>
      </w:r>
      <w:r>
        <w:t xml:space="preserve"> скоростью исполнения заявки и влиянием</w:t>
      </w:r>
      <w:r w:rsidR="0003080A">
        <w:t xml:space="preserve"> ее</w:t>
      </w:r>
      <w:r>
        <w:t xml:space="preserve"> исполнения на цену.</w:t>
      </w:r>
    </w:p>
    <w:p w:rsidR="00CA494C" w:rsidRDefault="00CA494C" w:rsidP="00CA494C">
      <w:r>
        <w:lastRenderedPageBreak/>
        <w:t xml:space="preserve">Рассматривать ликвидность необходимо в разрезе не всего рынка, а индивидуально для каждого инструмента. Причем, если один и тот же инструмент торгуется на разных площадках, например, на </w:t>
      </w:r>
      <w:r>
        <w:rPr>
          <w:lang w:val="en-US"/>
        </w:rPr>
        <w:t>NYSE</w:t>
      </w:r>
      <w:r w:rsidRPr="002904B5">
        <w:t xml:space="preserve"> </w:t>
      </w:r>
      <w:r>
        <w:t xml:space="preserve">и </w:t>
      </w:r>
      <w:r>
        <w:rPr>
          <w:lang w:val="en-US"/>
        </w:rPr>
        <w:t>AMEX</w:t>
      </w:r>
      <w:r>
        <w:t>, то изучение ликвидности такого инструмента имеет смысл производить отдельно для каждой площадки в силу того, что данные площадки характеризуются разным уровнем оборотов торговли</w:t>
      </w:r>
      <w:r w:rsidR="006618FD">
        <w:rPr>
          <w:noProof/>
        </w:rPr>
        <w:t xml:space="preserve"> </w:t>
      </w:r>
      <w:r w:rsidR="006618FD">
        <w:rPr>
          <w:noProof/>
        </w:rPr>
        <w:fldChar w:fldCharType="begin"/>
      </w:r>
      <w:r w:rsidR="00651EA5">
        <w:rPr>
          <w:noProof/>
        </w:rPr>
        <w:instrText xml:space="preserve"> ADDIN ZOTERO_ITEM CSL_CITATION {"citationID":"qDReQlwb","properties":{"formattedCitation":"(Bernstein, 1987)","plainCitation":"(Bernstein, 1987)","noteIndex":0},"citationItems":[{"id":156,"uris":["http://zotero.org/users/3945180/items/NKPM8IGZ"],"uri":["http://zotero.org/users/3945180/items/NKPM8IGZ"],"itemData":{"id":156,"type":"article-journal","container-title":"Financial Management","issue":"2","journalAbbreviation":"Financial Management","language":"en","page":"54","source":"DOI.org (Crossref)","title":"Liquidity, Stock Markets, and Market Makers","volume":"16","author":[{"family":"Bernstein","given":"Peter L."}],"issued":{"date-parts":[["1987"]]}}}],"schema":"https://github.com/citation-style-language/schema/raw/master/csl-citation.json"} </w:instrText>
      </w:r>
      <w:r w:rsidR="006618FD">
        <w:rPr>
          <w:noProof/>
        </w:rPr>
        <w:fldChar w:fldCharType="separate"/>
      </w:r>
      <w:r w:rsidR="006618FD">
        <w:rPr>
          <w:noProof/>
        </w:rPr>
        <w:t>(Bernstein, 1987)</w:t>
      </w:r>
      <w:r w:rsidR="006618FD">
        <w:rPr>
          <w:noProof/>
        </w:rPr>
        <w:fldChar w:fldCharType="end"/>
      </w:r>
      <w:r>
        <w:t xml:space="preserve">. </w:t>
      </w:r>
      <w:r w:rsidR="00E97DC6">
        <w:t>Следовательно, далее рассматривается ликвидность одного финансового актива на одной площадке. С</w:t>
      </w:r>
      <w:r>
        <w:t>тепень ликвидности финансового актива зависит также от ряда фундаментальных характеристик ценной бумаги. Если рассматривать фондовый рынок, то к таким характеристикам можно отнести размер компании, уровень капитализации, соотношение цены и прибыли</w:t>
      </w:r>
      <w:r w:rsidR="006618FD">
        <w:rPr>
          <w:noProof/>
        </w:rPr>
        <w:t xml:space="preserve"> </w:t>
      </w:r>
      <w:r w:rsidR="006618FD">
        <w:rPr>
          <w:noProof/>
        </w:rPr>
        <w:fldChar w:fldCharType="begin"/>
      </w:r>
      <w:r w:rsidR="005E18D7">
        <w:rPr>
          <w:noProof/>
        </w:rPr>
        <w:instrText xml:space="preserve"> ADDIN ZOTERO_ITEM CSL_CITATION {"citationID":"5TA6vttf","properties":{"formattedCitation":"(Cooper et al., 1985)","plainCitation":"(Cooper et al., 1985)","noteIndex":0},"citationItems":[{"id":158,"uris":["http://zotero.org/users/3945180/items/JT5F7H6V"],"uri":["http://zotero.org/users/3945180/items/JT5F7H6V"],"itemData":{"id":158,"type":"article-journal","container-title":"Journal of Economics and Business","issue":"1","journalAbbreviation":"Journal of Economics and Business","language":"en","page":"19-33","title":"Liquidity Exchange Listing and Common Stock Performance","volume":"37","author":[{"family":"Cooper","given":"Dr. S. Kerry"},{"family":"Groth","given":"Dr. John C."},{"family":"Avera","given":"Dr. William E."}],"issued":{"date-parts":[["1985"]]}}}],"schema":"https://github.com/citation-style-language/schema/raw/master/csl-citation.json"} </w:instrText>
      </w:r>
      <w:r w:rsidR="006618FD">
        <w:rPr>
          <w:noProof/>
        </w:rPr>
        <w:fldChar w:fldCharType="separate"/>
      </w:r>
      <w:r w:rsidR="006618FD">
        <w:rPr>
          <w:noProof/>
        </w:rPr>
        <w:t>(Cooper et al., 1985)</w:t>
      </w:r>
      <w:r w:rsidR="006618FD">
        <w:rPr>
          <w:noProof/>
        </w:rPr>
        <w:fldChar w:fldCharType="end"/>
      </w:r>
      <w:r>
        <w:t>.</w:t>
      </w:r>
    </w:p>
    <w:p w:rsidR="00ED0CAB" w:rsidRPr="0012593E" w:rsidRDefault="00ED0CAB" w:rsidP="00ED0CAB">
      <w:r>
        <w:t xml:space="preserve">Оценка ликвидности позволяет участникам торгов оценить риски ликвидации своей позиции и оптимизировать свою торговую стратегию в условиях данного рынка. Участник торгов при высокой ликвидности может выставить крупную заявку и быть уверенным, что ему удастся исполнить ее по оптимальной цене и с наименьшими транзакционными издержками. На таком рынке его заявка будет исполнена быстро, </w:t>
      </w:r>
      <w:r w:rsidR="00276BA0">
        <w:t>затронет</w:t>
      </w:r>
      <w:r>
        <w:t xml:space="preserve"> минимальное количество уровней цен</w:t>
      </w:r>
      <w:r w:rsidR="00276BA0">
        <w:t>ы, окажет</w:t>
      </w:r>
      <w:r>
        <w:t xml:space="preserve"> минимальн</w:t>
      </w:r>
      <w:r w:rsidR="00276BA0">
        <w:t>ое</w:t>
      </w:r>
      <w:r>
        <w:t xml:space="preserve"> влияние на рынок и рыночную цену. В то</w:t>
      </w:r>
      <w:r w:rsidR="00276BA0">
        <w:t xml:space="preserve"> же</w:t>
      </w:r>
      <w:r>
        <w:t xml:space="preserve"> время на низко ликвидном рынке выставление </w:t>
      </w:r>
      <w:r w:rsidR="00276BA0">
        <w:t>крупной</w:t>
      </w:r>
      <w:r>
        <w:t xml:space="preserve"> заявки будет сопряжено с рядом трудностей. В частности, заявка будет долго ждать исполнения, а когда все же будет исполнена, то затронет несколько уровней цены и окажет значительное влияние на рынок. Поэтому, выходя на такой рынок с целью исполнить крупную заявку, участник вероятнее всего раздробит ее на несколько частей и будет выставлять их с определенной периодичностью, чтобы обеспечить наибольшую возможную цену исполнения за счет корректировок, происходящих на рынке после исполнения его предыдущей заявки </w:t>
      </w:r>
      <w:r w:rsidR="00EB6BEF">
        <w:fldChar w:fldCharType="begin"/>
      </w:r>
      <w:r w:rsidR="006618FD">
        <w:instrText xml:space="preserve"> ADDIN ZOTERO_ITEM CSL_CITATION {"citationID":"LGXLuShk","properties":{"formattedCitation":"(\\uc0\\u1053{}\\uc0\\u1072{}\\uc0\\u1091{}\\uc0\\u1084{}\\uc0\\u1077{}\\uc0\\u1085{}\\uc0\\u1082{}\\uc0\\u1086{}, 2007)","plainCitation":"(Науменко, 2007)","noteIndex":0},"citationItems":[{"id":154,"uris":["http://zotero.org/users/3945180/items/P2E52MAH"],"uri":["http://zotero.org/users/3945180/items/P2E52MAH"],"itemData":{"id":154,"type":"thesis","event-place":"Москва","genre":"Препринт","language":"ru","number-of-pages":"52","publisher":"ГУ ВШЭ","publisher-place":"Москва","title":"Моделирование риска рыночной ликвидности с учетом глубины рынка","author":[{"family":"Науменко","given":"В.В."}],"issued":{"date-parts":[["2007"]]}}}],"schema":"https://github.com/citation-style-language/schema/raw/master/csl-citation.json"} </w:instrText>
      </w:r>
      <w:r w:rsidR="00EB6BEF">
        <w:fldChar w:fldCharType="separate"/>
      </w:r>
      <w:r w:rsidR="00EB6BEF" w:rsidRPr="00EB6BEF">
        <w:t>(Науменко, 2007)</w:t>
      </w:r>
      <w:r w:rsidR="00EB6BEF">
        <w:fldChar w:fldCharType="end"/>
      </w:r>
      <w:r w:rsidR="00EB6BEF">
        <w:t>.</w:t>
      </w:r>
    </w:p>
    <w:p w:rsidR="00A07E99" w:rsidRPr="0073047A" w:rsidRDefault="00A07E99" w:rsidP="00A07E99">
      <w:pPr>
        <w:pStyle w:val="2"/>
      </w:pPr>
      <w:bookmarkStart w:id="1" w:name="_Toc38914804"/>
      <w:r>
        <w:t>Оценка ликвидности</w:t>
      </w:r>
      <w:bookmarkEnd w:id="1"/>
    </w:p>
    <w:p w:rsidR="00253697" w:rsidRDefault="00A07E99" w:rsidP="00A07E99">
      <w:r w:rsidRPr="00D2551C">
        <w:t>На</w:t>
      </w:r>
      <w:r>
        <w:t xml:space="preserve"> </w:t>
      </w:r>
      <w:r w:rsidRPr="00D2551C">
        <w:t xml:space="preserve">данный момент не существует единой меры ликвидности, которая использовалась бы повсеместно и не </w:t>
      </w:r>
      <w:r w:rsidR="00253697">
        <w:t>испытывала критики со стороны исследователей</w:t>
      </w:r>
      <w:r w:rsidRPr="00D2551C">
        <w:t>. В силу</w:t>
      </w:r>
      <w:r w:rsidR="00253697">
        <w:t xml:space="preserve"> различных ограничений, например,</w:t>
      </w:r>
      <w:r w:rsidRPr="00D2551C">
        <w:t xml:space="preserve"> </w:t>
      </w:r>
      <w:r w:rsidR="00253697">
        <w:t>отсутствия</w:t>
      </w:r>
      <w:r w:rsidRPr="00D2551C">
        <w:t xml:space="preserve"> доступа к</w:t>
      </w:r>
      <w:r w:rsidR="00253697">
        <w:t xml:space="preserve"> внутридневным торговым данным,</w:t>
      </w:r>
      <w:r w:rsidRPr="00D2551C">
        <w:t xml:space="preserve"> их большого размера</w:t>
      </w:r>
      <w:r w:rsidR="00253697">
        <w:t xml:space="preserve"> или отсутствия детализации</w:t>
      </w:r>
      <w:r w:rsidRPr="00D2551C">
        <w:t>, при выбор</w:t>
      </w:r>
      <w:r w:rsidR="00253697">
        <w:t xml:space="preserve">е метода оценки ликвидности </w:t>
      </w:r>
      <w:r w:rsidRPr="00D2551C">
        <w:t>исследователи</w:t>
      </w:r>
      <w:r w:rsidR="00253697">
        <w:t xml:space="preserve"> пытаются найти баланс между надежностью измерения, доступностью данных и вычислительной сложностью. Это объясняет факт существования большого количества подходов к оценке ликвидности.</w:t>
      </w:r>
    </w:p>
    <w:p w:rsidR="00A07E99" w:rsidRPr="00576BD0" w:rsidRDefault="0040317C" w:rsidP="00C6636E">
      <w:r>
        <w:t xml:space="preserve">В ранних работах в качестве </w:t>
      </w:r>
      <w:r w:rsidR="00C6636E">
        <w:t>прокси</w:t>
      </w:r>
      <w:r>
        <w:t xml:space="preserve"> ликвидности авторами использовался объем торгов по ценной бумаге</w:t>
      </w:r>
      <w:r w:rsidR="00C6636E">
        <w:t xml:space="preserve"> </w:t>
      </w:r>
      <w:r w:rsidR="00C6636E">
        <w:fldChar w:fldCharType="begin"/>
      </w:r>
      <w:r w:rsidR="00C6636E">
        <w:instrText xml:space="preserve"> ADDIN ZOTERO_ITEM CSL_CITATION {"citationID":"dS2traeI","properties":{"formattedCitation":"(James and Edmister, 1983)","plainCitation":"(James and Edmister, 1983)","noteIndex":0},"citationItems":[{"id":186,"uris":["http://zotero.org/users/3945180/items/FQNZ893G"],"uri":["http://zotero.org/users/3945180/items/FQNZ893G"],"itemData":{"id":186,"type":"article-journal","abstract":"This study examines the relation between common stock returns, trading activity and market value. Our results indicate that although firm size and trading activity are highly correlated, differences in trading activity are not the underlying reason for the firm size anomaly, the finding of systematic differences in risk adjusted returns across stocks of firms of different size.","container-title":"The Journal of Finance","issue":"4","journalAbbreviation":"The Journal of Finance","language":"en","page":"13","source":"Zotero","title":"The Relation Between Common Stock Returns Trading Activity and Market Value","volume":"38","author":[{"family":"James","given":"Christopher"},{"family":"Edmister","given":"Robert O."}],"issued":{"date-parts":[["1983",9]]}}}],"schema":"https://github.com/citation-style-language/schema/raw/master/csl-citation.json"} </w:instrText>
      </w:r>
      <w:r w:rsidR="00C6636E">
        <w:fldChar w:fldCharType="separate"/>
      </w:r>
      <w:r w:rsidR="00C6636E">
        <w:rPr>
          <w:noProof/>
        </w:rPr>
        <w:t>(James and Edmister, 1983)</w:t>
      </w:r>
      <w:r w:rsidR="00C6636E">
        <w:fldChar w:fldCharType="end"/>
      </w:r>
      <w:r>
        <w:t>.</w:t>
      </w:r>
      <w:r w:rsidR="00C6636E">
        <w:t xml:space="preserve"> Доказывая </w:t>
      </w:r>
      <w:proofErr w:type="spellStart"/>
      <w:r w:rsidR="00C6636E">
        <w:t>нерепрезентативность</w:t>
      </w:r>
      <w:proofErr w:type="spellEnd"/>
      <w:r w:rsidR="00C6636E">
        <w:t xml:space="preserve"> данного метода, </w:t>
      </w:r>
      <w:r w:rsidR="00A07E99">
        <w:t xml:space="preserve">исследователи </w:t>
      </w:r>
      <w:r w:rsidR="002403AF">
        <w:fldChar w:fldCharType="begin"/>
      </w:r>
      <w:r w:rsidR="005E18D7">
        <w:instrText xml:space="preserve"> ADDIN ZOTERO_ITEM CSL_CITATION {"citationID":"Ezaa1f2T","properties":{"formattedCitation":"(Cooper et al., 1985)","plainCitation":"(Cooper et al., 1985)","noteIndex":0},"citationItems":[{"id":158,"uris":["http://zotero.org/users/3945180/items/JT5F7H6V"],"uri":["http://zotero.org/users/3945180/items/JT5F7H6V"],"itemData":{"id":158,"type":"article-journal","container-title":"Journal of Economics and Business","issue":"1","journalAbbreviation":"Journal of Economics and Business","language":"en","page":"19-33","title":"Liquidity Exchange Listing and Common Stock Performance","volume":"37","author":[{"family":"Cooper","given":"Dr. S. Kerry"},{"family":"Groth","given":"Dr. John C."},{"family":"Avera","given":"Dr. William E."}],"issued":{"date-parts":[["1985"]]}}}],"schema":"https://github.com/citation-style-language/schema/raw/master/csl-citation.json"} </w:instrText>
      </w:r>
      <w:r w:rsidR="002403AF">
        <w:fldChar w:fldCharType="separate"/>
      </w:r>
      <w:r w:rsidR="002403AF">
        <w:rPr>
          <w:noProof/>
        </w:rPr>
        <w:t>(Cooper et al., 1985)</w:t>
      </w:r>
      <w:r w:rsidR="002403AF">
        <w:fldChar w:fldCharType="end"/>
      </w:r>
      <w:r w:rsidR="002403AF">
        <w:rPr>
          <w:noProof/>
        </w:rPr>
        <w:t xml:space="preserve"> </w:t>
      </w:r>
      <w:r w:rsidR="00A07E99">
        <w:t xml:space="preserve">на основе дневных данных (цены </w:t>
      </w:r>
      <w:r w:rsidR="00A07E99">
        <w:lastRenderedPageBreak/>
        <w:t xml:space="preserve">закрытия, объемы за день и процентные изменения цены) ввели коэффициент ликвидности, который показывает оборот торгов, необходимый для </w:t>
      </w:r>
      <w:r w:rsidR="00576BD0">
        <w:t>однопроцентного изменения цены:</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513"/>
        <w:gridCol w:w="555"/>
      </w:tblGrid>
      <w:tr w:rsidR="00576BD0" w:rsidTr="00576BD0">
        <w:trPr>
          <w:jc w:val="center"/>
        </w:trPr>
        <w:tc>
          <w:tcPr>
            <w:tcW w:w="8784" w:type="dxa"/>
            <w:gridSpan w:val="2"/>
            <w:vAlign w:val="center"/>
          </w:tcPr>
          <w:p w:rsidR="00576BD0" w:rsidRPr="00AB63DA" w:rsidRDefault="00576BD0" w:rsidP="00576BD0">
            <w:pPr>
              <w:rPr>
                <w:i/>
                <w:lang w:val="en-US"/>
              </w:rPr>
            </w:pPr>
            <m:oMathPara>
              <m:oMath>
                <m:r>
                  <w:rPr>
                    <w:rFonts w:ascii="Cambria Math" w:hAnsi="Cambria Math"/>
                  </w:rPr>
                  <m:t>LR=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nary>
                  </m:den>
                </m:f>
              </m:oMath>
            </m:oMathPara>
          </w:p>
        </w:tc>
        <w:tc>
          <w:tcPr>
            <w:tcW w:w="555" w:type="dxa"/>
            <w:vAlign w:val="center"/>
          </w:tcPr>
          <w:p w:rsidR="00576BD0" w:rsidRPr="00AB63DA" w:rsidRDefault="00576BD0" w:rsidP="00576BD0">
            <w:pPr>
              <w:ind w:firstLine="0"/>
              <w:jc w:val="center"/>
              <w:rPr>
                <w:lang w:val="en-US"/>
              </w:rPr>
            </w:pPr>
            <w:r>
              <w:rPr>
                <w:lang w:val="en-US"/>
              </w:rPr>
              <w:t>(1)</w:t>
            </w:r>
          </w:p>
        </w:tc>
      </w:tr>
      <w:tr w:rsidR="00576BD0" w:rsidTr="00576BD0">
        <w:trPr>
          <w:jc w:val="center"/>
        </w:trPr>
        <w:tc>
          <w:tcPr>
            <w:tcW w:w="1271" w:type="dxa"/>
          </w:tcPr>
          <w:p w:rsidR="00576BD0" w:rsidRDefault="00576BD0" w:rsidP="00576BD0">
            <w:pPr>
              <w:ind w:firstLine="591"/>
              <w:jc w:val="left"/>
              <w:rPr>
                <w:rFonts w:eastAsia="Calibri"/>
              </w:rPr>
            </w:pPr>
            <w:r>
              <w:rPr>
                <w:rFonts w:eastAsia="Calibri"/>
              </w:rPr>
              <w:t>где,</w:t>
            </w:r>
          </w:p>
        </w:tc>
        <w:tc>
          <w:tcPr>
            <w:tcW w:w="7513" w:type="dxa"/>
            <w:vAlign w:val="center"/>
          </w:tcPr>
          <w:p w:rsidR="00576BD0" w:rsidRDefault="009A6400" w:rsidP="00576BD0">
            <w:pPr>
              <w:ind w:left="320" w:firstLine="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76BD0">
              <w:t xml:space="preserve"> –</w:t>
            </w:r>
            <w:r w:rsidR="00EC443A">
              <w:t xml:space="preserve"> </w:t>
            </w:r>
            <w:r w:rsidR="00576BD0">
              <w:t>цена закрытия</w:t>
            </w:r>
            <w:r w:rsidR="00EC443A">
              <w:t xml:space="preserve"> торгового дня</w:t>
            </w:r>
            <w:r w:rsidR="00576BD0">
              <w:t xml:space="preserve"> акции</w:t>
            </w:r>
            <w:r w:rsidR="00576BD0" w:rsidRPr="00F961B5">
              <w:t xml:space="preserve"> </w:t>
            </w:r>
            <w:proofErr w:type="spellStart"/>
            <w:r w:rsidR="00576BD0">
              <w:rPr>
                <w:lang w:val="en-US"/>
              </w:rPr>
              <w:t>i</w:t>
            </w:r>
            <w:proofErr w:type="spellEnd"/>
            <w:r w:rsidR="00EC443A">
              <w:t xml:space="preserve"> (</w:t>
            </w:r>
            <w:proofErr w:type="spellStart"/>
            <w:r w:rsidR="00EC443A">
              <w:t>усл.ед</w:t>
            </w:r>
            <w:proofErr w:type="spellEnd"/>
            <w:r w:rsidR="00EC443A">
              <w:t>.)</w:t>
            </w:r>
            <w:r w:rsidR="00576BD0" w:rsidRPr="00F961B5">
              <w:t>;</w:t>
            </w:r>
          </w:p>
          <w:p w:rsidR="00576BD0" w:rsidRDefault="009A6400" w:rsidP="00576BD0">
            <w:pPr>
              <w:ind w:left="320" w:firstLine="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76BD0" w:rsidRPr="00F961B5">
              <w:rPr>
                <w:rFonts w:eastAsiaTheme="minorEastAsia"/>
              </w:rPr>
              <w:t xml:space="preserve"> – </w:t>
            </w:r>
            <w:r w:rsidR="00576BD0">
              <w:rPr>
                <w:rFonts w:eastAsiaTheme="minorEastAsia"/>
              </w:rPr>
              <w:t xml:space="preserve">дневной оборот акции </w:t>
            </w:r>
            <w:proofErr w:type="spellStart"/>
            <w:r w:rsidR="00576BD0">
              <w:rPr>
                <w:rFonts w:eastAsiaTheme="minorEastAsia"/>
                <w:lang w:val="en-US"/>
              </w:rPr>
              <w:t>i</w:t>
            </w:r>
            <w:proofErr w:type="spellEnd"/>
            <w:r w:rsidR="00EC443A">
              <w:rPr>
                <w:rFonts w:eastAsiaTheme="minorEastAsia"/>
              </w:rPr>
              <w:t xml:space="preserve"> (шт.)</w:t>
            </w:r>
            <w:r w:rsidR="00576BD0" w:rsidRPr="00F961B5">
              <w:rPr>
                <w:rFonts w:eastAsiaTheme="minorEastAsia"/>
              </w:rPr>
              <w:t>;</w:t>
            </w:r>
          </w:p>
          <w:p w:rsidR="00576BD0" w:rsidRPr="00576BD0" w:rsidRDefault="009A6400" w:rsidP="00576BD0">
            <w:pPr>
              <w:ind w:left="320" w:firstLine="0"/>
              <w:rPr>
                <w:rFonts w:eastAsiaTheme="minorEastAsia"/>
              </w:rPr>
            </w:pP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576BD0" w:rsidRPr="00F961B5">
              <w:rPr>
                <w:rFonts w:eastAsiaTheme="minorEastAsia"/>
              </w:rPr>
              <w:t xml:space="preserve"> – </w:t>
            </w:r>
            <w:r w:rsidR="00576BD0">
              <w:rPr>
                <w:rFonts w:eastAsiaTheme="minorEastAsia"/>
              </w:rPr>
              <w:t xml:space="preserve">сумма абсолютных процентных изменений цены на акцию </w:t>
            </w:r>
            <w:proofErr w:type="spellStart"/>
            <w:r w:rsidR="00576BD0">
              <w:rPr>
                <w:rFonts w:eastAsiaTheme="minorEastAsia"/>
                <w:lang w:val="en-US"/>
              </w:rPr>
              <w:t>i</w:t>
            </w:r>
            <w:proofErr w:type="spellEnd"/>
            <w:r w:rsidR="00576BD0" w:rsidRPr="00F961B5">
              <w:rPr>
                <w:rFonts w:eastAsiaTheme="minorEastAsia"/>
              </w:rPr>
              <w:t>.</w:t>
            </w:r>
          </w:p>
        </w:tc>
        <w:tc>
          <w:tcPr>
            <w:tcW w:w="555" w:type="dxa"/>
            <w:vAlign w:val="center"/>
          </w:tcPr>
          <w:p w:rsidR="00576BD0" w:rsidRPr="00576BD0" w:rsidRDefault="00576BD0" w:rsidP="00576BD0">
            <w:pPr>
              <w:ind w:firstLine="0"/>
              <w:jc w:val="center"/>
            </w:pPr>
          </w:p>
        </w:tc>
      </w:tr>
    </w:tbl>
    <w:p w:rsidR="00576BD0" w:rsidRPr="00F961B5" w:rsidRDefault="00576BD0" w:rsidP="00576BD0">
      <w:pPr>
        <w:ind w:firstLine="0"/>
      </w:pPr>
    </w:p>
    <w:p w:rsidR="00B04005" w:rsidRDefault="00A07E99" w:rsidP="00A07E99">
      <w:r>
        <w:t xml:space="preserve">В силу использования дневных данных, основным недостатком </w:t>
      </w:r>
      <w:r w:rsidR="002C4B83">
        <w:t>обеих</w:t>
      </w:r>
      <w:r>
        <w:t xml:space="preserve"> метрик является </w:t>
      </w:r>
      <w:r w:rsidR="002C4B83">
        <w:t>их</w:t>
      </w:r>
      <w:r>
        <w:t xml:space="preserve"> применимость только к задачам, нацеленным на получение долгосрочной оценки, в то время как более высокую ценность представляет оценка текущей или внутридневной ликвидности. Ее оценивание требует менее широкого горизонта, но большей детализации. Анализ таких данных позволяет нивелировать влияние прошлых событий и поймать краткосрочные тренды.</w:t>
      </w:r>
    </w:p>
    <w:p w:rsidR="00D4710F" w:rsidRPr="00D4710F" w:rsidRDefault="00A4423B" w:rsidP="00D4710F">
      <w:r>
        <w:t xml:space="preserve">В работе </w:t>
      </w:r>
      <w:r w:rsidR="005B2495">
        <w:fldChar w:fldCharType="begin"/>
      </w:r>
      <w:r w:rsidR="00651EA5">
        <w:instrText xml:space="preserve"> ADDIN ZOTERO_ITEM CSL_CITATION {"citationID":"xskFpCmu","properties":{"formattedCitation":"(Kyle, 1985)","plainCitation":"(Kyle, 1985)","dontUpdate":true,"noteIndex":0},"citationItems":[{"id":164,"uris":["http://zotero.org/users/3945180/items/74HHS6LU"],"uri":["http://zotero.org/users/3945180/items/74HHS6LU"],"itemData":{"id":164,"type":"article-journal","container-title":"Econometrica","issue":"6","journalAbbreviation":"Econometrica","language":"en","page":"1315","source":"DOI.org (Crossref)","title":"Continuous Auctions and Insider Trading","volume":"53","author":[{"family":"Kyle","given":"Albert S."}],"issued":{"date-parts":[["1985",11]]}}}],"schema":"https://github.com/citation-style-language/schema/raw/master/csl-citation.json"} </w:instrText>
      </w:r>
      <w:r w:rsidR="005B2495">
        <w:fldChar w:fldCharType="separate"/>
      </w:r>
      <w:r w:rsidR="005B2495">
        <w:rPr>
          <w:noProof/>
        </w:rPr>
        <w:t>Kyle (1985)</w:t>
      </w:r>
      <w:r w:rsidR="005B2495">
        <w:fldChar w:fldCharType="end"/>
      </w:r>
      <w:r w:rsidR="005B2495">
        <w:rPr>
          <w:noProof/>
        </w:rPr>
        <w:t xml:space="preserve"> </w:t>
      </w:r>
      <w:r w:rsidR="00734740">
        <w:rPr>
          <w:noProof/>
        </w:rPr>
        <w:t xml:space="preserve">был </w:t>
      </w:r>
      <w:r>
        <w:t>предложен революционный вариант оценки ликвидности</w:t>
      </w:r>
      <w:r w:rsidR="00695B14">
        <w:t xml:space="preserve"> –</w:t>
      </w:r>
      <w:r>
        <w:t xml:space="preserve"> ликвидность</w:t>
      </w:r>
      <w:r w:rsidR="009157CC">
        <w:t xml:space="preserve"> должна рассматриваться с разных сторон и каждая из ее сторон</w:t>
      </w:r>
      <w:r>
        <w:t xml:space="preserve"> </w:t>
      </w:r>
      <w:r w:rsidR="009157CC">
        <w:t xml:space="preserve">требует детального рассмотрения при произведении оценки ликвидности. Автор </w:t>
      </w:r>
      <w:r w:rsidR="00EE5909">
        <w:t>предложил</w:t>
      </w:r>
      <w:r w:rsidR="009157CC">
        <w:t xml:space="preserve"> использовать многофакторный анали</w:t>
      </w:r>
      <w:r w:rsidR="00D4710F">
        <w:t xml:space="preserve">з, </w:t>
      </w:r>
      <w:r w:rsidR="00734740">
        <w:t xml:space="preserve">в рамках которого </w:t>
      </w:r>
      <w:r w:rsidR="00695B14">
        <w:t>выделяются</w:t>
      </w:r>
      <w:r w:rsidR="00D4710F">
        <w:t xml:space="preserve"> следующие </w:t>
      </w:r>
      <w:r w:rsidR="00C067B1">
        <w:t>стороны</w:t>
      </w:r>
      <w:r w:rsidR="00D4710F">
        <w:t xml:space="preserve"> ликвидности:</w:t>
      </w:r>
    </w:p>
    <w:p w:rsidR="00A07E99" w:rsidRDefault="00A07E99" w:rsidP="008F7BC5">
      <w:pPr>
        <w:pStyle w:val="ac"/>
        <w:numPr>
          <w:ilvl w:val="0"/>
          <w:numId w:val="1"/>
        </w:numPr>
      </w:pPr>
      <w:r>
        <w:t xml:space="preserve">С точки зрения </w:t>
      </w:r>
      <w:r w:rsidR="00CA55E3">
        <w:t>скорости</w:t>
      </w:r>
      <w:r>
        <w:t xml:space="preserve"> </w:t>
      </w:r>
      <w:r w:rsidR="00CA55E3">
        <w:t>возврата рынка</w:t>
      </w:r>
      <w:r>
        <w:t xml:space="preserve"> к исходному состоянию после совершения сделки – упругость;</w:t>
      </w:r>
    </w:p>
    <w:p w:rsidR="00A07E99" w:rsidRDefault="00A07E99" w:rsidP="008F7BC5">
      <w:pPr>
        <w:pStyle w:val="ac"/>
        <w:numPr>
          <w:ilvl w:val="0"/>
          <w:numId w:val="1"/>
        </w:numPr>
      </w:pPr>
      <w:r>
        <w:t>С точки зрения задержки между выставлением</w:t>
      </w:r>
      <w:r w:rsidR="00CA55E3">
        <w:t xml:space="preserve"> заявки</w:t>
      </w:r>
      <w:r>
        <w:t xml:space="preserve"> и </w:t>
      </w:r>
      <w:r w:rsidR="00CA55E3">
        <w:t>реакцией рынка на нее</w:t>
      </w:r>
      <w:r>
        <w:t xml:space="preserve"> – немедленность</w:t>
      </w:r>
      <w:r w:rsidRPr="00001C1E">
        <w:t>;</w:t>
      </w:r>
    </w:p>
    <w:p w:rsidR="00A07E99" w:rsidRDefault="00A07E99" w:rsidP="008F7BC5">
      <w:pPr>
        <w:pStyle w:val="ac"/>
        <w:numPr>
          <w:ilvl w:val="0"/>
          <w:numId w:val="1"/>
        </w:numPr>
      </w:pPr>
      <w:r>
        <w:t>С точки зрения объема выставленных заявок – глубина;</w:t>
      </w:r>
    </w:p>
    <w:p w:rsidR="00A07E99" w:rsidRPr="001A7201" w:rsidRDefault="00A07E99" w:rsidP="008F7BC5">
      <w:pPr>
        <w:pStyle w:val="ac"/>
        <w:numPr>
          <w:ilvl w:val="0"/>
          <w:numId w:val="1"/>
        </w:numPr>
      </w:pPr>
      <w:r>
        <w:t>С точки зрения отклонения цены сделки от средней рыночной цены – сжатость.</w:t>
      </w:r>
    </w:p>
    <w:p w:rsidR="00CD319A" w:rsidRPr="00CD319A" w:rsidRDefault="00CD319A" w:rsidP="00A07E99">
      <w:r>
        <w:t>О</w:t>
      </w:r>
      <w:r w:rsidR="00A07E99">
        <w:t xml:space="preserve">писанные ранее методы оценивают, в лучшем случае, только одну из ее сторон. </w:t>
      </w:r>
      <w:r w:rsidR="0051722B">
        <w:t>Получается</w:t>
      </w:r>
      <w:r>
        <w:t>,</w:t>
      </w:r>
      <w:r w:rsidR="0051722B">
        <w:t xml:space="preserve"> что</w:t>
      </w:r>
      <w:r w:rsidR="005B2495">
        <w:t xml:space="preserve"> </w:t>
      </w:r>
      <w:r w:rsidR="006C7ED7">
        <w:t>автор</w:t>
      </w:r>
      <w:r w:rsidRPr="00CD319A">
        <w:t xml:space="preserve"> </w:t>
      </w:r>
      <w:r>
        <w:t xml:space="preserve">взял все </w:t>
      </w:r>
      <w:r w:rsidR="0051722B">
        <w:t>существовавшие ранее методы оценки ликвидности, и, вместо того чтобы выбирать один из них, объединил их в одну комплексную оценку ликвидности. Эт</w:t>
      </w:r>
      <w:r w:rsidR="00C067B1">
        <w:t>а</w:t>
      </w:r>
      <w:r w:rsidR="0051722B">
        <w:t xml:space="preserve"> </w:t>
      </w:r>
      <w:r w:rsidR="006C7ED7">
        <w:t xml:space="preserve">универсальность </w:t>
      </w:r>
      <w:r>
        <w:t xml:space="preserve">объясняет, почему </w:t>
      </w:r>
      <w:r w:rsidR="00C067B1">
        <w:t xml:space="preserve">некоторые </w:t>
      </w:r>
      <w:r>
        <w:t xml:space="preserve">современные </w:t>
      </w:r>
      <w:r w:rsidR="00C067B1">
        <w:t>работы по оценке</w:t>
      </w:r>
      <w:r>
        <w:t xml:space="preserve"> лик</w:t>
      </w:r>
      <w:r w:rsidR="0051722B">
        <w:t>видности до сих пор основываются на принципе многофакторной оценки ликвидности.</w:t>
      </w:r>
    </w:p>
    <w:p w:rsidR="005868D1" w:rsidRDefault="002B02D1" w:rsidP="00A07E99">
      <w:r>
        <w:t>Примером работы, основанной на многофакторном методе является работа</w:t>
      </w:r>
      <w:r w:rsidR="0039446C">
        <w:rPr>
          <w:noProof/>
        </w:rPr>
        <w:t xml:space="preserve"> </w:t>
      </w:r>
      <w:r w:rsidR="0039446C">
        <w:rPr>
          <w:noProof/>
        </w:rPr>
        <w:fldChar w:fldCharType="begin"/>
      </w:r>
      <w:r w:rsidR="00651EA5">
        <w:rPr>
          <w:noProof/>
        </w:rPr>
        <w:instrText xml:space="preserve"> ADDIN ZOTERO_ITEM CSL_CITATION {"citationID":"Dj4eq2w0","properties":{"formattedCitation":"(Ranaldo, 2001)","plainCitation":"(Ranaldo, 2001)","noteIndex":0},"citationItems":[{"id":170,"uris":["http://zotero.org/users/3945180/items/5U22QSVL"],"uri":["http://zotero.org/users/3945180/items/5U22QSVL"],"itemData":{"id":170,"type":"article-journal","container-title":"Financial Markets and Portfolio Management","issue":"3","journalAbbreviation":"Financial Markets and Portfolio Management","language":"en","page":"309-327","source":"DOI.org (Crossref)","title":"Intraday market liquidity on the Swiss Stock Exchange","volume":"15","author":[{"family":"Ranaldo","given":"Angelo"}],"issued":{"date-parts":[["2001",9]]}}}],"schema":"https://github.com/citation-style-language/schema/raw/master/csl-citation.json"} </w:instrText>
      </w:r>
      <w:r w:rsidR="0039446C">
        <w:rPr>
          <w:noProof/>
        </w:rPr>
        <w:fldChar w:fldCharType="separate"/>
      </w:r>
      <w:r w:rsidR="0039446C">
        <w:rPr>
          <w:noProof/>
        </w:rPr>
        <w:t>(Ranaldo, 2001)</w:t>
      </w:r>
      <w:r w:rsidR="0039446C">
        <w:rPr>
          <w:noProof/>
        </w:rPr>
        <w:fldChar w:fldCharType="end"/>
      </w:r>
      <w:r>
        <w:t xml:space="preserve">. </w:t>
      </w:r>
      <w:r w:rsidR="005868D1">
        <w:t>Для проведения многофакторного анализа в работе используются следующие метрики ликвидности:</w:t>
      </w:r>
    </w:p>
    <w:p w:rsidR="005868D1" w:rsidRDefault="005868D1" w:rsidP="008F7BC5">
      <w:pPr>
        <w:pStyle w:val="ac"/>
        <w:numPr>
          <w:ilvl w:val="0"/>
          <w:numId w:val="8"/>
        </w:numPr>
      </w:pPr>
      <w:r>
        <w:lastRenderedPageBreak/>
        <w:t>Для оценки г</w:t>
      </w:r>
      <w:r w:rsidR="00A07E99" w:rsidRPr="005868D1">
        <w:t>лубин</w:t>
      </w:r>
      <w:r>
        <w:t xml:space="preserve">ы </w:t>
      </w:r>
      <w:r w:rsidR="000E4D6C">
        <w:t>использовалось</w:t>
      </w:r>
      <w:r w:rsidR="004B7728">
        <w:t xml:space="preserve"> о</w:t>
      </w:r>
      <w:r w:rsidR="004B7728" w:rsidRPr="006F3FBD">
        <w:t>тношение дисбаланса объема заявок на лучших цен</w:t>
      </w:r>
      <w:r w:rsidR="004B7728">
        <w:t xml:space="preserve">ах </w:t>
      </w:r>
      <w:r w:rsidR="004B7728" w:rsidRPr="006F3FBD">
        <w:t>к объему торгов</w:t>
      </w:r>
      <w:r>
        <w:t>;</w:t>
      </w:r>
    </w:p>
    <w:p w:rsidR="005868D1" w:rsidRDefault="005868D1" w:rsidP="008F7BC5">
      <w:pPr>
        <w:pStyle w:val="ac"/>
        <w:numPr>
          <w:ilvl w:val="0"/>
          <w:numId w:val="8"/>
        </w:numPr>
      </w:pPr>
      <w:r>
        <w:t>Для оценки с</w:t>
      </w:r>
      <w:r w:rsidR="00A07E99" w:rsidRPr="005868D1">
        <w:t>жатост</w:t>
      </w:r>
      <w:r>
        <w:t xml:space="preserve">и использовался </w:t>
      </w:r>
      <w:proofErr w:type="spellStart"/>
      <w:r>
        <w:t>бид-аск</w:t>
      </w:r>
      <w:proofErr w:type="spellEnd"/>
      <w:r>
        <w:t xml:space="preserve"> спред;</w:t>
      </w:r>
    </w:p>
    <w:p w:rsidR="00323926" w:rsidRDefault="00323926" w:rsidP="008F7BC5">
      <w:pPr>
        <w:pStyle w:val="ac"/>
        <w:numPr>
          <w:ilvl w:val="0"/>
          <w:numId w:val="8"/>
        </w:numPr>
      </w:pPr>
      <w:r>
        <w:t>Для оценки упругости использовался</w:t>
      </w:r>
      <w:r w:rsidR="004B7728">
        <w:t xml:space="preserve"> коэффициент ликвидности;</w:t>
      </w:r>
    </w:p>
    <w:p w:rsidR="005868D1" w:rsidRDefault="005868D1" w:rsidP="008F7BC5">
      <w:pPr>
        <w:pStyle w:val="ac"/>
        <w:numPr>
          <w:ilvl w:val="0"/>
          <w:numId w:val="8"/>
        </w:numPr>
      </w:pPr>
      <w:r>
        <w:t>Для оценки немедленности использовал</w:t>
      </w:r>
      <w:r w:rsidR="004B2DE6">
        <w:t xml:space="preserve">ось время </w:t>
      </w:r>
      <w:r w:rsidR="004B7728">
        <w:t>исполнением двух последующих заявок</w:t>
      </w:r>
      <w:r w:rsidR="004B2DE6">
        <w:t>.</w:t>
      </w:r>
    </w:p>
    <w:p w:rsidR="00CA55E3" w:rsidRDefault="00CA55E3" w:rsidP="00A07E99">
      <w:r>
        <w:t xml:space="preserve">Еще одной подобной работой является работа </w:t>
      </w:r>
      <w:r>
        <w:fldChar w:fldCharType="begin"/>
      </w:r>
      <w:r>
        <w:instrText xml:space="preserve"> ADDIN ZOTERO_ITEM CSL_CITATION {"citationID":"I0YRZtAt","properties":{"formattedCitation":"(Tsuchida et al., 2016)","plainCitation":"(Tsuchida et al., 2016)","noteIndex":0},"citationItems":[{"id":174,"uris":["http://zotero.org/users/3945180/items/L83EADCL"],"uri":["http://zotero.org/users/3945180/items/L83EADCL"],"itemData":{"id":174,"type":"paper-conference","abstract":"We investigate the intraday market liquidity of the Japanese government bond (JGB) futures. First, we overview the movement of various market liquidity indicators during the past decade, classifying them into four categories: tightness, depth, resiliency, and volume. Second, using the data under the current trade time, we extract their intraday pattern and the autocorrelation. Third, we find that the announcement of economic indicator has a negative effect on these liquidity indicators while the monetary policy announcement and the surprise of economic indicator have a positive effect on volume indicators. Fourth, we show that the shock persistence in liquidity indicators rises around April 2013, and the increased persistence remains in some liquidity indicators even several months after April 2013.","collection-title":"2016-E-7","event-place":"Japan","language":"en","page":"43","publisher":"Bank of Japan","publisher-place":"Japan","source":"Zotero","title":"The Intraday Market Liquidity of Japanese Government Bond Futures","author":[{"family":"Tsuchida","given":"Naoshi"},{"family":"Watanabe","given":"Toshiaki"},{"family":"Yoshiba","given":"Toshinao"}],"issued":{"date-parts":[["2016",7]]}}}],"schema":"https://github.com/citation-style-language/schema/raw/master/csl-citation.json"} </w:instrText>
      </w:r>
      <w:r>
        <w:fldChar w:fldCharType="separate"/>
      </w:r>
      <w:r>
        <w:rPr>
          <w:noProof/>
        </w:rPr>
        <w:t>(Tsuchida et al., 2016)</w:t>
      </w:r>
      <w:r>
        <w:fldChar w:fldCharType="end"/>
      </w:r>
      <w:r w:rsidR="00983079" w:rsidRPr="00983079">
        <w:t>.</w:t>
      </w:r>
      <w:r w:rsidR="00983079">
        <w:t xml:space="preserve"> В ней используются </w:t>
      </w:r>
      <w:r w:rsidR="00C067B1">
        <w:t>несколько иные</w:t>
      </w:r>
      <w:r w:rsidR="00983079">
        <w:t xml:space="preserve"> метрики ликвидности:</w:t>
      </w:r>
    </w:p>
    <w:p w:rsidR="00983079" w:rsidRDefault="004B7728" w:rsidP="008F7BC5">
      <w:pPr>
        <w:pStyle w:val="ac"/>
        <w:numPr>
          <w:ilvl w:val="0"/>
          <w:numId w:val="9"/>
        </w:numPr>
      </w:pPr>
      <w:r>
        <w:t>Для оценки глубины использовался объем на лучших ценах;</w:t>
      </w:r>
    </w:p>
    <w:p w:rsidR="004B7728" w:rsidRDefault="004B7728" w:rsidP="008F7BC5">
      <w:pPr>
        <w:pStyle w:val="ac"/>
        <w:numPr>
          <w:ilvl w:val="0"/>
          <w:numId w:val="9"/>
        </w:numPr>
      </w:pPr>
      <w:r>
        <w:t xml:space="preserve">Для оценки сжатости </w:t>
      </w:r>
      <w:r w:rsidR="000E4D6C">
        <w:t>использовалась</w:t>
      </w:r>
      <w:r>
        <w:t xml:space="preserve"> эффективная цена;</w:t>
      </w:r>
    </w:p>
    <w:p w:rsidR="004B7728" w:rsidRDefault="004B7728" w:rsidP="008F7BC5">
      <w:pPr>
        <w:pStyle w:val="ac"/>
        <w:numPr>
          <w:ilvl w:val="0"/>
          <w:numId w:val="9"/>
        </w:numPr>
      </w:pPr>
      <w:r>
        <w:t xml:space="preserve">Для оценки упругости использовался </w:t>
      </w:r>
      <w:r w:rsidR="000E4D6C">
        <w:t xml:space="preserve">коэффициент </w:t>
      </w:r>
      <w:proofErr w:type="spellStart"/>
      <w:r w:rsidR="000E4D6C">
        <w:t>неликвидности</w:t>
      </w:r>
      <w:proofErr w:type="spellEnd"/>
      <w:r w:rsidR="000E4D6C">
        <w:t>;</w:t>
      </w:r>
    </w:p>
    <w:p w:rsidR="004B7728" w:rsidRPr="004B7728" w:rsidRDefault="004B7728" w:rsidP="008F7BC5">
      <w:pPr>
        <w:pStyle w:val="ac"/>
        <w:numPr>
          <w:ilvl w:val="0"/>
          <w:numId w:val="9"/>
        </w:numPr>
      </w:pPr>
      <w:r>
        <w:t xml:space="preserve">Для оценки немедленности использовался </w:t>
      </w:r>
      <w:r w:rsidR="000E4D6C">
        <w:t>объем сделки.</w:t>
      </w:r>
    </w:p>
    <w:p w:rsidR="00A07E99" w:rsidRPr="00A84E85" w:rsidRDefault="00C067B1" w:rsidP="00A07E99">
      <w:r>
        <w:t xml:space="preserve">Несмотря на широкое признание предложенного </w:t>
      </w:r>
      <w:r>
        <w:rPr>
          <w:lang w:val="en-US"/>
        </w:rPr>
        <w:t>Kyle</w:t>
      </w:r>
      <w:r w:rsidRPr="00C067B1">
        <w:t xml:space="preserve"> (1985) </w:t>
      </w:r>
      <w:r>
        <w:t>многофакторного метода оценки ликвидности</w:t>
      </w:r>
      <w:r w:rsidR="00A07E99" w:rsidRPr="002C3A05">
        <w:t xml:space="preserve">, многофакторные модели не заменили однофакторные. Однофакторные модели позволяют находить новые способы </w:t>
      </w:r>
      <w:r w:rsidR="004D20EA" w:rsidRPr="002C3A05">
        <w:t>оценки</w:t>
      </w:r>
      <w:r w:rsidR="00A07E99" w:rsidRPr="002C3A05">
        <w:t xml:space="preserve"> </w:t>
      </w:r>
      <w:r w:rsidR="004D20EA" w:rsidRPr="002C3A05">
        <w:t xml:space="preserve">различных сторон </w:t>
      </w:r>
      <w:r w:rsidR="00A07E99" w:rsidRPr="002C3A05">
        <w:t xml:space="preserve">ликвидности, в то время как многофакторные пытаются определить оптимальную комбинацию </w:t>
      </w:r>
      <w:r w:rsidR="004D20EA" w:rsidRPr="002C3A05">
        <w:t xml:space="preserve">этих </w:t>
      </w:r>
      <w:r w:rsidR="00A07E99" w:rsidRPr="002C3A05">
        <w:t xml:space="preserve">способов </w:t>
      </w:r>
      <w:r w:rsidR="004D20EA" w:rsidRPr="002C3A05">
        <w:t>оценки</w:t>
      </w:r>
      <w:r w:rsidR="00A07E99" w:rsidRPr="002C3A05">
        <w:t>.</w:t>
      </w:r>
      <w:r w:rsidR="00F53073">
        <w:t xml:space="preserve"> </w:t>
      </w:r>
      <w:r w:rsidR="007F2240">
        <w:t xml:space="preserve">При этом важно понимать, что у многофакторного подхода есть свои недостатки. Среди наиболее часто выделяемого – коррелированность факторов. </w:t>
      </w:r>
      <w:r w:rsidR="00F53073">
        <w:t>Например</w:t>
      </w:r>
      <w:r w:rsidR="007F2240">
        <w:t xml:space="preserve">, </w:t>
      </w:r>
      <w:r w:rsidR="00F53073">
        <w:t xml:space="preserve">в некоторых работах отмечается, что </w:t>
      </w:r>
      <w:r w:rsidR="007027A4">
        <w:t xml:space="preserve">прокси глубины </w:t>
      </w:r>
      <w:r w:rsidR="006D74A2">
        <w:t xml:space="preserve">имеет положительную корреляцию с </w:t>
      </w:r>
      <w:r w:rsidR="00C01C77">
        <w:t>прокси сжатости (спред)</w:t>
      </w:r>
      <w:r w:rsidR="00F53073">
        <w:t xml:space="preserve"> </w:t>
      </w:r>
      <w:r w:rsidR="00F53073">
        <w:fldChar w:fldCharType="begin"/>
      </w:r>
      <w:r w:rsidR="00F53073">
        <w:instrText xml:space="preserve"> ADDIN ZOTERO_ITEM CSL_CITATION {"citationID":"XJ66bUzk","properties":{"formattedCitation":"(Ranaldo, 2001)","plainCitation":"(Ranaldo, 2001)","noteIndex":0},"citationItems":[{"id":170,"uris":["http://zotero.org/users/3945180/items/5U22QSVL"],"uri":["http://zotero.org/users/3945180/items/5U22QSVL"],"itemData":{"id":170,"type":"article-journal","container-title":"Financial Markets and Portfolio Management","issue":"3","journalAbbreviation":"Financial Markets and Portfolio Management","language":"en","page":"309-327","source":"DOI.org (Crossref)","title":"Intraday market liquidity on the Swiss Stock Exchange","volume":"15","author":[{"family":"Ranaldo","given":"Angelo"}],"issued":{"date-parts":[["2001",9]]}}}],"schema":"https://github.com/citation-style-language/schema/raw/master/csl-citation.json"} </w:instrText>
      </w:r>
      <w:r w:rsidR="00F53073">
        <w:fldChar w:fldCharType="separate"/>
      </w:r>
      <w:r w:rsidR="00F53073">
        <w:rPr>
          <w:noProof/>
        </w:rPr>
        <w:t>(Ranaldo, 2001)</w:t>
      </w:r>
      <w:r w:rsidR="00F53073">
        <w:fldChar w:fldCharType="end"/>
      </w:r>
      <w:r w:rsidR="00C01C77">
        <w:t>.</w:t>
      </w:r>
    </w:p>
    <w:p w:rsidR="00A4423B" w:rsidRDefault="002C3A05" w:rsidP="00A4423B">
      <w:r>
        <w:t xml:space="preserve">Примером </w:t>
      </w:r>
      <w:r w:rsidR="0079663B">
        <w:t>работы, в рамках которой разрабатывается новый способ оценки ликвидности является работа</w:t>
      </w:r>
      <w:r w:rsidR="00A4423B" w:rsidRPr="00D2551C">
        <w:t xml:space="preserve"> </w:t>
      </w:r>
      <w:r w:rsidR="008E276D">
        <w:fldChar w:fldCharType="begin"/>
      </w:r>
      <w:r w:rsidR="008E276D">
        <w:instrText xml:space="preserve"> ADDIN ZOTERO_ITEM CSL_CITATION {"citationID":"h5DIkK2H","properties":{"formattedCitation":"(Amihud and Mendelson, 1991)","plainCitation":"(Amihud and Mendelson, 1991)","noteIndex":0},"citationItems":[{"id":172,"uris":["http://zotero.org/users/3945180/items/7RYE8VXF"],"uri":["http://zotero.org/users/3945180/items/7RYE8VXF"],"itemData":{"id":172,"type":"article-journal","abstract":"The effects of asset liquidity on expected returns for assets with infinite maturities (stocks) are examined for bonds (Treasury notes and bills with matched maturities of less than 6 months). The yield to maturity is higher on notes, which have lower liquidity. The yield differential between notes and bills is a decreasing and convex function of the time to maturity. The results provide a robust confirmation of the liquidity effect in asset pricing.","container-title":"The Journal of Finance","issue":"4","journalAbbreviation":"The Journal of Finance","language":"en","page":"1411-1425","source":"Zotero","title":"Liquidity, Maturity, and the Yields on U.S. Treasury Securities","volume":"46","author":[{"family":"Amihud","given":"Yakov"},{"family":"Mendelson","given":"Haim"}],"issued":{"date-parts":[["1991"]]}}}],"schema":"https://github.com/citation-style-language/schema/raw/master/csl-citation.json"} </w:instrText>
      </w:r>
      <w:r w:rsidR="008E276D">
        <w:fldChar w:fldCharType="separate"/>
      </w:r>
      <w:r w:rsidR="008E276D">
        <w:rPr>
          <w:noProof/>
        </w:rPr>
        <w:t>(Amihud and Mendelson, 1991)</w:t>
      </w:r>
      <w:r w:rsidR="008E276D">
        <w:fldChar w:fldCharType="end"/>
      </w:r>
      <w:r w:rsidR="008E276D">
        <w:rPr>
          <w:noProof/>
        </w:rPr>
        <w:t>.</w:t>
      </w:r>
      <w:r w:rsidR="00F53073">
        <w:rPr>
          <w:noProof/>
        </w:rPr>
        <w:t xml:space="preserve"> </w:t>
      </w:r>
      <w:r w:rsidR="001B2598">
        <w:t>Авторами был предложен о</w:t>
      </w:r>
      <w:r w:rsidR="00F53073">
        <w:t xml:space="preserve">тносительный </w:t>
      </w:r>
      <w:proofErr w:type="spellStart"/>
      <w:r w:rsidR="00F53073">
        <w:t>бид-аск</w:t>
      </w:r>
      <w:proofErr w:type="spellEnd"/>
      <w:r w:rsidR="00F53073">
        <w:t xml:space="preserve"> </w:t>
      </w:r>
      <w:r w:rsidR="00F53073" w:rsidRPr="00D2551C">
        <w:t>спред</w:t>
      </w:r>
      <w:r w:rsidR="001B2598">
        <w:t>, который</w:t>
      </w:r>
      <w:r w:rsidR="00F53073">
        <w:t xml:space="preserve"> </w:t>
      </w:r>
      <w:r w:rsidR="00A4423B">
        <w:t>представляет собой отношение разницы между лучшими ценами на покупку и продажу к сумме лучшей цен</w:t>
      </w:r>
      <w:r w:rsidR="00E739B4">
        <w:t>ы</w:t>
      </w:r>
      <w:r w:rsidR="00A4423B">
        <w:t xml:space="preserve"> на продажу и начисленных процентов:</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513"/>
        <w:gridCol w:w="555"/>
      </w:tblGrid>
      <w:tr w:rsidR="00A4423B" w:rsidTr="00F96714">
        <w:trPr>
          <w:jc w:val="center"/>
        </w:trPr>
        <w:tc>
          <w:tcPr>
            <w:tcW w:w="8784" w:type="dxa"/>
            <w:gridSpan w:val="2"/>
            <w:vAlign w:val="center"/>
          </w:tcPr>
          <w:p w:rsidR="00A4423B" w:rsidRPr="00AB63DA" w:rsidRDefault="009A6400" w:rsidP="00F96714">
            <w:pPr>
              <w:rPr>
                <w:i/>
                <w:lang w:val="en-US"/>
              </w:rPr>
            </w:pPr>
            <m:oMathPara>
              <m:oMath>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best ask</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best bid</m:t>
                        </m:r>
                      </m:e>
                      <m:sub>
                        <m:r>
                          <w:rPr>
                            <w:rFonts w:ascii="Cambria Math" w:hAnsi="Cambria Math"/>
                          </w:rPr>
                          <m:t>i,t</m:t>
                        </m:r>
                      </m:sub>
                    </m:sSub>
                  </m:num>
                  <m:den>
                    <m:sSub>
                      <m:sSubPr>
                        <m:ctrlPr>
                          <w:rPr>
                            <w:rFonts w:ascii="Cambria Math" w:hAnsi="Cambria Math"/>
                            <w:i/>
                          </w:rPr>
                        </m:ctrlPr>
                      </m:sSubPr>
                      <m:e>
                        <m:r>
                          <w:rPr>
                            <w:rFonts w:ascii="Cambria Math" w:hAnsi="Cambria Math"/>
                          </w:rPr>
                          <m:t>best ask</m:t>
                        </m:r>
                      </m:e>
                      <m:sub>
                        <m:r>
                          <w:rPr>
                            <w:rFonts w:ascii="Cambria Math" w:hAnsi="Cambria Math"/>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accrued interest</m:t>
                        </m:r>
                      </m:e>
                      <m:sub>
                        <m:r>
                          <w:rPr>
                            <w:rFonts w:ascii="Cambria Math" w:hAnsi="Cambria Math"/>
                            <w:lang w:val="en-US"/>
                          </w:rPr>
                          <m:t>i,t</m:t>
                        </m:r>
                      </m:sub>
                    </m:sSub>
                  </m:den>
                </m:f>
              </m:oMath>
            </m:oMathPara>
          </w:p>
        </w:tc>
        <w:tc>
          <w:tcPr>
            <w:tcW w:w="555" w:type="dxa"/>
            <w:vAlign w:val="center"/>
          </w:tcPr>
          <w:p w:rsidR="00A4423B" w:rsidRPr="00AB63DA" w:rsidRDefault="00A4423B" w:rsidP="00F96714">
            <w:pPr>
              <w:ind w:firstLine="0"/>
              <w:jc w:val="center"/>
              <w:rPr>
                <w:lang w:val="en-US"/>
              </w:rPr>
            </w:pPr>
            <w:r>
              <w:rPr>
                <w:lang w:val="en-US"/>
              </w:rPr>
              <w:t>(2)</w:t>
            </w:r>
          </w:p>
        </w:tc>
      </w:tr>
      <w:tr w:rsidR="00A4423B" w:rsidTr="00F96714">
        <w:trPr>
          <w:jc w:val="center"/>
        </w:trPr>
        <w:tc>
          <w:tcPr>
            <w:tcW w:w="1271" w:type="dxa"/>
          </w:tcPr>
          <w:p w:rsidR="00A4423B" w:rsidRDefault="00A4423B" w:rsidP="00F96714">
            <w:pPr>
              <w:ind w:firstLine="591"/>
              <w:jc w:val="left"/>
              <w:rPr>
                <w:rFonts w:eastAsia="Calibri"/>
              </w:rPr>
            </w:pPr>
            <w:r>
              <w:rPr>
                <w:rFonts w:eastAsia="Calibri"/>
              </w:rPr>
              <w:t>где,</w:t>
            </w:r>
          </w:p>
        </w:tc>
        <w:tc>
          <w:tcPr>
            <w:tcW w:w="7513" w:type="dxa"/>
            <w:vAlign w:val="center"/>
          </w:tcPr>
          <w:p w:rsidR="00A4423B" w:rsidRDefault="009A6400" w:rsidP="00F96714">
            <w:pPr>
              <w:ind w:left="320" w:firstLine="0"/>
              <w:rPr>
                <w:rFonts w:eastAsiaTheme="minorEastAsia"/>
              </w:rPr>
            </w:pPr>
            <m:oMath>
              <m:sSub>
                <m:sSubPr>
                  <m:ctrlPr>
                    <w:rPr>
                      <w:rFonts w:ascii="Cambria Math" w:hAnsi="Cambria Math"/>
                      <w:i/>
                    </w:rPr>
                  </m:ctrlPr>
                </m:sSubPr>
                <m:e>
                  <m:r>
                    <w:rPr>
                      <w:rFonts w:ascii="Cambria Math" w:hAnsi="Cambria Math"/>
                    </w:rPr>
                    <m:t>best ask</m:t>
                  </m:r>
                </m:e>
                <m:sub>
                  <m:r>
                    <w:rPr>
                      <w:rFonts w:ascii="Cambria Math" w:hAnsi="Cambria Math"/>
                    </w:rPr>
                    <m:t>i,t</m:t>
                  </m:r>
                </m:sub>
              </m:sSub>
            </m:oMath>
            <w:r w:rsidR="00A4423B">
              <w:rPr>
                <w:rFonts w:eastAsiaTheme="minorEastAsia"/>
              </w:rPr>
              <w:t xml:space="preserve"> – лучшая цена на продажу инструмента </w:t>
            </w:r>
            <w:proofErr w:type="spellStart"/>
            <w:r w:rsidR="00A4423B">
              <w:rPr>
                <w:rFonts w:eastAsiaTheme="minorEastAsia"/>
                <w:lang w:val="en-US"/>
              </w:rPr>
              <w:t>i</w:t>
            </w:r>
            <w:proofErr w:type="spellEnd"/>
            <w:r w:rsidR="00A4423B">
              <w:rPr>
                <w:rFonts w:eastAsiaTheme="minorEastAsia"/>
              </w:rPr>
              <w:t xml:space="preserve"> в момент времени </w:t>
            </w:r>
            <w:r w:rsidR="00A4423B">
              <w:rPr>
                <w:rFonts w:eastAsiaTheme="minorEastAsia"/>
                <w:lang w:val="en-US"/>
              </w:rPr>
              <w:t>t</w:t>
            </w:r>
            <w:r w:rsidR="00A4423B" w:rsidRPr="00AB63DA">
              <w:rPr>
                <w:rFonts w:eastAsiaTheme="minorEastAsia"/>
              </w:rPr>
              <w:t>;</w:t>
            </w:r>
          </w:p>
          <w:p w:rsidR="00A4423B" w:rsidRDefault="009A6400" w:rsidP="00F96714">
            <w:pPr>
              <w:ind w:left="320" w:firstLine="0"/>
              <w:rPr>
                <w:rFonts w:eastAsiaTheme="minorEastAsia"/>
              </w:rPr>
            </w:pPr>
            <m:oMath>
              <m:sSub>
                <m:sSubPr>
                  <m:ctrlPr>
                    <w:rPr>
                      <w:rFonts w:ascii="Cambria Math" w:hAnsi="Cambria Math"/>
                      <w:i/>
                    </w:rPr>
                  </m:ctrlPr>
                </m:sSubPr>
                <m:e>
                  <m:r>
                    <w:rPr>
                      <w:rFonts w:ascii="Cambria Math" w:hAnsi="Cambria Math"/>
                    </w:rPr>
                    <m:t>best bid</m:t>
                  </m:r>
                </m:e>
                <m:sub>
                  <m:r>
                    <w:rPr>
                      <w:rFonts w:ascii="Cambria Math" w:hAnsi="Cambria Math"/>
                    </w:rPr>
                    <m:t>i,t</m:t>
                  </m:r>
                </m:sub>
              </m:sSub>
            </m:oMath>
            <w:r w:rsidR="00A4423B" w:rsidRPr="00AB63DA">
              <w:rPr>
                <w:rFonts w:eastAsiaTheme="minorEastAsia"/>
              </w:rPr>
              <w:t xml:space="preserve"> – </w:t>
            </w:r>
            <w:r w:rsidR="00A4423B">
              <w:rPr>
                <w:rFonts w:eastAsiaTheme="minorEastAsia"/>
              </w:rPr>
              <w:t xml:space="preserve">лучшая цена на покупку инструмента </w:t>
            </w:r>
            <w:proofErr w:type="spellStart"/>
            <w:r w:rsidR="00A4423B">
              <w:rPr>
                <w:rFonts w:eastAsiaTheme="minorEastAsia"/>
                <w:lang w:val="en-US"/>
              </w:rPr>
              <w:t>i</w:t>
            </w:r>
            <w:proofErr w:type="spellEnd"/>
            <w:r w:rsidR="00A4423B" w:rsidRPr="00AB63DA">
              <w:rPr>
                <w:rFonts w:eastAsiaTheme="minorEastAsia"/>
              </w:rPr>
              <w:t xml:space="preserve"> </w:t>
            </w:r>
            <w:r w:rsidR="00A4423B">
              <w:rPr>
                <w:rFonts w:eastAsiaTheme="minorEastAsia"/>
              </w:rPr>
              <w:t xml:space="preserve">в момент времени </w:t>
            </w:r>
            <w:r w:rsidR="00A4423B">
              <w:rPr>
                <w:rFonts w:eastAsiaTheme="minorEastAsia"/>
                <w:lang w:val="en-US"/>
              </w:rPr>
              <w:t>t</w:t>
            </w:r>
            <w:r w:rsidR="00A4423B">
              <w:rPr>
                <w:rFonts w:eastAsiaTheme="minorEastAsia"/>
              </w:rPr>
              <w:t>;</w:t>
            </w:r>
          </w:p>
          <w:p w:rsidR="00A4423B" w:rsidRPr="00576BD0" w:rsidRDefault="009A6400" w:rsidP="00F96714">
            <w:pPr>
              <w:ind w:left="320" w:firstLine="0"/>
              <w:rPr>
                <w:rFonts w:eastAsiaTheme="minorEastAsia"/>
              </w:rPr>
            </w:pPr>
            <m:oMath>
              <m:sSub>
                <m:sSubPr>
                  <m:ctrlPr>
                    <w:rPr>
                      <w:rFonts w:ascii="Cambria Math" w:hAnsi="Cambria Math"/>
                      <w:i/>
                      <w:lang w:val="en-US"/>
                    </w:rPr>
                  </m:ctrlPr>
                </m:sSubPr>
                <m:e>
                  <m:r>
                    <w:rPr>
                      <w:rFonts w:ascii="Cambria Math" w:hAnsi="Cambria Math"/>
                      <w:lang w:val="en-US"/>
                    </w:rPr>
                    <m:t>accrued</m:t>
                  </m:r>
                  <m:r>
                    <w:rPr>
                      <w:rFonts w:ascii="Cambria Math" w:hAnsi="Cambria Math"/>
                    </w:rPr>
                    <m:t xml:space="preserve"> </m:t>
                  </m:r>
                  <m:r>
                    <w:rPr>
                      <w:rFonts w:ascii="Cambria Math" w:hAnsi="Cambria Math"/>
                      <w:lang w:val="en-US"/>
                    </w:rPr>
                    <m:t>interest</m:t>
                  </m:r>
                </m:e>
                <m:sub>
                  <m:r>
                    <w:rPr>
                      <w:rFonts w:ascii="Cambria Math" w:hAnsi="Cambria Math"/>
                      <w:lang w:val="en-US"/>
                    </w:rPr>
                    <m:t>i</m:t>
                  </m:r>
                  <m:r>
                    <w:rPr>
                      <w:rFonts w:ascii="Cambria Math" w:hAnsi="Cambria Math"/>
                    </w:rPr>
                    <m:t>,</m:t>
                  </m:r>
                  <m:r>
                    <w:rPr>
                      <w:rFonts w:ascii="Cambria Math" w:hAnsi="Cambria Math"/>
                      <w:lang w:val="en-US"/>
                    </w:rPr>
                    <m:t>t</m:t>
                  </m:r>
                </m:sub>
              </m:sSub>
            </m:oMath>
            <w:r w:rsidR="00A4423B" w:rsidRPr="00AB63DA">
              <w:rPr>
                <w:rFonts w:eastAsiaTheme="minorEastAsia"/>
              </w:rPr>
              <w:t xml:space="preserve"> </w:t>
            </w:r>
            <w:r w:rsidR="00A4423B">
              <w:rPr>
                <w:rFonts w:eastAsiaTheme="minorEastAsia"/>
              </w:rPr>
              <w:t>–</w:t>
            </w:r>
            <w:r w:rsidR="00A4423B" w:rsidRPr="00AB63DA">
              <w:rPr>
                <w:rFonts w:eastAsiaTheme="minorEastAsia"/>
              </w:rPr>
              <w:t xml:space="preserve"> </w:t>
            </w:r>
            <w:r w:rsidR="00A4423B">
              <w:rPr>
                <w:rFonts w:eastAsiaTheme="minorEastAsia"/>
              </w:rPr>
              <w:t>начисленные проценты по инструменту</w:t>
            </w:r>
            <w:r w:rsidR="00A4423B" w:rsidRPr="00AB63DA">
              <w:rPr>
                <w:rFonts w:eastAsiaTheme="minorEastAsia"/>
              </w:rPr>
              <w:t xml:space="preserve"> </w:t>
            </w:r>
            <w:proofErr w:type="spellStart"/>
            <w:r w:rsidR="00A4423B">
              <w:rPr>
                <w:rFonts w:eastAsiaTheme="minorEastAsia"/>
                <w:lang w:val="en-US"/>
              </w:rPr>
              <w:t>i</w:t>
            </w:r>
            <w:proofErr w:type="spellEnd"/>
            <w:r w:rsidR="00A4423B" w:rsidRPr="00AB63DA">
              <w:rPr>
                <w:rFonts w:eastAsiaTheme="minorEastAsia"/>
              </w:rPr>
              <w:t xml:space="preserve"> </w:t>
            </w:r>
            <w:r w:rsidR="00A4423B">
              <w:rPr>
                <w:rFonts w:eastAsiaTheme="minorEastAsia"/>
              </w:rPr>
              <w:t xml:space="preserve">в момент времени </w:t>
            </w:r>
            <w:r w:rsidR="00A4423B">
              <w:rPr>
                <w:rFonts w:eastAsiaTheme="minorEastAsia"/>
                <w:lang w:val="en-US"/>
              </w:rPr>
              <w:t>t</w:t>
            </w:r>
            <w:r w:rsidR="00A4423B" w:rsidRPr="00AB63DA">
              <w:rPr>
                <w:rFonts w:eastAsiaTheme="minorEastAsia"/>
              </w:rPr>
              <w:t>.</w:t>
            </w:r>
          </w:p>
        </w:tc>
        <w:tc>
          <w:tcPr>
            <w:tcW w:w="555" w:type="dxa"/>
            <w:vAlign w:val="center"/>
          </w:tcPr>
          <w:p w:rsidR="00A4423B" w:rsidRPr="00576BD0" w:rsidRDefault="00A4423B" w:rsidP="00F96714">
            <w:pPr>
              <w:ind w:firstLine="0"/>
              <w:jc w:val="center"/>
            </w:pPr>
          </w:p>
        </w:tc>
      </w:tr>
    </w:tbl>
    <w:p w:rsidR="00177518" w:rsidRDefault="00177518" w:rsidP="00177518"/>
    <w:p w:rsidR="00B00574" w:rsidRDefault="00E739B4" w:rsidP="00B00574">
      <w:r>
        <w:lastRenderedPageBreak/>
        <w:t>Преимущество данной</w:t>
      </w:r>
      <w:r w:rsidR="00A4423B">
        <w:t xml:space="preserve"> метрик</w:t>
      </w:r>
      <w:r>
        <w:t>и заключается в том, что она</w:t>
      </w:r>
      <w:r w:rsidR="00A4423B">
        <w:t xml:space="preserve"> может быть рассчитана, во-первых, в разрезе инструмента, а во-вторых, на каждое событие (выставление заявки, совершение сделки), которое изменяет состояние стакана. Главным отличием данной метрики от вышеописанного коэффициента ликвидности является тот факт, что ее расчет может быть произведен</w:t>
      </w:r>
      <w:r w:rsidR="001B2598">
        <w:t>, как на дневных данных, так и</w:t>
      </w:r>
      <w:r w:rsidR="00A4423B">
        <w:t xml:space="preserve"> на внутридневных, что позволяет произвести краткосрочную оценку. Еще одним преимуществом данной метрики является тот факт, что расчет относительного </w:t>
      </w:r>
      <w:proofErr w:type="spellStart"/>
      <w:r w:rsidR="00A4423B">
        <w:t>бид-аск</w:t>
      </w:r>
      <w:proofErr w:type="spellEnd"/>
      <w:r w:rsidR="00A4423B">
        <w:t xml:space="preserve"> спреда не требует сложных вычислительных алгоритмов, а данные для его оценивания относительно легко получить. Тем не менее, с точки зрения надежности данный метод уступает другим, потому что не учитывает глубину стакана, объем, который стоит на каждом уровне, степень влияния на цену и прочее</w:t>
      </w:r>
      <w:r w:rsidR="00DF5DAE">
        <w:t xml:space="preserve">. Следовательно, данная метрика </w:t>
      </w:r>
      <w:r w:rsidR="002C073B">
        <w:t>не позволяет произвести полную оценку ликвидности</w:t>
      </w:r>
      <w:r>
        <w:t xml:space="preserve"> и </w:t>
      </w:r>
      <w:r w:rsidR="002C073B">
        <w:t>ее следует использовать</w:t>
      </w:r>
      <w:r w:rsidR="00DF5DAE">
        <w:t xml:space="preserve"> </w:t>
      </w:r>
      <w:r w:rsidR="00177518">
        <w:t>в качестве основы для дальнейшего многофакторного анализа.</w:t>
      </w:r>
    </w:p>
    <w:p w:rsidR="00AD1D5B" w:rsidRDefault="00AD1D5B" w:rsidP="009745FA">
      <w:r>
        <w:t xml:space="preserve">В </w:t>
      </w:r>
      <w:r w:rsidR="00964443">
        <w:fldChar w:fldCharType="begin"/>
      </w:r>
      <w:r w:rsidR="00964443">
        <w:instrText xml:space="preserve"> REF _Ref36938823 \h </w:instrText>
      </w:r>
      <w:r w:rsidR="00964443">
        <w:fldChar w:fldCharType="separate"/>
      </w:r>
      <w:r w:rsidR="00964443">
        <w:t xml:space="preserve">Таблица </w:t>
      </w:r>
      <w:r w:rsidR="00964443">
        <w:rPr>
          <w:noProof/>
        </w:rPr>
        <w:t>1</w:t>
      </w:r>
      <w:r w:rsidR="00964443">
        <w:fldChar w:fldCharType="end"/>
      </w:r>
      <w:r w:rsidR="00964443">
        <w:t xml:space="preserve"> </w:t>
      </w:r>
      <w:r w:rsidR="00270DFD">
        <w:t xml:space="preserve">приведен список </w:t>
      </w:r>
      <w:r w:rsidR="002C073B">
        <w:t xml:space="preserve">основных </w:t>
      </w:r>
      <w:r w:rsidR="00270DFD">
        <w:t xml:space="preserve">метрик, </w:t>
      </w:r>
      <w:r w:rsidR="00712C2A">
        <w:t>которые используются</w:t>
      </w:r>
      <w:r w:rsidR="00270DFD">
        <w:t xml:space="preserve"> для оценки различных сторон ликвидности.</w:t>
      </w:r>
    </w:p>
    <w:p w:rsidR="00AD1D5B" w:rsidRDefault="00AD1D5B" w:rsidP="00AD1D5B">
      <w:pPr>
        <w:pStyle w:val="ae"/>
        <w:keepNext/>
      </w:pPr>
      <w:bookmarkStart w:id="2" w:name="_Ref36938823"/>
      <w:r>
        <w:t xml:space="preserve">Таблица </w:t>
      </w:r>
      <w:fldSimple w:instr=" SEQ Таблица \* ARABIC ">
        <w:r>
          <w:rPr>
            <w:noProof/>
          </w:rPr>
          <w:t>1</w:t>
        </w:r>
      </w:fldSimple>
      <w:bookmarkEnd w:id="2"/>
    </w:p>
    <w:p w:rsidR="00AD1D5B" w:rsidRDefault="00AD1D5B" w:rsidP="00AD1D5B">
      <w:pPr>
        <w:pStyle w:val="ad"/>
      </w:pPr>
      <w:r>
        <w:t>Обзор метрик ликвидности</w:t>
      </w:r>
    </w:p>
    <w:tbl>
      <w:tblPr>
        <w:tblStyle w:val="a9"/>
        <w:tblW w:w="0" w:type="auto"/>
        <w:tblLook w:val="04A0" w:firstRow="1" w:lastRow="0" w:firstColumn="1" w:lastColumn="0" w:noHBand="0" w:noVBand="1"/>
      </w:tblPr>
      <w:tblGrid>
        <w:gridCol w:w="1555"/>
        <w:gridCol w:w="7784"/>
      </w:tblGrid>
      <w:tr w:rsidR="006A72EC" w:rsidTr="00680C4E">
        <w:tc>
          <w:tcPr>
            <w:tcW w:w="9339" w:type="dxa"/>
            <w:gridSpan w:val="2"/>
          </w:tcPr>
          <w:p w:rsidR="006A72EC" w:rsidRPr="002E4EF0" w:rsidRDefault="006A72EC" w:rsidP="006A72EC">
            <w:pPr>
              <w:pStyle w:val="af"/>
            </w:pPr>
            <w:r>
              <w:t>Сжатость</w:t>
            </w:r>
            <w:r w:rsidR="002E4EF0">
              <w:t xml:space="preserve"> – затраты на проведение сделки</w:t>
            </w:r>
          </w:p>
        </w:tc>
      </w:tr>
      <w:tr w:rsidR="006A72EC" w:rsidRPr="00E54644" w:rsidTr="006A72EC">
        <w:tc>
          <w:tcPr>
            <w:tcW w:w="1555" w:type="dxa"/>
          </w:tcPr>
          <w:p w:rsidR="006A72EC" w:rsidRDefault="006A72EC" w:rsidP="006A72EC">
            <w:pPr>
              <w:pStyle w:val="af"/>
            </w:pPr>
          </w:p>
        </w:tc>
        <w:tc>
          <w:tcPr>
            <w:tcW w:w="7784" w:type="dxa"/>
          </w:tcPr>
          <w:p w:rsidR="006A72EC" w:rsidRPr="00680C4E" w:rsidRDefault="006A72EC" w:rsidP="006A72EC">
            <w:pPr>
              <w:pStyle w:val="af"/>
              <w:rPr>
                <w:lang w:val="en-US"/>
              </w:rPr>
            </w:pPr>
            <w:proofErr w:type="spellStart"/>
            <w:r w:rsidRPr="00F17075">
              <w:t>Бид</w:t>
            </w:r>
            <w:proofErr w:type="spellEnd"/>
            <w:r w:rsidRPr="00712C2A">
              <w:rPr>
                <w:lang w:val="en-US"/>
              </w:rPr>
              <w:t>-</w:t>
            </w:r>
            <w:proofErr w:type="spellStart"/>
            <w:r w:rsidRPr="00F17075">
              <w:t>аск</w:t>
            </w:r>
            <w:proofErr w:type="spellEnd"/>
            <w:r w:rsidRPr="00712C2A">
              <w:rPr>
                <w:lang w:val="en-US"/>
              </w:rPr>
              <w:t xml:space="preserve"> </w:t>
            </w:r>
            <w:r w:rsidRPr="00F17075">
              <w:t>спред</w:t>
            </w:r>
            <w:r w:rsidRPr="00712C2A">
              <w:rPr>
                <w:lang w:val="en-US"/>
              </w:rPr>
              <w:t xml:space="preserve"> </w:t>
            </w:r>
            <w:r w:rsidRPr="00F17075">
              <w:fldChar w:fldCharType="begin"/>
            </w:r>
            <w:r w:rsidRPr="00712C2A">
              <w:rPr>
                <w:lang w:val="en-US"/>
              </w:rPr>
              <w:instrText xml:space="preserve"> ADDIN ZOTERO_ITEM CSL_CITATION {"citationID":"aW0tPhRq","properties":{"formattedCitation":"(Amihud and Mendelson, 1991)","plainCitation":"(Amihud and Mendelson, 1991)","noteIndex":0},"citationItems":[{"id":172,"uris":["http://zotero.org/users/3945180/items/7RYE8VXF"],"uri":["http://zotero.org/users/3945180/items/7RYE8VXF"],"itemData":{"id":172,"type":"article-journal","abstract":"The effects of asset liquidity on expected returns for assets with infinite maturities (stocks) are examined for bonds (Treasury notes and bills with matched maturities of less than 6 months). The yield to maturity is higher on notes, which have lower liquidity. The yield differential between notes and bills is a decreasing and convex function of the time to maturity. The results provide a robust confirmation of the liquidity effect in asset pricing.","container-title":"The Journal of Finance","issue":"4","journalAbbreviation":"The Journal of Finance","language":"en","page":"1411-1425","source":"Zotero","title":"Liquidity, Maturity, and the Yields on U.S. Treasury Securities","volume":"46","author":[{"family":"Amihud","given":"Yakov"},{"family":"Mendelson","given":"Haim"}],"issued":{"date-parts":[["1991"]]}}}],"schema":"https://github.com/citation-style-language/schema/raw/master/csl-citation.json"} </w:instrText>
            </w:r>
            <w:r w:rsidRPr="00F17075">
              <w:fldChar w:fldCharType="separate"/>
            </w:r>
            <w:r w:rsidRPr="00712C2A">
              <w:rPr>
                <w:lang w:val="en-US"/>
              </w:rPr>
              <w:t>(Amihud and Mendelson, 1991)</w:t>
            </w:r>
            <w:r w:rsidRPr="00F17075">
              <w:fldChar w:fldCharType="end"/>
            </w:r>
            <w:r w:rsidRPr="00712C2A">
              <w:rPr>
                <w:lang w:val="en-US"/>
              </w:rPr>
              <w:t xml:space="preserve"> </w:t>
            </w:r>
            <w:r w:rsidRPr="00F17075">
              <w:fldChar w:fldCharType="begin"/>
            </w:r>
            <w:r w:rsidRPr="00712C2A">
              <w:rPr>
                <w:lang w:val="en-US"/>
              </w:rPr>
              <w:instrText xml:space="preserve"> ADDIN ZOTERO_ITEM CSL_CITATION {"citationID":"XHjufULf","properties":{"formattedCitation":"(Diamond and Verrecchia, 1991)","plainCitation":"(Diamond and Verrecchia, 1991)","noteIndex":0},"citationItems":[{"id":188,"uris":["http://zotero.org/users/3945180/items/FTKLGYW8"],"uri":["http://zotero.org/users/3945180/items/FTKLGYW8"],"itemData":{"id":188,"type":"article-journal","abstract":"This paper shows that revealing public information to reduce information asymmetry can reduce a firm's cost of capital by attracting increased demand from large investors due to increased liquidity of its securities. Large firms will disclose more information since they benefit most. Disclosure also reduces the risk bearing capacity available through market makers. If initial information asymmetry is large, reducing it will increase the current price of the security. However, the maximum current price occurs with some asymmetry of information: further reduction of information asymmetry accentuates the undesirable effects of exit from market making.","container-title":"The Journal of Finance","issue":"4","journalAbbreviation":"The Journal of Finance","language":"en","page":"1325-1359","source":"Zotero","title":"Disclosure, Liquidity, and the Cost of Capital","volume":"46","author":[{"family":"Diamond","given":"Douglas W"},{"family":"Verrecchia","given":"Robert E."}],"issued":{"date-parts":[["1991",9]]}}}],"schema":"https://github.com/citation-style-language/schema/raw/master/csl-citation.json"} </w:instrText>
            </w:r>
            <w:r w:rsidRPr="00F17075">
              <w:fldChar w:fldCharType="separate"/>
            </w:r>
            <w:r w:rsidRPr="00712C2A">
              <w:rPr>
                <w:lang w:val="en-US"/>
              </w:rPr>
              <w:t>(Diamond and Verrecchia, 1991)</w:t>
            </w:r>
            <w:r w:rsidRPr="00F17075">
              <w:fldChar w:fldCharType="end"/>
            </w:r>
          </w:p>
          <w:p w:rsidR="00E54644" w:rsidRPr="00712C2A" w:rsidRDefault="00E54644" w:rsidP="006A72EC">
            <w:pPr>
              <w:pStyle w:val="af"/>
              <w:rPr>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821"/>
            </w:tblGrid>
            <w:tr w:rsidR="006A72EC" w:rsidTr="00E54644">
              <w:tc>
                <w:tcPr>
                  <w:tcW w:w="7558" w:type="dxa"/>
                  <w:gridSpan w:val="2"/>
                </w:tcPr>
                <w:p w:rsidR="006A72EC" w:rsidRPr="00E54644" w:rsidRDefault="009A6400" w:rsidP="006A72EC">
                  <w:pPr>
                    <w:pStyle w:val="af"/>
                    <w:rPr>
                      <w:rFonts w:eastAsiaTheme="minorEastAsia"/>
                    </w:rPr>
                  </w:pPr>
                  <m:oMathPara>
                    <m:oMath>
                      <m:sSup>
                        <m:sSupPr>
                          <m:ctrlPr>
                            <w:rPr>
                              <w:rFonts w:ascii="Cambria Math" w:hAnsi="Cambria Math"/>
                            </w:rPr>
                          </m:ctrlPr>
                        </m:sSupPr>
                        <m:e>
                          <m:r>
                            <w:rPr>
                              <w:rFonts w:ascii="Cambria Math" w:hAnsi="Cambria Math"/>
                            </w:rPr>
                            <m:t>Bid-ask Spread=P</m:t>
                          </m:r>
                        </m:e>
                        <m:sup>
                          <m:r>
                            <w:rPr>
                              <w:rFonts w:ascii="Cambria Math" w:hAnsi="Cambria Math"/>
                            </w:rPr>
                            <m:t>buy</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sell</m:t>
                          </m:r>
                        </m:sup>
                      </m:sSup>
                    </m:oMath>
                  </m:oMathPara>
                </w:p>
              </w:tc>
            </w:tr>
            <w:tr w:rsidR="006A72EC" w:rsidRPr="00E54644" w:rsidTr="00E54644">
              <w:tc>
                <w:tcPr>
                  <w:tcW w:w="737" w:type="dxa"/>
                </w:tcPr>
                <w:p w:rsidR="006A72EC" w:rsidRPr="006A72EC" w:rsidRDefault="006A72EC" w:rsidP="006A72EC">
                  <w:pPr>
                    <w:pStyle w:val="af"/>
                  </w:pPr>
                  <w:r>
                    <w:t>где,</w:t>
                  </w:r>
                </w:p>
              </w:tc>
              <w:tc>
                <w:tcPr>
                  <w:tcW w:w="6821" w:type="dxa"/>
                </w:tcPr>
                <w:p w:rsidR="006A72EC" w:rsidRDefault="009A6400" w:rsidP="006A72EC">
                  <w:pPr>
                    <w:pStyle w:val="af"/>
                    <w:rPr>
                      <w:rFonts w:eastAsiaTheme="minorEastAsia"/>
                    </w:rPr>
                  </w:pPr>
                  <m:oMath>
                    <m:sSup>
                      <m:sSupPr>
                        <m:ctrlPr>
                          <w:rPr>
                            <w:rFonts w:ascii="Cambria Math" w:hAnsi="Cambria Math"/>
                          </w:rPr>
                        </m:ctrlPr>
                      </m:sSupPr>
                      <m:e>
                        <m:r>
                          <w:rPr>
                            <w:rFonts w:ascii="Cambria Math" w:hAnsi="Cambria Math"/>
                          </w:rPr>
                          <m:t>P</m:t>
                        </m:r>
                      </m:e>
                      <m:sup>
                        <m:r>
                          <w:rPr>
                            <w:rFonts w:ascii="Cambria Math" w:hAnsi="Cambria Math"/>
                          </w:rPr>
                          <m:t>buy</m:t>
                        </m:r>
                      </m:sup>
                    </m:sSup>
                  </m:oMath>
                  <w:r w:rsidR="00E54644" w:rsidRPr="00E54644">
                    <w:rPr>
                      <w:rFonts w:eastAsiaTheme="minorEastAsia"/>
                    </w:rPr>
                    <w:t xml:space="preserve"> – </w:t>
                  </w:r>
                  <w:r w:rsidR="00E54644">
                    <w:rPr>
                      <w:rFonts w:eastAsiaTheme="minorEastAsia"/>
                    </w:rPr>
                    <w:t>лучшая цена покупки</w:t>
                  </w:r>
                  <w:r w:rsidR="00322261">
                    <w:rPr>
                      <w:rFonts w:eastAsiaTheme="minorEastAsia"/>
                    </w:rPr>
                    <w:t xml:space="preserve">, </w:t>
                  </w:r>
                  <w:proofErr w:type="spellStart"/>
                  <w:r w:rsidR="00322261">
                    <w:rPr>
                      <w:rFonts w:eastAsiaTheme="minorEastAsia"/>
                    </w:rPr>
                    <w:t>усл</w:t>
                  </w:r>
                  <w:proofErr w:type="spellEnd"/>
                  <w:r w:rsidR="00322261">
                    <w:rPr>
                      <w:rFonts w:eastAsiaTheme="minorEastAsia"/>
                    </w:rPr>
                    <w:t>. ед.</w:t>
                  </w:r>
                  <w:r w:rsidR="00E54644">
                    <w:rPr>
                      <w:rFonts w:eastAsiaTheme="minorEastAsia"/>
                    </w:rPr>
                    <w:t>;</w:t>
                  </w:r>
                </w:p>
                <w:p w:rsidR="00E54644" w:rsidRPr="00E54644" w:rsidRDefault="009A6400" w:rsidP="006A72EC">
                  <w:pPr>
                    <w:pStyle w:val="af"/>
                  </w:pPr>
                  <m:oMath>
                    <m:sSup>
                      <m:sSupPr>
                        <m:ctrlPr>
                          <w:rPr>
                            <w:rFonts w:ascii="Cambria Math" w:hAnsi="Cambria Math"/>
                          </w:rPr>
                        </m:ctrlPr>
                      </m:sSupPr>
                      <m:e>
                        <m:r>
                          <w:rPr>
                            <w:rFonts w:ascii="Cambria Math" w:hAnsi="Cambria Math"/>
                          </w:rPr>
                          <m:t>P</m:t>
                        </m:r>
                      </m:e>
                      <m:sup>
                        <m:r>
                          <w:rPr>
                            <w:rFonts w:ascii="Cambria Math" w:hAnsi="Cambria Math"/>
                          </w:rPr>
                          <m:t>sell</m:t>
                        </m:r>
                      </m:sup>
                    </m:sSup>
                  </m:oMath>
                  <w:r w:rsidR="00E54644" w:rsidRPr="000B5FCA">
                    <w:rPr>
                      <w:rFonts w:eastAsiaTheme="minorEastAsia"/>
                      <w:iCs/>
                    </w:rPr>
                    <w:t xml:space="preserve"> – </w:t>
                  </w:r>
                  <w:r w:rsidR="00E54644">
                    <w:rPr>
                      <w:rFonts w:eastAsiaTheme="minorEastAsia"/>
                      <w:iCs/>
                    </w:rPr>
                    <w:t xml:space="preserve">лучшая </w:t>
                  </w:r>
                  <w:r w:rsidR="00E54644" w:rsidRPr="000B5FCA">
                    <w:rPr>
                      <w:rFonts w:eastAsiaTheme="minorEastAsia"/>
                      <w:iCs/>
                    </w:rPr>
                    <w:t>цена</w:t>
                  </w:r>
                  <w:r w:rsidR="00E54644">
                    <w:rPr>
                      <w:rFonts w:eastAsiaTheme="minorEastAsia"/>
                      <w:iCs/>
                    </w:rPr>
                    <w:t xml:space="preserve"> продажи</w:t>
                  </w:r>
                  <w:r w:rsidR="00322261">
                    <w:rPr>
                      <w:rFonts w:eastAsiaTheme="minorEastAsia"/>
                    </w:rPr>
                    <w:t xml:space="preserve">, </w:t>
                  </w:r>
                  <w:proofErr w:type="spellStart"/>
                  <w:r w:rsidR="00322261">
                    <w:rPr>
                      <w:rFonts w:eastAsiaTheme="minorEastAsia"/>
                    </w:rPr>
                    <w:t>усл</w:t>
                  </w:r>
                  <w:proofErr w:type="spellEnd"/>
                  <w:r w:rsidR="00322261">
                    <w:rPr>
                      <w:rFonts w:eastAsiaTheme="minorEastAsia"/>
                    </w:rPr>
                    <w:t>. ед</w:t>
                  </w:r>
                  <w:r w:rsidR="00E54644">
                    <w:rPr>
                      <w:rFonts w:eastAsiaTheme="minorEastAsia"/>
                      <w:iCs/>
                    </w:rPr>
                    <w:t>.</w:t>
                  </w:r>
                </w:p>
              </w:tc>
            </w:tr>
          </w:tbl>
          <w:p w:rsidR="006A72EC" w:rsidRPr="00E54644" w:rsidRDefault="006A72EC" w:rsidP="006A72EC">
            <w:pPr>
              <w:pStyle w:val="af"/>
            </w:pPr>
          </w:p>
        </w:tc>
      </w:tr>
      <w:tr w:rsidR="006A72EC" w:rsidRPr="00E54644" w:rsidTr="006A72EC">
        <w:tc>
          <w:tcPr>
            <w:tcW w:w="1555" w:type="dxa"/>
          </w:tcPr>
          <w:p w:rsidR="006A72EC" w:rsidRPr="00C9223A" w:rsidRDefault="006A72EC" w:rsidP="006A72EC">
            <w:pPr>
              <w:pStyle w:val="af"/>
            </w:pPr>
          </w:p>
        </w:tc>
        <w:tc>
          <w:tcPr>
            <w:tcW w:w="7784" w:type="dxa"/>
          </w:tcPr>
          <w:p w:rsidR="000C6BC9" w:rsidRDefault="000C6BC9" w:rsidP="000C6BC9">
            <w:pPr>
              <w:pStyle w:val="af"/>
            </w:pPr>
            <w:r w:rsidRPr="000B5FCA">
              <w:t xml:space="preserve">Эффективная цена </w:t>
            </w:r>
            <w:r w:rsidRPr="000B5FCA">
              <w:fldChar w:fldCharType="begin"/>
            </w:r>
            <w:r w:rsidR="00651EA5">
              <w:instrText xml:space="preserve"> ADDIN ZOTERO_ITEM CSL_CITATION {"citationID":"XPn3NccY","properties":{"formattedCitation":"(Karnaukh et al., 2015)","plainCitation":"(Karnaukh et al., 2015)","noteIndex":0},"citationItems":[{"id":190,"uris":["http://zotero.org/users/3945180/items/B4AD44VK"],"uri":["http://zotero.org/users/3945180/items/B4AD44VK"],"itemData":{"id":190,"type":"article-journal","container-title":"Review of Financial Studies","issue":"11","journalAbbreviation":"Review of Financial Studies","language":"en","page":"3073-3108","title":"Understanding FX Liquidity","volume":"28","author":[{"family":"Karnaukh","given":"Nina"},{"family":"Ranaldo","given":"Angelo"},{"family":"Söderlind","given":"Paul"}],"issued":{"date-parts":[["2015",11]]}}}],"schema":"https://github.com/citation-style-language/schema/raw/master/csl-citation.json"} </w:instrText>
            </w:r>
            <w:r w:rsidRPr="000B5FCA">
              <w:fldChar w:fldCharType="separate"/>
            </w:r>
            <w:r w:rsidRPr="000B5FCA">
              <w:t>(Karnaukh et al., 2015)</w:t>
            </w:r>
            <w:r w:rsidRPr="000B5FCA">
              <w:fldChar w:fldCharType="end"/>
            </w:r>
          </w:p>
          <w:p w:rsidR="000C6BC9" w:rsidRDefault="000C6BC9" w:rsidP="000C6BC9">
            <w:pPr>
              <w:pStyle w:val="af"/>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821"/>
            </w:tblGrid>
            <w:tr w:rsidR="000C6BC9" w:rsidTr="00680C4E">
              <w:tc>
                <w:tcPr>
                  <w:tcW w:w="7558" w:type="dxa"/>
                  <w:gridSpan w:val="2"/>
                </w:tcPr>
                <w:p w:rsidR="000C6BC9" w:rsidRPr="00E54644" w:rsidRDefault="009A6400" w:rsidP="000C6BC9">
                  <w:pPr>
                    <w:pStyle w:val="af"/>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eff</m:t>
                          </m:r>
                        </m:sup>
                      </m:s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e>
                                  </m:d>
                                </m:num>
                                <m:den>
                                  <m:r>
                                    <w:rPr>
                                      <w:rFonts w:ascii="Cambria Math" w:hAnsi="Cambria Math"/>
                                    </w:rPr>
                                    <m:t>P</m:t>
                                  </m:r>
                                </m:den>
                              </m:f>
                              <m:r>
                                <w:rPr>
                                  <w:rFonts w:ascii="Cambria Math" w:hAnsi="Cambria Math"/>
                                </w:rPr>
                                <m:t>,  для стороны покупки</m:t>
                              </m:r>
                            </m:e>
                            <m:e>
                              <m:f>
                                <m:fPr>
                                  <m:ctrlPr>
                                    <w:rPr>
                                      <w:rFonts w:ascii="Cambria Math" w:hAnsi="Cambria Math"/>
                                    </w:rPr>
                                  </m:ctrlPr>
                                </m:fPr>
                                <m:num>
                                  <m:d>
                                    <m:dPr>
                                      <m:ctrlPr>
                                        <w:rPr>
                                          <w:rFonts w:ascii="Cambria Math" w:hAnsi="Cambria Math"/>
                                        </w:rPr>
                                      </m:ctrlPr>
                                    </m:dPr>
                                    <m:e>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e>
                                  </m:d>
                                </m:num>
                                <m:den>
                                  <m:r>
                                    <w:rPr>
                                      <w:rFonts w:ascii="Cambria Math" w:hAnsi="Cambria Math"/>
                                    </w:rPr>
                                    <m:t>P</m:t>
                                  </m:r>
                                </m:den>
                              </m:f>
                              <m:r>
                                <w:rPr>
                                  <w:rFonts w:ascii="Cambria Math" w:hAnsi="Cambria Math"/>
                                </w:rPr>
                                <m:t>,  для стороны продажи</m:t>
                              </m:r>
                            </m:e>
                          </m:eqArr>
                        </m:e>
                      </m:d>
                    </m:oMath>
                  </m:oMathPara>
                </w:p>
              </w:tc>
            </w:tr>
            <w:tr w:rsidR="000C6BC9" w:rsidRPr="00E54644" w:rsidTr="00680C4E">
              <w:tc>
                <w:tcPr>
                  <w:tcW w:w="737" w:type="dxa"/>
                </w:tcPr>
                <w:p w:rsidR="000C6BC9" w:rsidRPr="006A72EC" w:rsidRDefault="000C6BC9" w:rsidP="000C6BC9">
                  <w:pPr>
                    <w:pStyle w:val="af"/>
                  </w:pPr>
                  <w:r>
                    <w:t>где,</w:t>
                  </w:r>
                </w:p>
              </w:tc>
              <w:tc>
                <w:tcPr>
                  <w:tcW w:w="6821" w:type="dxa"/>
                </w:tcPr>
                <w:p w:rsidR="000C6BC9" w:rsidRDefault="009A6400" w:rsidP="000C6BC9">
                  <w:pPr>
                    <w:pStyle w:val="af"/>
                    <w:rPr>
                      <w:rFonts w:eastAsiaTheme="minorEastAsia"/>
                    </w:rPr>
                  </w:pPr>
                  <m:oMath>
                    <m:sSup>
                      <m:sSupPr>
                        <m:ctrlPr>
                          <w:rPr>
                            <w:rFonts w:ascii="Cambria Math" w:hAnsi="Cambria Math"/>
                          </w:rPr>
                        </m:ctrlPr>
                      </m:sSupPr>
                      <m:e>
                        <m:r>
                          <w:rPr>
                            <w:rFonts w:ascii="Cambria Math" w:hAnsi="Cambria Math"/>
                          </w:rPr>
                          <m:t>P</m:t>
                        </m:r>
                      </m:e>
                      <m:sup>
                        <m:r>
                          <w:rPr>
                            <w:rFonts w:ascii="Cambria Math" w:hAnsi="Cambria Math"/>
                            <w:lang w:val="en-US"/>
                          </w:rPr>
                          <m:t>T</m:t>
                        </m:r>
                      </m:sup>
                    </m:sSup>
                  </m:oMath>
                  <w:r w:rsidR="000C6BC9" w:rsidRPr="00E54644">
                    <w:rPr>
                      <w:rFonts w:eastAsiaTheme="minorEastAsia"/>
                    </w:rPr>
                    <w:t xml:space="preserve"> – </w:t>
                  </w:r>
                  <w:proofErr w:type="spellStart"/>
                  <w:r w:rsidR="000C6BC9">
                    <w:rPr>
                      <w:rFonts w:eastAsiaTheme="minorEastAsia"/>
                    </w:rPr>
                    <w:t>мидпоинт</w:t>
                  </w:r>
                  <w:proofErr w:type="spellEnd"/>
                  <w:r w:rsidR="00322261">
                    <w:rPr>
                      <w:rFonts w:eastAsiaTheme="minorEastAsia"/>
                    </w:rPr>
                    <w:t xml:space="preserve">, </w:t>
                  </w:r>
                  <w:proofErr w:type="spellStart"/>
                  <w:r w:rsidR="00322261">
                    <w:rPr>
                      <w:rFonts w:eastAsiaTheme="minorEastAsia"/>
                    </w:rPr>
                    <w:t>усл</w:t>
                  </w:r>
                  <w:proofErr w:type="spellEnd"/>
                  <w:r w:rsidR="00322261">
                    <w:rPr>
                      <w:rFonts w:eastAsiaTheme="minorEastAsia"/>
                    </w:rPr>
                    <w:t>. ед.</w:t>
                  </w:r>
                  <w:r w:rsidR="000C6BC9">
                    <w:rPr>
                      <w:rFonts w:eastAsiaTheme="minorEastAsia"/>
                    </w:rPr>
                    <w:t>;</w:t>
                  </w:r>
                </w:p>
                <w:p w:rsidR="000C6BC9" w:rsidRPr="00E54644" w:rsidRDefault="000C6BC9" w:rsidP="000C6BC9">
                  <w:pPr>
                    <w:pStyle w:val="af"/>
                  </w:pPr>
                  <m:oMath>
                    <m:r>
                      <w:rPr>
                        <w:rFonts w:ascii="Cambria Math" w:eastAsiaTheme="minorEastAsia" w:hAnsi="Cambria Math"/>
                      </w:rPr>
                      <m:t>P</m:t>
                    </m:r>
                  </m:oMath>
                  <w:r w:rsidRPr="000B5FCA">
                    <w:rPr>
                      <w:rFonts w:eastAsiaTheme="minorEastAsia"/>
                      <w:iCs/>
                    </w:rPr>
                    <w:t xml:space="preserve"> – </w:t>
                  </w:r>
                  <w:r>
                    <w:rPr>
                      <w:rFonts w:eastAsiaTheme="minorEastAsia"/>
                      <w:iCs/>
                    </w:rPr>
                    <w:t>цена транзакции</w:t>
                  </w:r>
                  <w:r w:rsidR="00322261">
                    <w:rPr>
                      <w:rFonts w:eastAsiaTheme="minorEastAsia"/>
                    </w:rPr>
                    <w:t xml:space="preserve">, </w:t>
                  </w:r>
                  <w:proofErr w:type="spellStart"/>
                  <w:r w:rsidR="00322261">
                    <w:rPr>
                      <w:rFonts w:eastAsiaTheme="minorEastAsia"/>
                    </w:rPr>
                    <w:t>усл</w:t>
                  </w:r>
                  <w:proofErr w:type="spellEnd"/>
                  <w:r w:rsidR="00322261">
                    <w:rPr>
                      <w:rFonts w:eastAsiaTheme="minorEastAsia"/>
                    </w:rPr>
                    <w:t>. ед</w:t>
                  </w:r>
                  <w:r>
                    <w:rPr>
                      <w:rFonts w:eastAsiaTheme="minorEastAsia"/>
                      <w:iCs/>
                    </w:rPr>
                    <w:t>.</w:t>
                  </w:r>
                </w:p>
              </w:tc>
            </w:tr>
          </w:tbl>
          <w:p w:rsidR="000C6BC9" w:rsidRPr="00E54644" w:rsidRDefault="000C6BC9" w:rsidP="006A72EC">
            <w:pPr>
              <w:pStyle w:val="af"/>
            </w:pPr>
          </w:p>
        </w:tc>
      </w:tr>
      <w:tr w:rsidR="00A779F3" w:rsidRPr="00E54644" w:rsidTr="00680C4E">
        <w:tc>
          <w:tcPr>
            <w:tcW w:w="9339" w:type="dxa"/>
            <w:gridSpan w:val="2"/>
          </w:tcPr>
          <w:p w:rsidR="00A779F3" w:rsidRPr="002E4EF0" w:rsidRDefault="00A779F3" w:rsidP="006A72EC">
            <w:pPr>
              <w:pStyle w:val="af"/>
            </w:pPr>
            <w:r>
              <w:t>Глубина</w:t>
            </w:r>
            <w:r w:rsidR="002E4EF0">
              <w:t xml:space="preserve"> – объем, превышение которого спровоцирует движение цен</w:t>
            </w:r>
          </w:p>
        </w:tc>
      </w:tr>
      <w:tr w:rsidR="006A72EC" w:rsidRPr="00E54644" w:rsidTr="006A72EC">
        <w:tc>
          <w:tcPr>
            <w:tcW w:w="1555" w:type="dxa"/>
          </w:tcPr>
          <w:p w:rsidR="006A72EC" w:rsidRPr="00E54644" w:rsidRDefault="006A72EC" w:rsidP="006A72EC">
            <w:pPr>
              <w:pStyle w:val="af"/>
            </w:pPr>
          </w:p>
        </w:tc>
        <w:tc>
          <w:tcPr>
            <w:tcW w:w="7784" w:type="dxa"/>
          </w:tcPr>
          <w:p w:rsidR="006A72EC" w:rsidRPr="001F70C7" w:rsidRDefault="008167A1" w:rsidP="006A72EC">
            <w:pPr>
              <w:pStyle w:val="af"/>
            </w:pPr>
            <w:r w:rsidRPr="001F70C7">
              <w:t>Накопленный о</w:t>
            </w:r>
            <w:r w:rsidR="00A779F3" w:rsidRPr="001F70C7">
              <w:t xml:space="preserve">бъем торгов </w:t>
            </w:r>
            <w:r w:rsidR="00A779F3" w:rsidRPr="001F70C7">
              <w:fldChar w:fldCharType="begin"/>
            </w:r>
            <w:r w:rsidR="00651EA5">
              <w:instrText xml:space="preserve"> ADDIN ZOTERO_ITEM CSL_CITATION {"citationID":"ZassfK0t","properties":{"formattedCitation":"(Ranaldo, 2001)","plainCitation":"(Ranaldo, 2001)","noteIndex":0},"citationItems":[{"id":170,"uris":["http://zotero.org/users/3945180/items/5U22QSVL"],"uri":["http://zotero.org/users/3945180/items/5U22QSVL"],"itemData":{"id":170,"type":"article-journal","container-title":"Financial Markets and Portfolio Management","issue":"3","journalAbbreviation":"Financial Markets and Portfolio Management","language":"en","page":"309-327","source":"DOI.org (Crossref)","title":"Intraday market liquidity on the Swiss Stock Exchange","volume":"15","author":[{"family":"Ranaldo","given":"Angelo"}],"issued":{"date-parts":[["2001",9]]}}}],"schema":"https://github.com/citation-style-language/schema/raw/master/csl-citation.json"} </w:instrText>
            </w:r>
            <w:r w:rsidR="00A779F3" w:rsidRPr="001F70C7">
              <w:fldChar w:fldCharType="separate"/>
            </w:r>
            <w:r w:rsidR="00A779F3" w:rsidRPr="001F70C7">
              <w:t>(Ranaldo, 2001)</w:t>
            </w:r>
            <w:r w:rsidR="00A779F3" w:rsidRPr="001F70C7">
              <w:fldChar w:fldCharType="end"/>
            </w:r>
          </w:p>
          <w:p w:rsidR="008167A1" w:rsidRPr="001F70C7" w:rsidRDefault="008167A1" w:rsidP="006A72EC">
            <w:pPr>
              <w:pStyle w:val="af"/>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821"/>
            </w:tblGrid>
            <w:tr w:rsidR="008167A1" w:rsidRPr="001F70C7" w:rsidTr="00680C4E">
              <w:tc>
                <w:tcPr>
                  <w:tcW w:w="7558" w:type="dxa"/>
                  <w:gridSpan w:val="2"/>
                </w:tcPr>
                <w:p w:rsidR="008167A1" w:rsidRPr="001F70C7" w:rsidRDefault="008167A1" w:rsidP="008167A1">
                  <w:pPr>
                    <w:pStyle w:val="af"/>
                    <w:rPr>
                      <w:rFonts w:eastAsiaTheme="minorEastAsia"/>
                    </w:rPr>
                  </w:pPr>
                  <m:oMathPara>
                    <m:oMath>
                      <m:r>
                        <w:rPr>
                          <w:rFonts w:ascii="Cambria Math" w:eastAsiaTheme="minorEastAsia" w:hAnsi="Cambria Math"/>
                        </w:rPr>
                        <m:t>Trading Volume=</m:t>
                      </m:r>
                      <m:nary>
                        <m:naryPr>
                          <m:chr m:val="∑"/>
                          <m:limLoc m:val="subSup"/>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Volume</m:t>
                              </m:r>
                            </m:e>
                            <m:sub>
                              <m:r>
                                <w:rPr>
                                  <w:rFonts w:ascii="Cambria Math" w:eastAsiaTheme="minorEastAsia" w:hAnsi="Cambria Math"/>
                                </w:rPr>
                                <m:t>t</m:t>
                              </m:r>
                            </m:sub>
                          </m:sSub>
                        </m:e>
                      </m:nary>
                    </m:oMath>
                  </m:oMathPara>
                </w:p>
              </w:tc>
            </w:tr>
            <w:tr w:rsidR="008167A1" w:rsidRPr="00AB4A7B" w:rsidTr="00680C4E">
              <w:tc>
                <w:tcPr>
                  <w:tcW w:w="737" w:type="dxa"/>
                </w:tcPr>
                <w:p w:rsidR="008167A1" w:rsidRPr="001F70C7" w:rsidRDefault="008167A1" w:rsidP="008167A1">
                  <w:pPr>
                    <w:pStyle w:val="af"/>
                  </w:pPr>
                  <w:r w:rsidRPr="001F70C7">
                    <w:t>где,</w:t>
                  </w:r>
                </w:p>
              </w:tc>
              <w:tc>
                <w:tcPr>
                  <w:tcW w:w="6821" w:type="dxa"/>
                </w:tcPr>
                <w:p w:rsidR="008167A1" w:rsidRPr="001F70C7" w:rsidRDefault="009A6400" w:rsidP="008167A1">
                  <w:pPr>
                    <w:pStyle w:val="af"/>
                    <w:rPr>
                      <w:rFonts w:eastAsiaTheme="minorEastAsia"/>
                    </w:rPr>
                  </w:pPr>
                  <m:oMath>
                    <m:sSub>
                      <m:sSubPr>
                        <m:ctrlPr>
                          <w:rPr>
                            <w:rFonts w:ascii="Cambria Math" w:eastAsiaTheme="minorEastAsia" w:hAnsi="Cambria Math"/>
                            <w:i/>
                          </w:rPr>
                        </m:ctrlPr>
                      </m:sSubPr>
                      <m:e>
                        <m:r>
                          <w:rPr>
                            <w:rFonts w:ascii="Cambria Math" w:eastAsiaTheme="minorEastAsia" w:hAnsi="Cambria Math"/>
                          </w:rPr>
                          <m:t>Volume</m:t>
                        </m:r>
                      </m:e>
                      <m:sub>
                        <m:r>
                          <w:rPr>
                            <w:rFonts w:ascii="Cambria Math" w:eastAsiaTheme="minorEastAsia" w:hAnsi="Cambria Math"/>
                          </w:rPr>
                          <m:t>t</m:t>
                        </m:r>
                      </m:sub>
                    </m:sSub>
                  </m:oMath>
                  <w:r w:rsidR="008167A1" w:rsidRPr="001F70C7">
                    <w:rPr>
                      <w:rFonts w:eastAsiaTheme="minorEastAsia"/>
                    </w:rPr>
                    <w:t xml:space="preserve"> – </w:t>
                  </w:r>
                  <w:r w:rsidR="00452523" w:rsidRPr="001F70C7">
                    <w:rPr>
                      <w:rFonts w:eastAsiaTheme="minorEastAsia"/>
                    </w:rPr>
                    <w:t xml:space="preserve">объем сделки в момент времени </w:t>
                  </w:r>
                  <w:r w:rsidR="00452523" w:rsidRPr="001F70C7">
                    <w:rPr>
                      <w:rFonts w:eastAsiaTheme="minorEastAsia"/>
                      <w:lang w:val="en-US"/>
                    </w:rPr>
                    <w:t>t</w:t>
                  </w:r>
                  <w:r w:rsidR="00AB4A7B">
                    <w:rPr>
                      <w:rFonts w:eastAsiaTheme="minorEastAsia"/>
                    </w:rPr>
                    <w:t>, шт.</w:t>
                  </w:r>
                  <w:r w:rsidR="008167A1" w:rsidRPr="001F70C7">
                    <w:rPr>
                      <w:rFonts w:eastAsiaTheme="minorEastAsia"/>
                      <w:iCs/>
                    </w:rPr>
                    <w:t>.</w:t>
                  </w:r>
                </w:p>
              </w:tc>
            </w:tr>
          </w:tbl>
          <w:p w:rsidR="008167A1" w:rsidRPr="001F70C7" w:rsidRDefault="008167A1" w:rsidP="006A72EC">
            <w:pPr>
              <w:pStyle w:val="af"/>
            </w:pPr>
          </w:p>
        </w:tc>
      </w:tr>
      <w:tr w:rsidR="00A779F3" w:rsidRPr="00E54644" w:rsidTr="006A72EC">
        <w:tc>
          <w:tcPr>
            <w:tcW w:w="1555" w:type="dxa"/>
          </w:tcPr>
          <w:p w:rsidR="00A779F3" w:rsidRPr="00E54644" w:rsidRDefault="00A779F3" w:rsidP="006A72EC">
            <w:pPr>
              <w:pStyle w:val="af"/>
            </w:pPr>
          </w:p>
        </w:tc>
        <w:tc>
          <w:tcPr>
            <w:tcW w:w="7784" w:type="dxa"/>
          </w:tcPr>
          <w:p w:rsidR="006F3FBD" w:rsidRPr="001F70C7" w:rsidRDefault="006F3FBD" w:rsidP="006F3FBD">
            <w:pPr>
              <w:pStyle w:val="af"/>
            </w:pPr>
            <w:r w:rsidRPr="006F3FBD">
              <w:t>Отношение д</w:t>
            </w:r>
            <w:r w:rsidR="006672F4" w:rsidRPr="006F3FBD">
              <w:t>исбаланс</w:t>
            </w:r>
            <w:r w:rsidRPr="006F3FBD">
              <w:t>а</w:t>
            </w:r>
            <w:r w:rsidR="006672F4" w:rsidRPr="006F3FBD">
              <w:t xml:space="preserve"> объема заявок </w:t>
            </w:r>
            <w:r w:rsidRPr="006F3FBD">
              <w:t>на лучших цен</w:t>
            </w:r>
            <w:r w:rsidR="004B7728">
              <w:t>ах</w:t>
            </w:r>
            <w:r w:rsidRPr="006F3FBD">
              <w:t xml:space="preserve"> к объему торгов </w:t>
            </w:r>
            <w:r w:rsidRPr="006F3FBD">
              <w:fldChar w:fldCharType="begin"/>
            </w:r>
            <w:r w:rsidR="00651EA5">
              <w:instrText xml:space="preserve"> ADDIN ZOTERO_ITEM CSL_CITATION {"citationID":"Tb9gN7oY","properties":{"formattedCitation":"(Ranaldo, 2001)","plainCitation":"(Ranaldo, 2001)","noteIndex":0},"citationItems":[{"id":170,"uris":["http://zotero.org/users/3945180/items/5U22QSVL"],"uri":["http://zotero.org/users/3945180/items/5U22QSVL"],"itemData":{"id":170,"type":"article-journal","container-title":"Financial Markets and Portfolio Management","issue":"3","journalAbbreviation":"Financial Markets and Portfolio Management","language":"en","page":"309-327","source":"DOI.org (Crossref)","title":"Intraday market liquidity on the Swiss Stock Exchange","volume":"15","author":[{"family":"Ranaldo","given":"Angelo"}],"issued":{"date-parts":[["2001",9]]}}}],"schema":"https://github.com/citation-style-language/schema/raw/master/csl-citation.json"} </w:instrText>
            </w:r>
            <w:r w:rsidRPr="006F3FBD">
              <w:fldChar w:fldCharType="separate"/>
            </w:r>
            <w:r w:rsidRPr="006F3FBD">
              <w:t>(Ranaldo, 2001)</w:t>
            </w:r>
            <w:r w:rsidRPr="006F3FBD">
              <w:fldChar w:fldCharType="end"/>
            </w:r>
          </w:p>
          <w:p w:rsidR="00A779F3" w:rsidRDefault="00A779F3" w:rsidP="006A72EC">
            <w:pPr>
              <w:pStyle w:val="af"/>
              <w:rPr>
                <w:highlight w:val="yellow"/>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821"/>
            </w:tblGrid>
            <w:tr w:rsidR="006F3FBD" w:rsidTr="00680C4E">
              <w:tc>
                <w:tcPr>
                  <w:tcW w:w="7558" w:type="dxa"/>
                  <w:gridSpan w:val="2"/>
                </w:tcPr>
                <w:p w:rsidR="006F3FBD" w:rsidRPr="00E54644" w:rsidRDefault="009A6400" w:rsidP="006F3FBD">
                  <w:pPr>
                    <w:pStyle w:val="af"/>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Order Ratio</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buy</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m:t>
                                  </m:r>
                                </m:sub>
                                <m:sup>
                                  <m:r>
                                    <w:rPr>
                                      <w:rFonts w:ascii="Cambria Math" w:eastAsiaTheme="minorEastAsia" w:hAnsi="Cambria Math"/>
                                    </w:rPr>
                                    <m:t>sell</m:t>
                                  </m:r>
                                </m:sup>
                              </m:sSubSup>
                            </m:e>
                          </m:d>
                        </m:num>
                        <m:den>
                          <m:sSub>
                            <m:sSubPr>
                              <m:ctrlPr>
                                <w:rPr>
                                  <w:rFonts w:ascii="Cambria Math" w:eastAsiaTheme="minorEastAsia" w:hAnsi="Cambria Math"/>
                                  <w:i/>
                                </w:rPr>
                              </m:ctrlPr>
                            </m:sSubPr>
                            <m:e>
                              <m:r>
                                <w:rPr>
                                  <w:rFonts w:ascii="Cambria Math" w:eastAsiaTheme="minorEastAsia" w:hAnsi="Cambria Math"/>
                                </w:rPr>
                                <m:t>Volume</m:t>
                              </m:r>
                            </m:e>
                            <m:sub>
                              <m:r>
                                <w:rPr>
                                  <w:rFonts w:ascii="Cambria Math" w:eastAsiaTheme="minorEastAsia" w:hAnsi="Cambria Math"/>
                                </w:rPr>
                                <m:t>t</m:t>
                              </m:r>
                            </m:sub>
                          </m:sSub>
                        </m:den>
                      </m:f>
                    </m:oMath>
                  </m:oMathPara>
                </w:p>
              </w:tc>
            </w:tr>
            <w:tr w:rsidR="006F3FBD" w:rsidRPr="00E54644" w:rsidTr="00680C4E">
              <w:tc>
                <w:tcPr>
                  <w:tcW w:w="737" w:type="dxa"/>
                </w:tcPr>
                <w:p w:rsidR="006F3FBD" w:rsidRPr="006A72EC" w:rsidRDefault="006F3FBD" w:rsidP="006F3FBD">
                  <w:pPr>
                    <w:pStyle w:val="af"/>
                  </w:pPr>
                  <w:r>
                    <w:t>где,</w:t>
                  </w:r>
                </w:p>
              </w:tc>
              <w:tc>
                <w:tcPr>
                  <w:tcW w:w="6821" w:type="dxa"/>
                </w:tcPr>
                <w:p w:rsidR="006F3FBD" w:rsidRDefault="009A6400" w:rsidP="006F3FBD">
                  <w:pPr>
                    <w:pStyle w:val="af"/>
                    <w:rPr>
                      <w:rFonts w:eastAsiaTheme="minorEastAsia"/>
                    </w:rPr>
                  </w:pPr>
                  <m:oMath>
                    <m:sSup>
                      <m:sSupPr>
                        <m:ctrlPr>
                          <w:rPr>
                            <w:rFonts w:ascii="Cambria Math" w:hAnsi="Cambria Math"/>
                          </w:rPr>
                        </m:ctrlPr>
                      </m:sSupPr>
                      <m:e>
                        <m:r>
                          <w:rPr>
                            <w:rFonts w:ascii="Cambria Math" w:hAnsi="Cambria Math"/>
                          </w:rPr>
                          <m:t>P</m:t>
                        </m:r>
                      </m:e>
                      <m:sup>
                        <m:r>
                          <w:rPr>
                            <w:rFonts w:ascii="Cambria Math" w:hAnsi="Cambria Math"/>
                            <w:lang w:val="en-US"/>
                          </w:rPr>
                          <m:t>T</m:t>
                        </m:r>
                      </m:sup>
                    </m:sSup>
                  </m:oMath>
                  <w:r w:rsidR="006F3FBD" w:rsidRPr="00E54644">
                    <w:rPr>
                      <w:rFonts w:eastAsiaTheme="minorEastAsia"/>
                    </w:rPr>
                    <w:t xml:space="preserve"> – </w:t>
                  </w:r>
                  <w:proofErr w:type="spellStart"/>
                  <w:r w:rsidR="006F3FBD">
                    <w:rPr>
                      <w:rFonts w:eastAsiaTheme="minorEastAsia"/>
                    </w:rPr>
                    <w:t>мидпоинт</w:t>
                  </w:r>
                  <w:proofErr w:type="spellEnd"/>
                  <w:r w:rsidR="006F3FBD">
                    <w:rPr>
                      <w:rFonts w:eastAsiaTheme="minorEastAsia"/>
                    </w:rPr>
                    <w:t xml:space="preserve">, </w:t>
                  </w:r>
                  <w:proofErr w:type="spellStart"/>
                  <w:r w:rsidR="006F3FBD">
                    <w:rPr>
                      <w:rFonts w:eastAsiaTheme="minorEastAsia"/>
                    </w:rPr>
                    <w:t>усл</w:t>
                  </w:r>
                  <w:proofErr w:type="spellEnd"/>
                  <w:r w:rsidR="006F3FBD">
                    <w:rPr>
                      <w:rFonts w:eastAsiaTheme="minorEastAsia"/>
                    </w:rPr>
                    <w:t>. ед.;</w:t>
                  </w:r>
                </w:p>
                <w:p w:rsidR="006F3FBD" w:rsidRPr="00E54644" w:rsidRDefault="006F3FBD" w:rsidP="006F3FBD">
                  <w:pPr>
                    <w:pStyle w:val="af"/>
                  </w:pPr>
                  <m:oMath>
                    <m:r>
                      <w:rPr>
                        <w:rFonts w:ascii="Cambria Math" w:eastAsiaTheme="minorEastAsia" w:hAnsi="Cambria Math"/>
                      </w:rPr>
                      <m:t>P</m:t>
                    </m:r>
                  </m:oMath>
                  <w:r w:rsidRPr="000B5FCA">
                    <w:rPr>
                      <w:rFonts w:eastAsiaTheme="minorEastAsia"/>
                      <w:iCs/>
                    </w:rPr>
                    <w:t xml:space="preserve"> – </w:t>
                  </w:r>
                  <w:r>
                    <w:rPr>
                      <w:rFonts w:eastAsiaTheme="minorEastAsia"/>
                      <w:iCs/>
                    </w:rPr>
                    <w:t>цена транзакции</w:t>
                  </w:r>
                  <w:r>
                    <w:rPr>
                      <w:rFonts w:eastAsiaTheme="minorEastAsia"/>
                    </w:rPr>
                    <w:t xml:space="preserve">, </w:t>
                  </w:r>
                  <w:proofErr w:type="spellStart"/>
                  <w:r>
                    <w:rPr>
                      <w:rFonts w:eastAsiaTheme="minorEastAsia"/>
                    </w:rPr>
                    <w:t>усл</w:t>
                  </w:r>
                  <w:proofErr w:type="spellEnd"/>
                  <w:r>
                    <w:rPr>
                      <w:rFonts w:eastAsiaTheme="minorEastAsia"/>
                    </w:rPr>
                    <w:t>. ед</w:t>
                  </w:r>
                  <w:r>
                    <w:rPr>
                      <w:rFonts w:eastAsiaTheme="minorEastAsia"/>
                      <w:iCs/>
                    </w:rPr>
                    <w:t>.</w:t>
                  </w:r>
                </w:p>
              </w:tc>
            </w:tr>
          </w:tbl>
          <w:p w:rsidR="006F3FBD" w:rsidRPr="006F3FBD" w:rsidRDefault="006F3FBD" w:rsidP="006A72EC">
            <w:pPr>
              <w:pStyle w:val="af"/>
              <w:rPr>
                <w:highlight w:val="yellow"/>
              </w:rPr>
            </w:pPr>
          </w:p>
        </w:tc>
      </w:tr>
      <w:tr w:rsidR="006672F4" w:rsidRPr="00E54644" w:rsidTr="006A72EC">
        <w:tc>
          <w:tcPr>
            <w:tcW w:w="1555" w:type="dxa"/>
          </w:tcPr>
          <w:p w:rsidR="006672F4" w:rsidRPr="00E54644" w:rsidRDefault="006672F4" w:rsidP="006672F4">
            <w:pPr>
              <w:pStyle w:val="af"/>
            </w:pPr>
          </w:p>
        </w:tc>
        <w:tc>
          <w:tcPr>
            <w:tcW w:w="7784" w:type="dxa"/>
          </w:tcPr>
          <w:p w:rsidR="006672F4" w:rsidRPr="00CD1F47" w:rsidRDefault="006672F4" w:rsidP="006672F4">
            <w:pPr>
              <w:pStyle w:val="af"/>
            </w:pPr>
            <w:r w:rsidRPr="00CD1F47">
              <w:t xml:space="preserve">Объем на лучшей цене покупки, объем на лучшей цене продажи </w:t>
            </w:r>
            <w:r w:rsidRPr="00CD1F47">
              <w:fldChar w:fldCharType="begin"/>
            </w:r>
            <w:r w:rsidRPr="00CD1F47">
              <w:instrText xml:space="preserve"> ADDIN ZOTERO_ITEM CSL_CITATION {"citationID":"zkg7mRiT","properties":{"formattedCitation":"(Tsuchida et al., 2016)","plainCitation":"(Tsuchida et al., 2016)","noteIndex":0},"citationItems":[{"id":174,"uris":["http://zotero.org/users/3945180/items/L83EADCL"],"uri":["http://zotero.org/users/3945180/items/L83EADCL"],"itemData":{"id":174,"type":"paper-conference","abstract":"We investigate the intraday market liquidity of the Japanese government bond (JGB) futures. First, we overview the movement of various market liquidity indicators during the past decade, classifying them into four categories: tightness, depth, resiliency, and volume. Second, using the data under the current trade time, we extract their intraday pattern and the autocorrelation. Third, we find that the announcement of economic indicator has a negative effect on these liquidity indicators while the monetary policy announcement and the surprise of economic indicator have a positive effect on volume indicators. Fourth, we show that the shock persistence in liquidity indicators rises around April 2013, and the increased persistence remains in some liquidity indicators even several months after April 2013.","collection-title":"2016-E-7","event-place":"Japan","language":"en","page":"43","publisher":"Bank of Japan","publisher-place":"Japan","source":"Zotero","title":"The Intraday Market Liquidity of Japanese Government Bond Futures","author":[{"family":"Tsuchida","given":"Naoshi"},{"family":"Watanabe","given":"Toshiaki"},{"family":"Yoshiba","given":"Toshinao"}],"issued":{"date-parts":[["2016",7]]}}}],"schema":"https://github.com/citation-style-language/schema/raw/master/csl-citation.json"} </w:instrText>
            </w:r>
            <w:r w:rsidRPr="00CD1F47">
              <w:fldChar w:fldCharType="separate"/>
            </w:r>
            <w:r w:rsidRPr="00CD1F47">
              <w:t>(Tsuchida et al., 2016)</w:t>
            </w:r>
            <w:r w:rsidRPr="00CD1F47">
              <w:fldChar w:fldCharType="end"/>
            </w:r>
          </w:p>
        </w:tc>
      </w:tr>
      <w:tr w:rsidR="006672F4" w:rsidRPr="00E54644" w:rsidTr="00680C4E">
        <w:tc>
          <w:tcPr>
            <w:tcW w:w="9339" w:type="dxa"/>
            <w:gridSpan w:val="2"/>
          </w:tcPr>
          <w:p w:rsidR="006672F4" w:rsidRPr="00F17075" w:rsidRDefault="006672F4" w:rsidP="006672F4">
            <w:pPr>
              <w:pStyle w:val="af"/>
              <w:rPr>
                <w:highlight w:val="yellow"/>
              </w:rPr>
            </w:pPr>
            <w:r w:rsidRPr="00F17075">
              <w:t>Упругость/ релаксация</w:t>
            </w:r>
            <w:r w:rsidR="00680C4E">
              <w:t xml:space="preserve"> – скорость, с которой цены возвращаются к </w:t>
            </w:r>
            <w:proofErr w:type="spellStart"/>
            <w:r w:rsidR="00680C4E">
              <w:t>досделочному</w:t>
            </w:r>
            <w:proofErr w:type="spellEnd"/>
            <w:r w:rsidR="00680C4E">
              <w:t xml:space="preserve"> уровню</w:t>
            </w:r>
          </w:p>
        </w:tc>
      </w:tr>
      <w:tr w:rsidR="006672F4" w:rsidRPr="00A779F3" w:rsidTr="006A72EC">
        <w:tc>
          <w:tcPr>
            <w:tcW w:w="1555" w:type="dxa"/>
          </w:tcPr>
          <w:p w:rsidR="006672F4" w:rsidRPr="000055F3" w:rsidRDefault="006672F4" w:rsidP="006672F4">
            <w:pPr>
              <w:pStyle w:val="af"/>
            </w:pPr>
          </w:p>
        </w:tc>
        <w:tc>
          <w:tcPr>
            <w:tcW w:w="7784" w:type="dxa"/>
          </w:tcPr>
          <w:p w:rsidR="006672F4" w:rsidRPr="00712C2A" w:rsidRDefault="006672F4" w:rsidP="006672F4">
            <w:pPr>
              <w:pStyle w:val="af"/>
              <w:rPr>
                <w:lang w:val="en-US"/>
              </w:rPr>
            </w:pPr>
            <w:r w:rsidRPr="00F17075">
              <w:t>Индекс</w:t>
            </w:r>
            <w:r w:rsidRPr="00712C2A">
              <w:rPr>
                <w:lang w:val="en-US"/>
              </w:rPr>
              <w:t xml:space="preserve"> </w:t>
            </w:r>
            <w:r w:rsidRPr="00F17075">
              <w:t>ликвидности</w:t>
            </w:r>
            <w:r w:rsidRPr="00712C2A">
              <w:rPr>
                <w:lang w:val="en-US"/>
              </w:rPr>
              <w:t xml:space="preserve"> </w:t>
            </w:r>
            <w:r w:rsidRPr="00F17075">
              <w:fldChar w:fldCharType="begin"/>
            </w:r>
            <w:r w:rsidRPr="00712C2A">
              <w:rPr>
                <w:lang w:val="en-US"/>
              </w:rPr>
              <w:instrText xml:space="preserve"> ADDIN ZOTERO_ITEM CSL_CITATION {"citationID":"xHiJUBEd","properties":{"formattedCitation":"(Bollen and Whaley, 1998)","plainCitation":"(Bollen and Whaley, 1998)","noteIndex":0},"citationItems":[{"id":168,"uris":["http://zotero.org/users/3945180/items/HJIZVGWH"],"uri":["http://zotero.org/users/3945180/items/HJIZVGWH"],"itemData":{"id":168,"type":"article-journal","abstract":"On June 5th, 1997, the NYSE voted to adopt a system of decimal price quoting, changing its longstanding practice of using 1/8ths. While the system does not go into place until the turn of the century, the NYSE began quoting stock prices in 1/16ths, so-called “teenies,” as an intermediate step on June 24th, 1997. This paper examines whether the refined price gradation has reduced trading costs on the NYSE. The evidence indicates that both bid/ask spreads and market depth at the prevailing bid/ask quotes have fallen. On balance, investor trading costs have dropped overall, with the largest gains being experienced for low price shares and for small trade sizes.","container-title":"Journal of Portfolio Management","journalAbbreviation":"Journal of Portfolio Management","language":"en","page":"10-24","source":"Zotero","title":"Are “Teenies” Better?","volume":"25","author":[{"family":"Bollen","given":"Nicolas P B"},{"family":"Whaley","given":"Robert E"}],"issued":{"date-parts":[["1998"]]}}}],"schema":"https://github.com/citation-style-language/schema/raw/master/csl-citation.json"} </w:instrText>
            </w:r>
            <w:r w:rsidRPr="00F17075">
              <w:fldChar w:fldCharType="separate"/>
            </w:r>
            <w:r w:rsidRPr="00712C2A">
              <w:rPr>
                <w:lang w:val="en-US"/>
              </w:rPr>
              <w:t>(Bollen and Whaley, 1998)</w:t>
            </w:r>
            <w:r w:rsidRPr="00F17075">
              <w:fldChar w:fldCharType="end"/>
            </w:r>
          </w:p>
          <w:p w:rsidR="006672F4" w:rsidRPr="00B02B9C" w:rsidRDefault="006672F4" w:rsidP="006672F4">
            <w:pPr>
              <w:pStyle w:val="af"/>
              <w:rPr>
                <w:lang w:val="en-U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821"/>
            </w:tblGrid>
            <w:tr w:rsidR="006672F4" w:rsidTr="00680C4E">
              <w:tc>
                <w:tcPr>
                  <w:tcW w:w="7558" w:type="dxa"/>
                  <w:gridSpan w:val="2"/>
                </w:tcPr>
                <w:p w:rsidR="006672F4" w:rsidRPr="009A1452" w:rsidRDefault="005A05F7" w:rsidP="006672F4">
                  <w:pPr>
                    <w:pStyle w:val="af"/>
                    <w:rPr>
                      <w:rFonts w:eastAsiaTheme="minorEastAsia"/>
                      <w:i/>
                    </w:rPr>
                  </w:pPr>
                  <m:oMathPara>
                    <m:oMath>
                      <m:r>
                        <w:rPr>
                          <w:rFonts w:ascii="Cambria Math" w:eastAsiaTheme="minorEastAsia" w:hAnsi="Cambria Math"/>
                        </w:rPr>
                        <w:lastRenderedPageBreak/>
                        <m:t>Liquidity Ratio=</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e>
                          </m:nary>
                        </m:num>
                        <m:den>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close</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open</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open</m:t>
                                      </m:r>
                                    </m:sub>
                                  </m:sSub>
                                </m:den>
                              </m:f>
                            </m:e>
                          </m:d>
                          <m:r>
                            <w:rPr>
                              <w:rFonts w:ascii="Cambria Math" w:eastAsiaTheme="minorEastAsia" w:hAnsi="Cambria Math"/>
                            </w:rPr>
                            <m:t>*100</m:t>
                          </m:r>
                        </m:den>
                      </m:f>
                    </m:oMath>
                  </m:oMathPara>
                </w:p>
                <w:p w:rsidR="006672F4" w:rsidRPr="00E54644" w:rsidRDefault="006672F4" w:rsidP="006672F4">
                  <w:pPr>
                    <w:pStyle w:val="af"/>
                    <w:rPr>
                      <w:rFonts w:eastAsiaTheme="minorEastAsia"/>
                    </w:rPr>
                  </w:pPr>
                </w:p>
              </w:tc>
            </w:tr>
            <w:tr w:rsidR="006672F4" w:rsidRPr="00A779F3" w:rsidTr="00680C4E">
              <w:tc>
                <w:tcPr>
                  <w:tcW w:w="737" w:type="dxa"/>
                </w:tcPr>
                <w:p w:rsidR="006672F4" w:rsidRPr="006A72EC" w:rsidRDefault="006672F4" w:rsidP="006672F4">
                  <w:pPr>
                    <w:pStyle w:val="af"/>
                  </w:pPr>
                  <w:r>
                    <w:t>где,</w:t>
                  </w:r>
                </w:p>
              </w:tc>
              <w:tc>
                <w:tcPr>
                  <w:tcW w:w="6821" w:type="dxa"/>
                </w:tcPr>
                <w:p w:rsidR="006672F4" w:rsidRDefault="009A6400" w:rsidP="006672F4">
                  <w:pPr>
                    <w:pStyle w:val="af"/>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6672F4" w:rsidRPr="00E54644">
                    <w:rPr>
                      <w:rFonts w:eastAsiaTheme="minorEastAsia"/>
                    </w:rPr>
                    <w:t xml:space="preserve"> –</w:t>
                  </w:r>
                  <w:r w:rsidR="00125531">
                    <w:rPr>
                      <w:rFonts w:eastAsiaTheme="minorEastAsia"/>
                    </w:rPr>
                    <w:t xml:space="preserve"> объем сделки в момент времени </w:t>
                  </w:r>
                  <w:r w:rsidR="00125531">
                    <w:rPr>
                      <w:rFonts w:eastAsiaTheme="minorEastAsia"/>
                      <w:lang w:val="en-US"/>
                    </w:rPr>
                    <w:t>t</w:t>
                  </w:r>
                  <w:r w:rsidR="00125531">
                    <w:rPr>
                      <w:rFonts w:eastAsiaTheme="minorEastAsia"/>
                    </w:rPr>
                    <w:t>, шт.</w:t>
                  </w:r>
                  <w:r w:rsidR="006672F4">
                    <w:rPr>
                      <w:rFonts w:eastAsiaTheme="minorEastAsia"/>
                    </w:rPr>
                    <w:t>;</w:t>
                  </w:r>
                </w:p>
                <w:p w:rsidR="006672F4" w:rsidRPr="00125531" w:rsidRDefault="009A6400" w:rsidP="006672F4">
                  <w:pPr>
                    <w:pStyle w:val="af"/>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006672F4" w:rsidRPr="000B5FCA">
                    <w:rPr>
                      <w:rFonts w:eastAsiaTheme="minorEastAsia"/>
                      <w:iCs/>
                    </w:rPr>
                    <w:t xml:space="preserve"> – </w:t>
                  </w:r>
                  <w:r w:rsidR="00125531">
                    <w:rPr>
                      <w:rFonts w:eastAsiaTheme="minorEastAsia"/>
                      <w:iCs/>
                    </w:rPr>
                    <w:t xml:space="preserve">цена сделки в момент времени </w:t>
                  </w:r>
                  <w:r w:rsidR="00125531">
                    <w:rPr>
                      <w:rFonts w:eastAsiaTheme="minorEastAsia"/>
                      <w:iCs/>
                      <w:lang w:val="en-US"/>
                    </w:rPr>
                    <w:t>t</w:t>
                  </w:r>
                  <w:r w:rsidR="00125531">
                    <w:rPr>
                      <w:rFonts w:eastAsiaTheme="minorEastAsia"/>
                      <w:iCs/>
                    </w:rPr>
                    <w:t xml:space="preserve">, </w:t>
                  </w:r>
                  <w:proofErr w:type="spellStart"/>
                  <w:r w:rsidR="00125531">
                    <w:rPr>
                      <w:rFonts w:eastAsiaTheme="minorEastAsia"/>
                      <w:iCs/>
                    </w:rPr>
                    <w:t>усл.ед</w:t>
                  </w:r>
                  <w:proofErr w:type="spellEnd"/>
                  <w:r w:rsidR="00125531">
                    <w:rPr>
                      <w:rFonts w:eastAsiaTheme="minorEastAsia"/>
                      <w:iCs/>
                    </w:rPr>
                    <w:t>.;</w:t>
                  </w:r>
                </w:p>
                <w:p w:rsidR="006672F4" w:rsidRDefault="009A6400" w:rsidP="006672F4">
                  <w:pPr>
                    <w:pStyle w:val="af"/>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open</m:t>
                        </m:r>
                      </m:sub>
                    </m:sSub>
                  </m:oMath>
                  <w:r w:rsidR="006672F4" w:rsidRPr="009E7BB5">
                    <w:rPr>
                      <w:rFonts w:eastAsiaTheme="minorEastAsia"/>
                    </w:rPr>
                    <w:t xml:space="preserve"> – </w:t>
                  </w:r>
                  <w:r w:rsidR="008B105E">
                    <w:rPr>
                      <w:rFonts w:eastAsiaTheme="minorEastAsia"/>
                    </w:rPr>
                    <w:t>цена открытия</w:t>
                  </w:r>
                  <w:r w:rsidR="006672F4">
                    <w:rPr>
                      <w:rFonts w:eastAsiaTheme="minorEastAsia"/>
                    </w:rPr>
                    <w:t>,</w:t>
                  </w:r>
                  <w:r w:rsidR="008B105E">
                    <w:rPr>
                      <w:rFonts w:eastAsiaTheme="minorEastAsia"/>
                    </w:rPr>
                    <w:t xml:space="preserve"> </w:t>
                  </w:r>
                  <w:proofErr w:type="spellStart"/>
                  <w:r w:rsidR="008B105E">
                    <w:rPr>
                      <w:rFonts w:eastAsiaTheme="minorEastAsia"/>
                    </w:rPr>
                    <w:t>усл</w:t>
                  </w:r>
                  <w:r w:rsidR="006672F4">
                    <w:rPr>
                      <w:rFonts w:eastAsiaTheme="minorEastAsia"/>
                    </w:rPr>
                    <w:t>.</w:t>
                  </w:r>
                  <w:r w:rsidR="008B105E">
                    <w:rPr>
                      <w:rFonts w:eastAsiaTheme="minorEastAsia"/>
                    </w:rPr>
                    <w:t>ед</w:t>
                  </w:r>
                  <w:proofErr w:type="spellEnd"/>
                  <w:r w:rsidR="008B105E">
                    <w:rPr>
                      <w:rFonts w:eastAsiaTheme="minorEastAsia"/>
                    </w:rPr>
                    <w:t>.</w:t>
                  </w:r>
                  <w:r w:rsidR="006672F4">
                    <w:rPr>
                      <w:rFonts w:eastAsiaTheme="minorEastAsia"/>
                    </w:rPr>
                    <w:t>;</w:t>
                  </w:r>
                </w:p>
                <w:p w:rsidR="006672F4" w:rsidRPr="008B105E" w:rsidRDefault="009A6400" w:rsidP="006672F4">
                  <w:pPr>
                    <w:pStyle w:val="af"/>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close</m:t>
                        </m:r>
                      </m:sub>
                    </m:sSub>
                  </m:oMath>
                  <w:r w:rsidR="006672F4">
                    <w:rPr>
                      <w:rFonts w:eastAsiaTheme="minorEastAsia"/>
                    </w:rPr>
                    <w:t xml:space="preserve"> – </w:t>
                  </w:r>
                  <w:r w:rsidR="008B105E">
                    <w:rPr>
                      <w:rFonts w:eastAsiaTheme="minorEastAsia"/>
                    </w:rPr>
                    <w:t>цена закрытия</w:t>
                  </w:r>
                  <w:r w:rsidR="006672F4">
                    <w:rPr>
                      <w:rFonts w:eastAsiaTheme="minorEastAsia"/>
                    </w:rPr>
                    <w:t xml:space="preserve">, </w:t>
                  </w:r>
                  <w:proofErr w:type="spellStart"/>
                  <w:r w:rsidR="008B105E">
                    <w:rPr>
                      <w:rFonts w:eastAsiaTheme="minorEastAsia"/>
                    </w:rPr>
                    <w:t>усл</w:t>
                  </w:r>
                  <w:r w:rsidR="006672F4">
                    <w:rPr>
                      <w:rFonts w:eastAsiaTheme="minorEastAsia"/>
                    </w:rPr>
                    <w:t>.</w:t>
                  </w:r>
                  <w:r w:rsidR="008B105E">
                    <w:rPr>
                      <w:rFonts w:eastAsiaTheme="minorEastAsia"/>
                    </w:rPr>
                    <w:t>ед</w:t>
                  </w:r>
                  <w:proofErr w:type="spellEnd"/>
                  <w:r w:rsidR="008B105E">
                    <w:rPr>
                      <w:rFonts w:eastAsiaTheme="minorEastAsia"/>
                    </w:rPr>
                    <w:t>.</w:t>
                  </w:r>
                </w:p>
              </w:tc>
            </w:tr>
          </w:tbl>
          <w:p w:rsidR="006672F4" w:rsidRPr="00A779F3" w:rsidRDefault="006672F4" w:rsidP="006672F4">
            <w:pPr>
              <w:pStyle w:val="af"/>
              <w:rPr>
                <w:highlight w:val="yellow"/>
              </w:rPr>
            </w:pPr>
          </w:p>
        </w:tc>
      </w:tr>
      <w:tr w:rsidR="00A84E85" w:rsidRPr="00A779F3" w:rsidTr="006A72EC">
        <w:tc>
          <w:tcPr>
            <w:tcW w:w="1555" w:type="dxa"/>
          </w:tcPr>
          <w:p w:rsidR="00A84E85" w:rsidRPr="00A779F3" w:rsidRDefault="00A84E85" w:rsidP="006672F4">
            <w:pPr>
              <w:pStyle w:val="af"/>
            </w:pPr>
          </w:p>
        </w:tc>
        <w:tc>
          <w:tcPr>
            <w:tcW w:w="7784" w:type="dxa"/>
          </w:tcPr>
          <w:p w:rsidR="00A84E85" w:rsidRDefault="00A84E85" w:rsidP="006672F4">
            <w:pPr>
              <w:pStyle w:val="af"/>
            </w:pPr>
            <w:r>
              <w:t xml:space="preserve">Коэффициент ликвидности </w:t>
            </w:r>
            <w:r>
              <w:fldChar w:fldCharType="begin"/>
            </w:r>
            <w:r w:rsidR="00651EA5">
              <w:instrText xml:space="preserve"> ADDIN ZOTERO_ITEM CSL_CITATION {"citationID":"9DJ3dhKR","properties":{"formattedCitation":"(Ranaldo, 2001)","plainCitation":"(Ranaldo, 2001)","noteIndex":0},"citationItems":[{"id":170,"uris":["http://zotero.org/users/3945180/items/5U22QSVL"],"uri":["http://zotero.org/users/3945180/items/5U22QSVL"],"itemData":{"id":170,"type":"article-journal","container-title":"Financial Markets and Portfolio Management","issue":"3","journalAbbreviation":"Financial Markets and Portfolio Management","language":"en","page":"309-327","source":"DOI.org (Crossref)","title":"Intraday market liquidity on the Swiss Stock Exchange","volume":"15","author":[{"family":"Ranaldo","given":"Angelo"}],"issued":{"date-parts":[["2001",9]]}}}],"schema":"https://github.com/citation-style-language/schema/raw/master/csl-citation.json"} </w:instrText>
            </w:r>
            <w:r>
              <w:fldChar w:fldCharType="separate"/>
            </w:r>
            <w:r>
              <w:rPr>
                <w:noProof/>
              </w:rPr>
              <w:t>(Ranaldo, 2001)</w:t>
            </w:r>
            <w:r>
              <w:fldChar w:fldCharType="end"/>
            </w:r>
          </w:p>
          <w:p w:rsidR="005A05F7" w:rsidRDefault="005A05F7" w:rsidP="006672F4">
            <w:pPr>
              <w:pStyle w:val="af"/>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821"/>
            </w:tblGrid>
            <w:tr w:rsidR="005A05F7" w:rsidTr="00680C4E">
              <w:tc>
                <w:tcPr>
                  <w:tcW w:w="7558" w:type="dxa"/>
                  <w:gridSpan w:val="2"/>
                </w:tcPr>
                <w:p w:rsidR="005A05F7" w:rsidRPr="000B5FCA" w:rsidRDefault="009A6400" w:rsidP="005A05F7">
                  <w:pPr>
                    <w:pStyle w:val="af"/>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liq</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buy</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sell</m:t>
                              </m:r>
                            </m:sup>
                          </m:sSup>
                        </m:num>
                        <m:den>
                          <m:sSup>
                            <m:sSupPr>
                              <m:ctrlPr>
                                <w:rPr>
                                  <w:rFonts w:ascii="Cambria Math" w:hAnsi="Cambria Math"/>
                                  <w:i/>
                                </w:rPr>
                              </m:ctrlPr>
                            </m:sSupPr>
                            <m:e>
                              <m:r>
                                <w:rPr>
                                  <w:rFonts w:ascii="Cambria Math" w:hAnsi="Cambria Math"/>
                                </w:rPr>
                                <m:t>V</m:t>
                              </m:r>
                            </m:e>
                            <m:sup>
                              <m:r>
                                <w:rPr>
                                  <w:rFonts w:ascii="Cambria Math" w:hAnsi="Cambria Math"/>
                                </w:rPr>
                                <m:t>buy</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sell</m:t>
                              </m:r>
                            </m:sup>
                          </m:sSup>
                        </m:den>
                      </m:f>
                    </m:oMath>
                  </m:oMathPara>
                </w:p>
                <w:p w:rsidR="005A05F7" w:rsidRPr="00E54644" w:rsidRDefault="005A05F7" w:rsidP="005A05F7">
                  <w:pPr>
                    <w:pStyle w:val="af"/>
                    <w:rPr>
                      <w:rFonts w:eastAsiaTheme="minorEastAsia"/>
                    </w:rPr>
                  </w:pPr>
                </w:p>
              </w:tc>
            </w:tr>
            <w:tr w:rsidR="005A05F7" w:rsidRPr="00A779F3" w:rsidTr="00680C4E">
              <w:tc>
                <w:tcPr>
                  <w:tcW w:w="737" w:type="dxa"/>
                </w:tcPr>
                <w:p w:rsidR="005A05F7" w:rsidRPr="006A72EC" w:rsidRDefault="005A05F7" w:rsidP="005A05F7">
                  <w:pPr>
                    <w:pStyle w:val="af"/>
                  </w:pPr>
                  <w:r>
                    <w:t>где,</w:t>
                  </w:r>
                </w:p>
              </w:tc>
              <w:tc>
                <w:tcPr>
                  <w:tcW w:w="6821" w:type="dxa"/>
                </w:tcPr>
                <w:p w:rsidR="005A05F7" w:rsidRDefault="009A6400" w:rsidP="005A05F7">
                  <w:pPr>
                    <w:pStyle w:val="af"/>
                    <w:rPr>
                      <w:rFonts w:eastAsiaTheme="minorEastAsia"/>
                    </w:rPr>
                  </w:pPr>
                  <m:oMath>
                    <m:sSup>
                      <m:sSupPr>
                        <m:ctrlPr>
                          <w:rPr>
                            <w:rFonts w:ascii="Cambria Math" w:hAnsi="Cambria Math"/>
                          </w:rPr>
                        </m:ctrlPr>
                      </m:sSupPr>
                      <m:e>
                        <m:r>
                          <w:rPr>
                            <w:rFonts w:ascii="Cambria Math" w:hAnsi="Cambria Math"/>
                          </w:rPr>
                          <m:t>P</m:t>
                        </m:r>
                      </m:e>
                      <m:sup>
                        <m:r>
                          <w:rPr>
                            <w:rFonts w:ascii="Cambria Math" w:hAnsi="Cambria Math"/>
                          </w:rPr>
                          <m:t>buy</m:t>
                        </m:r>
                      </m:sup>
                    </m:sSup>
                  </m:oMath>
                  <w:r w:rsidR="005A05F7" w:rsidRPr="00E54644">
                    <w:rPr>
                      <w:rFonts w:eastAsiaTheme="minorEastAsia"/>
                    </w:rPr>
                    <w:t xml:space="preserve"> – </w:t>
                  </w:r>
                  <w:r w:rsidR="005A05F7">
                    <w:rPr>
                      <w:rFonts w:eastAsiaTheme="minorEastAsia"/>
                    </w:rPr>
                    <w:t xml:space="preserve">лучшая цена покупки, </w:t>
                  </w:r>
                  <w:proofErr w:type="spellStart"/>
                  <w:r w:rsidR="005A05F7">
                    <w:rPr>
                      <w:rFonts w:eastAsiaTheme="minorEastAsia"/>
                    </w:rPr>
                    <w:t>усл</w:t>
                  </w:r>
                  <w:proofErr w:type="spellEnd"/>
                  <w:r w:rsidR="005A05F7">
                    <w:rPr>
                      <w:rFonts w:eastAsiaTheme="minorEastAsia"/>
                    </w:rPr>
                    <w:t>. ед.;</w:t>
                  </w:r>
                </w:p>
                <w:p w:rsidR="005A05F7" w:rsidRDefault="009A6400" w:rsidP="005A05F7">
                  <w:pPr>
                    <w:pStyle w:val="af"/>
                    <w:rPr>
                      <w:rFonts w:eastAsiaTheme="minorEastAsia"/>
                      <w:iCs/>
                    </w:rPr>
                  </w:pPr>
                  <m:oMath>
                    <m:sSup>
                      <m:sSupPr>
                        <m:ctrlPr>
                          <w:rPr>
                            <w:rFonts w:ascii="Cambria Math" w:hAnsi="Cambria Math"/>
                          </w:rPr>
                        </m:ctrlPr>
                      </m:sSupPr>
                      <m:e>
                        <m:r>
                          <w:rPr>
                            <w:rFonts w:ascii="Cambria Math" w:hAnsi="Cambria Math"/>
                          </w:rPr>
                          <m:t>P</m:t>
                        </m:r>
                      </m:e>
                      <m:sup>
                        <m:r>
                          <w:rPr>
                            <w:rFonts w:ascii="Cambria Math" w:hAnsi="Cambria Math"/>
                          </w:rPr>
                          <m:t>sell</m:t>
                        </m:r>
                      </m:sup>
                    </m:sSup>
                  </m:oMath>
                  <w:r w:rsidR="005A05F7" w:rsidRPr="000B5FCA">
                    <w:rPr>
                      <w:rFonts w:eastAsiaTheme="minorEastAsia"/>
                      <w:iCs/>
                    </w:rPr>
                    <w:t xml:space="preserve"> – </w:t>
                  </w:r>
                  <w:r w:rsidR="005A05F7">
                    <w:rPr>
                      <w:rFonts w:eastAsiaTheme="minorEastAsia"/>
                      <w:iCs/>
                    </w:rPr>
                    <w:t xml:space="preserve">лучшая </w:t>
                  </w:r>
                  <w:r w:rsidR="005A05F7" w:rsidRPr="000B5FCA">
                    <w:rPr>
                      <w:rFonts w:eastAsiaTheme="minorEastAsia"/>
                      <w:iCs/>
                    </w:rPr>
                    <w:t>цена</w:t>
                  </w:r>
                  <w:r w:rsidR="005A05F7">
                    <w:rPr>
                      <w:rFonts w:eastAsiaTheme="minorEastAsia"/>
                      <w:iCs/>
                    </w:rPr>
                    <w:t xml:space="preserve"> продажи</w:t>
                  </w:r>
                  <w:r w:rsidR="005A05F7">
                    <w:rPr>
                      <w:rFonts w:eastAsiaTheme="minorEastAsia"/>
                    </w:rPr>
                    <w:t xml:space="preserve">, </w:t>
                  </w:r>
                  <w:proofErr w:type="spellStart"/>
                  <w:r w:rsidR="005A05F7">
                    <w:rPr>
                      <w:rFonts w:eastAsiaTheme="minorEastAsia"/>
                    </w:rPr>
                    <w:t>усл</w:t>
                  </w:r>
                  <w:proofErr w:type="spellEnd"/>
                  <w:r w:rsidR="005A05F7">
                    <w:rPr>
                      <w:rFonts w:eastAsiaTheme="minorEastAsia"/>
                    </w:rPr>
                    <w:t>. ед.</w:t>
                  </w:r>
                  <w:r w:rsidR="005A05F7" w:rsidRPr="009E7BB5">
                    <w:rPr>
                      <w:rFonts w:eastAsiaTheme="minorEastAsia"/>
                      <w:iCs/>
                    </w:rPr>
                    <w:t>;</w:t>
                  </w:r>
                </w:p>
                <w:p w:rsidR="005A05F7" w:rsidRDefault="009A6400" w:rsidP="005A05F7">
                  <w:pPr>
                    <w:pStyle w:val="af"/>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buy</m:t>
                        </m:r>
                      </m:sup>
                    </m:sSup>
                  </m:oMath>
                  <w:r w:rsidR="005A05F7" w:rsidRPr="009E7BB5">
                    <w:rPr>
                      <w:rFonts w:eastAsiaTheme="minorEastAsia"/>
                    </w:rPr>
                    <w:t xml:space="preserve"> – </w:t>
                  </w:r>
                  <w:r w:rsidR="005A05F7">
                    <w:rPr>
                      <w:rFonts w:eastAsiaTheme="minorEastAsia"/>
                    </w:rPr>
                    <w:t>объем на лучшей цене покупки, шт.;</w:t>
                  </w:r>
                </w:p>
                <w:p w:rsidR="005A05F7" w:rsidRPr="006672F4" w:rsidRDefault="009A6400" w:rsidP="005A05F7">
                  <w:pPr>
                    <w:pStyle w:val="af"/>
                  </w:pPr>
                  <m:oMath>
                    <m:sSup>
                      <m:sSupPr>
                        <m:ctrlPr>
                          <w:rPr>
                            <w:rFonts w:ascii="Cambria Math" w:hAnsi="Cambria Math"/>
                          </w:rPr>
                        </m:ctrlPr>
                      </m:sSupPr>
                      <m:e>
                        <m:r>
                          <w:rPr>
                            <w:rFonts w:ascii="Cambria Math" w:hAnsi="Cambria Math"/>
                          </w:rPr>
                          <m:t>V</m:t>
                        </m:r>
                      </m:e>
                      <m:sup>
                        <m:r>
                          <w:rPr>
                            <w:rFonts w:ascii="Cambria Math" w:hAnsi="Cambria Math"/>
                          </w:rPr>
                          <m:t>sell</m:t>
                        </m:r>
                      </m:sup>
                    </m:sSup>
                  </m:oMath>
                  <w:r w:rsidR="005A05F7">
                    <w:rPr>
                      <w:rFonts w:eastAsiaTheme="minorEastAsia"/>
                    </w:rPr>
                    <w:t xml:space="preserve"> – объем на лучшей цене продажи, шт.</w:t>
                  </w:r>
                </w:p>
              </w:tc>
            </w:tr>
          </w:tbl>
          <w:p w:rsidR="005A05F7" w:rsidRPr="005A05F7" w:rsidRDefault="005A05F7" w:rsidP="006672F4">
            <w:pPr>
              <w:pStyle w:val="af"/>
            </w:pPr>
          </w:p>
        </w:tc>
      </w:tr>
      <w:tr w:rsidR="006672F4" w:rsidRPr="00A779F3" w:rsidTr="006A72EC">
        <w:tc>
          <w:tcPr>
            <w:tcW w:w="1555" w:type="dxa"/>
          </w:tcPr>
          <w:p w:rsidR="006672F4" w:rsidRPr="00A779F3" w:rsidRDefault="006672F4" w:rsidP="006672F4">
            <w:pPr>
              <w:pStyle w:val="af"/>
            </w:pPr>
          </w:p>
        </w:tc>
        <w:tc>
          <w:tcPr>
            <w:tcW w:w="7784" w:type="dxa"/>
          </w:tcPr>
          <w:p w:rsidR="006672F4" w:rsidRDefault="000E4D6C" w:rsidP="006672F4">
            <w:pPr>
              <w:pStyle w:val="af"/>
            </w:pPr>
            <w:r>
              <w:t>К</w:t>
            </w:r>
            <w:r w:rsidR="006672F4" w:rsidRPr="00F17075">
              <w:t xml:space="preserve">оэффициент </w:t>
            </w:r>
            <w:proofErr w:type="spellStart"/>
            <w:r w:rsidR="006672F4" w:rsidRPr="00F17075">
              <w:t>неликвидности</w:t>
            </w:r>
            <w:proofErr w:type="spellEnd"/>
            <w:r w:rsidR="006672F4" w:rsidRPr="00F17075">
              <w:t xml:space="preserve"> </w:t>
            </w:r>
            <w:r w:rsidR="006672F4" w:rsidRPr="00F17075">
              <w:fldChar w:fldCharType="begin"/>
            </w:r>
            <w:r w:rsidR="00651EA5">
              <w:instrText xml:space="preserve"> ADDIN ZOTERO_ITEM CSL_CITATION {"citationID":"VPV30QS8","properties":{"formattedCitation":"(Amihud, 2002)","plainCitation":"(Amihud, 2002)","noteIndex":0},"citationItems":[{"id":160,"uris":["http://zotero.org/users/3945180/items/GN4FSHPM"],"uri":["http://zotero.org/users/3945180/items/GN4FSHPM"],"itemData":{"id":160,"type":"article-journal","abstract":"This paper shows that over time, expected market illiquidity positively aﬀects ex ante stock excess return, suggesting that expected stock excess return partly represents an illiquidity premium. This complements the cross-sectional positive return–illiquidity relationship. Also, stock returns are negatively related over time to contemporaneous unexpected illiquidity. The illiquidity measure here is the average across stocks of the daily ratio of absolute stock return to dollar volume, which is easily obtained from daily stock data for long time series in most stock markets. Illiquidity aﬀects more strongly small ﬁrm stocks, thus explaining time series variations in their premiums over time. r 2002 Elsevier Science B.V. All rights reserved.","container-title":"Journal of Financial Markets","issue":"5","journalAbbreviation":"Journal of Financial Markets","language":"en","page":"31-56","source":"Zotero","title":"Illiquidity and stock returns: cross-section and time-series eﬀects","author":[{"family":"Amihud","given":"Yakov"}],"issued":{"date-parts":[["2002"]]}}}],"schema":"https://github.com/citation-style-language/schema/raw/master/csl-citation.json"} </w:instrText>
            </w:r>
            <w:r w:rsidR="006672F4" w:rsidRPr="00F17075">
              <w:fldChar w:fldCharType="separate"/>
            </w:r>
            <w:r w:rsidR="006672F4" w:rsidRPr="00F17075">
              <w:t>(</w:t>
            </w:r>
            <w:proofErr w:type="spellStart"/>
            <w:r w:rsidR="006672F4" w:rsidRPr="00F17075">
              <w:t>Amihud</w:t>
            </w:r>
            <w:proofErr w:type="spellEnd"/>
            <w:r w:rsidR="006672F4" w:rsidRPr="00F17075">
              <w:t>, 2002)</w:t>
            </w:r>
            <w:r w:rsidR="006672F4" w:rsidRPr="00F17075">
              <w:fldChar w:fldCharType="end"/>
            </w:r>
          </w:p>
          <w:p w:rsidR="00A7090E" w:rsidRDefault="00A7090E" w:rsidP="006672F4">
            <w:pPr>
              <w:pStyle w:val="af"/>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
              <w:gridCol w:w="6821"/>
            </w:tblGrid>
            <w:tr w:rsidR="008F0853" w:rsidTr="00680C4E">
              <w:tc>
                <w:tcPr>
                  <w:tcW w:w="7558" w:type="dxa"/>
                  <w:gridSpan w:val="2"/>
                </w:tcPr>
                <w:p w:rsidR="008F0853" w:rsidRPr="008F0853" w:rsidRDefault="009A6400" w:rsidP="008F0853">
                  <w:pPr>
                    <w:pStyle w:val="af"/>
                    <w:rPr>
                      <w:rFonts w:eastAsiaTheme="minorEastAsia"/>
                      <w:i/>
                      <w:lang w:val="en-US"/>
                    </w:rPr>
                  </w:pPr>
                  <m:oMathPara>
                    <m:oMath>
                      <m:sSub>
                        <m:sSubPr>
                          <m:ctrlPr>
                            <w:rPr>
                              <w:rFonts w:ascii="Cambria Math" w:hAnsi="Cambria Math"/>
                              <w:i/>
                            </w:rPr>
                          </m:ctrlPr>
                        </m:sSubPr>
                        <m:e>
                          <m:r>
                            <w:rPr>
                              <w:rFonts w:ascii="Cambria Math" w:hAnsi="Cambria Math"/>
                            </w:rPr>
                            <m:t>ILLIQ</m:t>
                          </m:r>
                        </m:e>
                        <m:sub>
                          <m:r>
                            <w:rPr>
                              <w:rFonts w:ascii="Cambria Math" w:hAnsi="Cambria Math"/>
                            </w:rPr>
                            <m:t>y</m:t>
                          </m:r>
                        </m:sub>
                      </m:sSub>
                      <m:r>
                        <w:rPr>
                          <w:rFonts w:ascii="Cambria Math" w:hAnsi="Cambria Math"/>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den>
                      </m:f>
                      <m:nary>
                        <m:naryPr>
                          <m:chr m:val="∑"/>
                          <m:limLoc m:val="subSup"/>
                          <m:ctrlPr>
                            <w:rPr>
                              <w:rFonts w:ascii="Cambria Math" w:hAnsi="Cambria Math"/>
                              <w:i/>
                              <w:lang w:val="en-US"/>
                            </w:rPr>
                          </m:ctrlPr>
                        </m:naryPr>
                        <m:sub>
                          <m:r>
                            <w:rPr>
                              <w:rFonts w:ascii="Cambria Math" w:hAnsi="Cambria Math"/>
                              <w:lang w:val="en-US"/>
                            </w:rPr>
                            <m:t>t=1</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sup>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yd</m:t>
                                      </m:r>
                                    </m:sub>
                                  </m:sSub>
                                </m:e>
                              </m:d>
                            </m:num>
                            <m:den>
                              <m:sSub>
                                <m:sSubPr>
                                  <m:ctrlPr>
                                    <w:rPr>
                                      <w:rFonts w:ascii="Cambria Math" w:hAnsi="Cambria Math"/>
                                      <w:i/>
                                      <w:lang w:val="en-US"/>
                                    </w:rPr>
                                  </m:ctrlPr>
                                </m:sSubPr>
                                <m:e>
                                  <m:r>
                                    <w:rPr>
                                      <w:rFonts w:ascii="Cambria Math" w:hAnsi="Cambria Math"/>
                                      <w:lang w:val="en-US"/>
                                    </w:rPr>
                                    <m:t>VOLD</m:t>
                                  </m:r>
                                </m:e>
                                <m:sub>
                                  <m:r>
                                    <w:rPr>
                                      <w:rFonts w:ascii="Cambria Math" w:hAnsi="Cambria Math"/>
                                      <w:lang w:val="en-US"/>
                                    </w:rPr>
                                    <m:t>vyd</m:t>
                                  </m:r>
                                </m:sub>
                              </m:sSub>
                            </m:den>
                          </m:f>
                        </m:e>
                      </m:nary>
                    </m:oMath>
                  </m:oMathPara>
                </w:p>
                <w:p w:rsidR="008F0853" w:rsidRPr="00E54644" w:rsidRDefault="008F0853" w:rsidP="008F0853">
                  <w:pPr>
                    <w:pStyle w:val="af"/>
                    <w:rPr>
                      <w:rFonts w:eastAsiaTheme="minorEastAsia"/>
                    </w:rPr>
                  </w:pPr>
                </w:p>
              </w:tc>
            </w:tr>
            <w:tr w:rsidR="008F0853" w:rsidRPr="00A779F3" w:rsidTr="00680C4E">
              <w:tc>
                <w:tcPr>
                  <w:tcW w:w="737" w:type="dxa"/>
                </w:tcPr>
                <w:p w:rsidR="008F0853" w:rsidRPr="006A72EC" w:rsidRDefault="008F0853" w:rsidP="008F0853">
                  <w:pPr>
                    <w:pStyle w:val="af"/>
                  </w:pPr>
                  <w:r>
                    <w:t>где,</w:t>
                  </w:r>
                </w:p>
              </w:tc>
              <w:tc>
                <w:tcPr>
                  <w:tcW w:w="6821" w:type="dxa"/>
                </w:tcPr>
                <w:p w:rsidR="008F0853" w:rsidRDefault="009A6400" w:rsidP="008F0853">
                  <w:pPr>
                    <w:pStyle w:val="af"/>
                    <w:rPr>
                      <w:rFonts w:eastAsiaTheme="minorEastAsia"/>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oMath>
                  <w:r w:rsidR="008F0853" w:rsidRPr="00E54644">
                    <w:rPr>
                      <w:rFonts w:eastAsiaTheme="minorEastAsia"/>
                    </w:rPr>
                    <w:t xml:space="preserve"> –</w:t>
                  </w:r>
                  <w:r w:rsidR="007B60B3">
                    <w:rPr>
                      <w:rFonts w:eastAsiaTheme="minorEastAsia"/>
                    </w:rPr>
                    <w:t xml:space="preserve"> количество торговых дней в году</w:t>
                  </w:r>
                  <w:r w:rsidR="008F0853">
                    <w:rPr>
                      <w:rFonts w:eastAsiaTheme="minorEastAsia"/>
                    </w:rPr>
                    <w:t xml:space="preserve">, </w:t>
                  </w:r>
                  <w:proofErr w:type="spellStart"/>
                  <w:r w:rsidR="003F0202">
                    <w:rPr>
                      <w:rFonts w:eastAsiaTheme="minorEastAsia"/>
                    </w:rPr>
                    <w:t>дн</w:t>
                  </w:r>
                  <w:proofErr w:type="spellEnd"/>
                  <w:r w:rsidR="003F0202">
                    <w:rPr>
                      <w:rFonts w:eastAsiaTheme="minorEastAsia"/>
                    </w:rPr>
                    <w:t>.</w:t>
                  </w:r>
                  <w:r w:rsidR="008F0853">
                    <w:rPr>
                      <w:rFonts w:eastAsiaTheme="minorEastAsia"/>
                    </w:rPr>
                    <w:t>;</w:t>
                  </w:r>
                </w:p>
                <w:p w:rsidR="008F0853" w:rsidRDefault="009A6400" w:rsidP="008F0853">
                  <w:pPr>
                    <w:pStyle w:val="af"/>
                    <w:rPr>
                      <w:rFonts w:eastAsiaTheme="minorEastAsia"/>
                      <w:iC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yd</m:t>
                        </m:r>
                      </m:sub>
                    </m:sSub>
                  </m:oMath>
                  <w:r w:rsidR="008F0853" w:rsidRPr="000B5FCA">
                    <w:rPr>
                      <w:rFonts w:eastAsiaTheme="minorEastAsia"/>
                      <w:iCs/>
                    </w:rPr>
                    <w:t xml:space="preserve"> – </w:t>
                  </w:r>
                  <w:r w:rsidR="007B60B3">
                    <w:rPr>
                      <w:rFonts w:eastAsiaTheme="minorEastAsia"/>
                    </w:rPr>
                    <w:t xml:space="preserve">дневная доходность инструмента в день </w:t>
                  </w:r>
                  <w:r w:rsidR="007B60B3">
                    <w:rPr>
                      <w:rFonts w:eastAsiaTheme="minorEastAsia"/>
                      <w:lang w:val="en-US"/>
                    </w:rPr>
                    <w:t>d</w:t>
                  </w:r>
                  <w:r w:rsidR="008F0853">
                    <w:rPr>
                      <w:rFonts w:eastAsiaTheme="minorEastAsia"/>
                    </w:rPr>
                    <w:t>,</w:t>
                  </w:r>
                  <w:r w:rsidR="007B60B3" w:rsidRPr="007B60B3">
                    <w:rPr>
                      <w:rFonts w:eastAsiaTheme="minorEastAsia"/>
                    </w:rPr>
                    <w:t xml:space="preserve"> %</w:t>
                  </w:r>
                  <w:r w:rsidR="008F0853" w:rsidRPr="009E7BB5">
                    <w:rPr>
                      <w:rFonts w:eastAsiaTheme="minorEastAsia"/>
                      <w:iCs/>
                    </w:rPr>
                    <w:t>;</w:t>
                  </w:r>
                </w:p>
                <w:p w:rsidR="008F0853" w:rsidRPr="003F0202" w:rsidRDefault="009A6400" w:rsidP="008F0853">
                  <w:pPr>
                    <w:pStyle w:val="af"/>
                    <w:rPr>
                      <w:rFonts w:eastAsiaTheme="minorEastAsia"/>
                    </w:rPr>
                  </w:pPr>
                  <m:oMath>
                    <m:sSub>
                      <m:sSubPr>
                        <m:ctrlPr>
                          <w:rPr>
                            <w:rFonts w:ascii="Cambria Math" w:hAnsi="Cambria Math"/>
                            <w:i/>
                            <w:lang w:val="en-US"/>
                          </w:rPr>
                        </m:ctrlPr>
                      </m:sSubPr>
                      <m:e>
                        <m:r>
                          <w:rPr>
                            <w:rFonts w:ascii="Cambria Math" w:hAnsi="Cambria Math"/>
                            <w:lang w:val="en-US"/>
                          </w:rPr>
                          <m:t>VOLD</m:t>
                        </m:r>
                      </m:e>
                      <m:sub>
                        <m:r>
                          <w:rPr>
                            <w:rFonts w:ascii="Cambria Math" w:hAnsi="Cambria Math"/>
                            <w:lang w:val="en-US"/>
                          </w:rPr>
                          <m:t>vyd</m:t>
                        </m:r>
                      </m:sub>
                    </m:sSub>
                  </m:oMath>
                  <w:r w:rsidR="008F0853" w:rsidRPr="009E7BB5">
                    <w:rPr>
                      <w:rFonts w:eastAsiaTheme="minorEastAsia"/>
                    </w:rPr>
                    <w:t xml:space="preserve"> –</w:t>
                  </w:r>
                  <w:r w:rsidR="007B60B3">
                    <w:rPr>
                      <w:rFonts w:eastAsiaTheme="minorEastAsia"/>
                    </w:rPr>
                    <w:t xml:space="preserve"> оборот торгов за день </w:t>
                  </w:r>
                  <w:r w:rsidR="007B60B3">
                    <w:rPr>
                      <w:rFonts w:eastAsiaTheme="minorEastAsia"/>
                      <w:lang w:val="en-US"/>
                    </w:rPr>
                    <w:t>d</w:t>
                  </w:r>
                  <w:r w:rsidR="008F0853">
                    <w:rPr>
                      <w:rFonts w:eastAsiaTheme="minorEastAsia"/>
                    </w:rPr>
                    <w:t xml:space="preserve">, </w:t>
                  </w:r>
                  <w:proofErr w:type="spellStart"/>
                  <w:r w:rsidR="007B60B3">
                    <w:rPr>
                      <w:rFonts w:eastAsiaTheme="minorEastAsia"/>
                    </w:rPr>
                    <w:t>усл</w:t>
                  </w:r>
                  <w:r w:rsidR="008F0853">
                    <w:rPr>
                      <w:rFonts w:eastAsiaTheme="minorEastAsia"/>
                    </w:rPr>
                    <w:t>.</w:t>
                  </w:r>
                  <w:r w:rsidR="007B60B3">
                    <w:rPr>
                      <w:rFonts w:eastAsiaTheme="minorEastAsia"/>
                    </w:rPr>
                    <w:t>ед</w:t>
                  </w:r>
                  <w:proofErr w:type="spellEnd"/>
                  <w:r w:rsidR="007B60B3">
                    <w:rPr>
                      <w:rFonts w:eastAsiaTheme="minorEastAsia"/>
                    </w:rPr>
                    <w:t>.</w:t>
                  </w:r>
                </w:p>
              </w:tc>
            </w:tr>
          </w:tbl>
          <w:p w:rsidR="008F0853" w:rsidRPr="00A779F3" w:rsidRDefault="008F0853" w:rsidP="006672F4">
            <w:pPr>
              <w:pStyle w:val="af"/>
              <w:rPr>
                <w:highlight w:val="yellow"/>
              </w:rPr>
            </w:pPr>
          </w:p>
        </w:tc>
      </w:tr>
      <w:tr w:rsidR="006672F4" w:rsidRPr="00A779F3" w:rsidTr="006A72EC">
        <w:tc>
          <w:tcPr>
            <w:tcW w:w="1555" w:type="dxa"/>
          </w:tcPr>
          <w:p w:rsidR="006672F4" w:rsidRPr="00A779F3" w:rsidRDefault="006672F4" w:rsidP="006672F4">
            <w:pPr>
              <w:pStyle w:val="af"/>
            </w:pPr>
          </w:p>
        </w:tc>
        <w:tc>
          <w:tcPr>
            <w:tcW w:w="7784" w:type="dxa"/>
          </w:tcPr>
          <w:p w:rsidR="006672F4" w:rsidRPr="00832FCD" w:rsidRDefault="006672F4" w:rsidP="006672F4">
            <w:pPr>
              <w:pStyle w:val="af"/>
            </w:pPr>
            <w:r w:rsidRPr="00832FCD">
              <w:t xml:space="preserve">Коэффициент </w:t>
            </w:r>
            <w:r w:rsidR="00785727" w:rsidRPr="00832FCD">
              <w:t>гамм</w:t>
            </w:r>
            <w:r w:rsidR="00832FCD" w:rsidRPr="00832FCD">
              <w:t>а</w:t>
            </w:r>
            <w:r w:rsidR="00832FCD">
              <w:t xml:space="preserve"> </w:t>
            </w:r>
            <w:r w:rsidR="00832FCD">
              <w:fldChar w:fldCharType="begin"/>
            </w:r>
            <w:r w:rsidR="00832FCD">
              <w:instrText xml:space="preserve"> ADDIN ZOTERO_ITEM CSL_CITATION {"citationID":"otwwgTBH","properties":{"formattedCitation":"(\\uc0\\u1053{}\\uc0\\u1072{}\\uc0\\u1091{}\\uc0\\u1084{}\\uc0\\u1077{}\\uc0\\u1085{}\\uc0\\u1082{}\\uc0\\u1086{}, 2007)","plainCitation":"(Науменко, 2007)","noteIndex":0},"citationItems":[{"id":154,"uris":["http://zotero.org/users/3945180/items/P2E52MAH"],"uri":["http://zotero.org/users/3945180/items/P2E52MAH"],"itemData":{"id":154,"type":"thesis","event-place":"Москва","genre":"Препринт","language":"ru","number-of-pages":"52","publisher":"ГУ ВШЭ","publisher-place":"Москва","title":"Моделирование риска рыночной ликвидности с учетом глубины рынка","author":[{"family":"Науменко","given":"В.В."}],"issued":{"date-parts":[["2007"]]}}}],"schema":"https://github.com/citation-style-language/schema/raw/master/csl-citation.json"} </w:instrText>
            </w:r>
            <w:r w:rsidR="00832FCD">
              <w:fldChar w:fldCharType="separate"/>
            </w:r>
            <w:r w:rsidR="00832FCD" w:rsidRPr="00832FCD">
              <w:rPr>
                <w:rFonts w:cs="Times New Roman"/>
              </w:rPr>
              <w:t>(Науменко, 2007)</w:t>
            </w:r>
            <w:r w:rsidR="00832FCD">
              <w:fldChar w:fldCharType="end"/>
            </w:r>
          </w:p>
        </w:tc>
      </w:tr>
      <w:tr w:rsidR="006672F4" w:rsidRPr="00A779F3" w:rsidTr="00680C4E">
        <w:tc>
          <w:tcPr>
            <w:tcW w:w="9339" w:type="dxa"/>
            <w:gridSpan w:val="2"/>
          </w:tcPr>
          <w:p w:rsidR="006672F4" w:rsidRPr="00695B14" w:rsidRDefault="006672F4" w:rsidP="006672F4">
            <w:pPr>
              <w:pStyle w:val="af"/>
            </w:pPr>
            <w:r>
              <w:t>Немедленность</w:t>
            </w:r>
            <w:r w:rsidR="002E4EF0">
              <w:t xml:space="preserve"> – время, которое требуется </w:t>
            </w:r>
            <w:r w:rsidR="00077920">
              <w:t xml:space="preserve">рынку на </w:t>
            </w:r>
            <w:r w:rsidR="00695B14">
              <w:t>обработку заявки</w:t>
            </w:r>
          </w:p>
        </w:tc>
      </w:tr>
      <w:tr w:rsidR="00E7693F" w:rsidRPr="00A779F3" w:rsidTr="006A72EC">
        <w:tc>
          <w:tcPr>
            <w:tcW w:w="1555" w:type="dxa"/>
          </w:tcPr>
          <w:p w:rsidR="00E7693F" w:rsidRPr="00A779F3" w:rsidRDefault="00E7693F" w:rsidP="006672F4">
            <w:pPr>
              <w:pStyle w:val="af"/>
            </w:pPr>
          </w:p>
        </w:tc>
        <w:tc>
          <w:tcPr>
            <w:tcW w:w="7784" w:type="dxa"/>
          </w:tcPr>
          <w:p w:rsidR="00E7693F" w:rsidRPr="00E7693F" w:rsidRDefault="00E7693F" w:rsidP="006672F4">
            <w:pPr>
              <w:pStyle w:val="af"/>
            </w:pPr>
            <w:r>
              <w:t xml:space="preserve">Время между </w:t>
            </w:r>
            <w:r w:rsidR="00CF59C3">
              <w:t xml:space="preserve">совершением двух, </w:t>
            </w:r>
            <w:r>
              <w:t>следующи</w:t>
            </w:r>
            <w:r w:rsidR="00CF59C3">
              <w:t>х</w:t>
            </w:r>
            <w:r>
              <w:t xml:space="preserve"> друг за другом</w:t>
            </w:r>
            <w:r w:rsidR="00CF59C3">
              <w:t>,</w:t>
            </w:r>
            <w:r>
              <w:t xml:space="preserve"> сдел</w:t>
            </w:r>
            <w:r w:rsidR="00CF59C3">
              <w:t>ок</w:t>
            </w:r>
            <w:r>
              <w:t xml:space="preserve"> </w:t>
            </w:r>
            <w:r>
              <w:fldChar w:fldCharType="begin"/>
            </w:r>
            <w:r w:rsidR="00651EA5">
              <w:instrText xml:space="preserve"> ADDIN ZOTERO_ITEM CSL_CITATION {"citationID":"sSeVMs0O","properties":{"formattedCitation":"(Ranaldo, 2001)","plainCitation":"(Ranaldo, 2001)","noteIndex":0},"citationItems":[{"id":170,"uris":["http://zotero.org/users/3945180/items/5U22QSVL"],"uri":["http://zotero.org/users/3945180/items/5U22QSVL"],"itemData":{"id":170,"type":"article-journal","container-title":"Financial Markets and Portfolio Management","issue":"3","journalAbbreviation":"Financial Markets and Portfolio Management","language":"en","page":"309-327","source":"DOI.org (Crossref)","title":"Intraday market liquidity on the Swiss Stock Exchange","volume":"15","author":[{"family":"Ranaldo","given":"Angelo"}],"issued":{"date-parts":[["2001",9]]}}}],"schema":"https://github.com/citation-style-language/schema/raw/master/csl-citation.json"} </w:instrText>
            </w:r>
            <w:r>
              <w:fldChar w:fldCharType="separate"/>
            </w:r>
            <w:r>
              <w:rPr>
                <w:noProof/>
              </w:rPr>
              <w:t>(Ranaldo, 2001)</w:t>
            </w:r>
            <w:r>
              <w:fldChar w:fldCharType="end"/>
            </w:r>
          </w:p>
        </w:tc>
      </w:tr>
      <w:tr w:rsidR="006672F4" w:rsidRPr="00A779F3" w:rsidTr="006A72EC">
        <w:tc>
          <w:tcPr>
            <w:tcW w:w="1555" w:type="dxa"/>
          </w:tcPr>
          <w:p w:rsidR="006672F4" w:rsidRPr="00A779F3" w:rsidRDefault="006672F4" w:rsidP="006672F4">
            <w:pPr>
              <w:pStyle w:val="af"/>
            </w:pPr>
          </w:p>
        </w:tc>
        <w:tc>
          <w:tcPr>
            <w:tcW w:w="7784" w:type="dxa"/>
          </w:tcPr>
          <w:p w:rsidR="006672F4" w:rsidRPr="00F17075" w:rsidRDefault="006672F4" w:rsidP="006672F4">
            <w:pPr>
              <w:pStyle w:val="af"/>
            </w:pPr>
            <w:r w:rsidRPr="00F17075">
              <w:t xml:space="preserve">Время между выставлением заявки и исполнением первой сделки по заявке </w:t>
            </w:r>
            <w:r w:rsidRPr="00F17075">
              <w:fldChar w:fldCharType="begin"/>
            </w:r>
            <w:r w:rsidRPr="00F17075">
              <w:instrText xml:space="preserve"> ADDIN ZOTERO_ITEM CSL_CITATION {"citationID":"268GXesY","properties":{"formattedCitation":"(\\uc0\\u1053{}\\uc0\\u1072{}\\uc0\\u1091{}\\uc0\\u1084{}\\uc0\\u1077{}\\uc0\\u1085{}\\uc0\\u1082{}\\uc0\\u1086{}, 2007)","plainCitation":"(Науменко, 2007)","noteIndex":0},"citationItems":[{"id":154,"uris":["http://zotero.org/users/3945180/items/P2E52MAH"],"uri":["http://zotero.org/users/3945180/items/P2E52MAH"],"itemData":{"id":154,"type":"thesis","event-place":"Москва","genre":"Препринт","language":"ru","number-of-pages":"52","publisher":"ГУ ВШЭ","publisher-place":"Москва","title":"Моделирование риска рыночной ликвидности с учетом глубины рынка","author":[{"family":"Науменко","given":"В.В."}],"issued":{"date-parts":[["2007"]]}}}],"schema":"https://github.com/citation-style-language/schema/raw/master/csl-citation.json"} </w:instrText>
            </w:r>
            <w:r w:rsidRPr="00F17075">
              <w:fldChar w:fldCharType="separate"/>
            </w:r>
            <w:r w:rsidRPr="00F17075">
              <w:t>(Науменко, 2007)</w:t>
            </w:r>
            <w:r w:rsidRPr="00F17075">
              <w:fldChar w:fldCharType="end"/>
            </w:r>
          </w:p>
        </w:tc>
      </w:tr>
      <w:tr w:rsidR="006672F4" w:rsidRPr="00A779F3" w:rsidTr="006A72EC">
        <w:tc>
          <w:tcPr>
            <w:tcW w:w="1555" w:type="dxa"/>
          </w:tcPr>
          <w:p w:rsidR="006672F4" w:rsidRPr="00A779F3" w:rsidRDefault="006672F4" w:rsidP="006672F4">
            <w:pPr>
              <w:pStyle w:val="af"/>
            </w:pPr>
          </w:p>
        </w:tc>
        <w:tc>
          <w:tcPr>
            <w:tcW w:w="7784" w:type="dxa"/>
          </w:tcPr>
          <w:p w:rsidR="006672F4" w:rsidRPr="00F17075" w:rsidRDefault="006672F4" w:rsidP="006672F4">
            <w:pPr>
              <w:pStyle w:val="af"/>
            </w:pPr>
            <w:r w:rsidRPr="00F17075">
              <w:t xml:space="preserve">Время между выставлением заявки и исполнением последней сделки по заявке </w:t>
            </w:r>
            <w:r w:rsidRPr="00F17075">
              <w:fldChar w:fldCharType="begin"/>
            </w:r>
            <w:r w:rsidRPr="00F17075">
              <w:instrText xml:space="preserve"> ADDIN ZOTERO_ITEM CSL_CITATION {"citationID":"foF1Fxrx","properties":{"formattedCitation":"(\\uc0\\u1053{}\\uc0\\u1072{}\\uc0\\u1091{}\\uc0\\u1084{}\\uc0\\u1077{}\\uc0\\u1085{}\\uc0\\u1082{}\\uc0\\u1086{}, 2007)","plainCitation":"(Науменко, 2007)","noteIndex":0},"citationItems":[{"id":154,"uris":["http://zotero.org/users/3945180/items/P2E52MAH"],"uri":["http://zotero.org/users/3945180/items/P2E52MAH"],"itemData":{"id":154,"type":"thesis","event-place":"Москва","genre":"Препринт","language":"ru","number-of-pages":"52","publisher":"ГУ ВШЭ","publisher-place":"Москва","title":"Моделирование риска рыночной ликвидности с учетом глубины рынка","author":[{"family":"Науменко","given":"В.В."}],"issued":{"date-parts":[["2007"]]}}}],"schema":"https://github.com/citation-style-language/schema/raw/master/csl-citation.json"} </w:instrText>
            </w:r>
            <w:r w:rsidRPr="00F17075">
              <w:fldChar w:fldCharType="separate"/>
            </w:r>
            <w:r w:rsidRPr="00F17075">
              <w:t>(Науменко, 2007)</w:t>
            </w:r>
            <w:r w:rsidRPr="00F17075">
              <w:fldChar w:fldCharType="end"/>
            </w:r>
          </w:p>
        </w:tc>
      </w:tr>
      <w:tr w:rsidR="006672F4" w:rsidRPr="00A779F3" w:rsidTr="006A72EC">
        <w:tc>
          <w:tcPr>
            <w:tcW w:w="1555" w:type="dxa"/>
          </w:tcPr>
          <w:p w:rsidR="006672F4" w:rsidRPr="00A779F3" w:rsidRDefault="006672F4" w:rsidP="006672F4">
            <w:pPr>
              <w:pStyle w:val="af"/>
            </w:pPr>
          </w:p>
        </w:tc>
        <w:tc>
          <w:tcPr>
            <w:tcW w:w="7784" w:type="dxa"/>
          </w:tcPr>
          <w:p w:rsidR="006672F4" w:rsidRPr="00F17075" w:rsidRDefault="006672F4" w:rsidP="006672F4">
            <w:pPr>
              <w:pStyle w:val="af"/>
            </w:pPr>
            <w:r w:rsidRPr="00F17075">
              <w:t xml:space="preserve">Время между выставлением заявки и ее отменой </w:t>
            </w:r>
            <w:r w:rsidRPr="00F17075">
              <w:fldChar w:fldCharType="begin"/>
            </w:r>
            <w:r w:rsidRPr="00F17075">
              <w:instrText xml:space="preserve"> ADDIN ZOTERO_ITEM CSL_CITATION {"citationID":"jgEfGv4e","properties":{"formattedCitation":"(\\uc0\\u1053{}\\uc0\\u1072{}\\uc0\\u1091{}\\uc0\\u1084{}\\uc0\\u1077{}\\uc0\\u1085{}\\uc0\\u1082{}\\uc0\\u1086{}, 2007)","plainCitation":"(Науменко, 2007)","noteIndex":0},"citationItems":[{"id":154,"uris":["http://zotero.org/users/3945180/items/P2E52MAH"],"uri":["http://zotero.org/users/3945180/items/P2E52MAH"],"itemData":{"id":154,"type":"thesis","event-place":"Москва","genre":"Препринт","language":"ru","number-of-pages":"52","publisher":"ГУ ВШЭ","publisher-place":"Москва","title":"Моделирование риска рыночной ликвидности с учетом глубины рынка","author":[{"family":"Науменко","given":"В.В."}],"issued":{"date-parts":[["2007"]]}}}],"schema":"https://github.com/citation-style-language/schema/raw/master/csl-citation.json"} </w:instrText>
            </w:r>
            <w:r w:rsidRPr="00F17075">
              <w:fldChar w:fldCharType="separate"/>
            </w:r>
            <w:r w:rsidRPr="00F17075">
              <w:t>(Науменко, 2007)</w:t>
            </w:r>
            <w:r w:rsidRPr="00F17075">
              <w:fldChar w:fldCharType="end"/>
            </w:r>
          </w:p>
        </w:tc>
      </w:tr>
    </w:tbl>
    <w:p w:rsidR="00D771D7" w:rsidRDefault="00D771D7" w:rsidP="00D771D7">
      <w:pPr>
        <w:ind w:firstLine="0"/>
      </w:pPr>
    </w:p>
    <w:p w:rsidR="00CA494C" w:rsidRDefault="00CA494C" w:rsidP="00A07E99">
      <w:pPr>
        <w:pStyle w:val="2"/>
      </w:pPr>
      <w:bookmarkStart w:id="3" w:name="_Toc38914805"/>
      <w:r>
        <w:t>Скрытая ликвидность</w:t>
      </w:r>
      <w:bookmarkEnd w:id="3"/>
    </w:p>
    <w:p w:rsidR="003C1873" w:rsidRPr="00804FCD" w:rsidRDefault="003C1873" w:rsidP="003C1873">
      <w:r>
        <w:t>Важным аспектом ликвидности является скрытая ликвидность. Скрытая ликвидность – это доступный объем торго</w:t>
      </w:r>
      <w:r w:rsidR="00C8602B">
        <w:t>в, величина которого неизвестна</w:t>
      </w:r>
      <w:r>
        <w:t xml:space="preserve"> для большинства участников. </w:t>
      </w:r>
      <w:r w:rsidR="00C8602B">
        <w:t>Скрытая</w:t>
      </w:r>
      <w:r>
        <w:t xml:space="preserve"> ликвидность представл</w:t>
      </w:r>
      <w:r w:rsidR="00186C86">
        <w:t>ена заявками участников</w:t>
      </w:r>
      <w:r>
        <w:t xml:space="preserve">, которым требуется реализовать </w:t>
      </w:r>
      <w:r w:rsidR="00186C86">
        <w:t>большой</w:t>
      </w:r>
      <w:r>
        <w:t xml:space="preserve"> </w:t>
      </w:r>
      <w:r w:rsidR="00186C86">
        <w:t xml:space="preserve">объем, </w:t>
      </w:r>
      <w:r w:rsidR="006D321A">
        <w:t>при этом им важно скрыть</w:t>
      </w:r>
      <w:r w:rsidR="00C8602B">
        <w:t xml:space="preserve"> </w:t>
      </w:r>
      <w:r w:rsidR="00186C86">
        <w:t>свои намерени</w:t>
      </w:r>
      <w:r w:rsidR="006D321A">
        <w:t>я, чтобы</w:t>
      </w:r>
      <w:r w:rsidR="00186C86">
        <w:t xml:space="preserve"> сни</w:t>
      </w:r>
      <w:r w:rsidR="006D321A">
        <w:t>зить</w:t>
      </w:r>
      <w:r w:rsidR="00186C86">
        <w:t xml:space="preserve"> влияние </w:t>
      </w:r>
      <w:r w:rsidR="006D321A">
        <w:t>на цену</w:t>
      </w:r>
      <w:r w:rsidR="00186C86">
        <w:t>.</w:t>
      </w:r>
      <w:r w:rsidR="006D321A">
        <w:t xml:space="preserve"> В данном случае влияние на цену связано с тем, что остальные участники рынка, увидев крупную заявку участника, подумают, что он обладает инсайдерской информацией о приближающемся движении цены, и </w:t>
      </w:r>
      <w:r w:rsidR="00903CA3">
        <w:t xml:space="preserve">решат последовать его примеру, чем вызовут движение рынка. Последнее невыгодно для участника, так как это ухудшит условия исполнения </w:t>
      </w:r>
      <w:r w:rsidR="00A21695">
        <w:t>его</w:t>
      </w:r>
      <w:r w:rsidR="00903CA3">
        <w:t xml:space="preserve"> заявки.</w:t>
      </w:r>
    </w:p>
    <w:p w:rsidR="003C1873" w:rsidRDefault="003815FF" w:rsidP="003815FF">
      <w:r>
        <w:t xml:space="preserve">Механизмы скрытия ликвидности зависят от рассматриваемой биржевой площадки. </w:t>
      </w:r>
      <w:r w:rsidR="00827A45">
        <w:t>На Московской Бирже</w:t>
      </w:r>
      <w:r>
        <w:t xml:space="preserve"> с</w:t>
      </w:r>
      <w:r w:rsidR="003C1873">
        <w:t xml:space="preserve">крытие ликвидности может быть реализовано через выставление айсберг-заявок или через </w:t>
      </w:r>
      <w:r w:rsidR="00C64811">
        <w:t xml:space="preserve">особый </w:t>
      </w:r>
      <w:r w:rsidR="00086317">
        <w:t>режим</w:t>
      </w:r>
      <w:r w:rsidR="00C64811" w:rsidRPr="00C64811">
        <w:t xml:space="preserve"> </w:t>
      </w:r>
      <w:r w:rsidR="00C64811">
        <w:t>торгов</w:t>
      </w:r>
      <w:r w:rsidR="00086317">
        <w:t xml:space="preserve"> – </w:t>
      </w:r>
      <w:r w:rsidR="00286477">
        <w:t>Крупные пакеты</w:t>
      </w:r>
      <w:r w:rsidR="003C1873">
        <w:t xml:space="preserve">. В обоих случаях </w:t>
      </w:r>
      <w:r w:rsidR="003C1873">
        <w:lastRenderedPageBreak/>
        <w:t>скрытие объема реализуется по запросу участника, выставляющего заявку</w:t>
      </w:r>
      <w:r w:rsidR="00086317">
        <w:t xml:space="preserve"> в соответствующем режиме торгов</w:t>
      </w:r>
      <w:r w:rsidR="003C1873">
        <w:t>.</w:t>
      </w:r>
    </w:p>
    <w:p w:rsidR="00CC1A32" w:rsidRPr="008541E3" w:rsidRDefault="00186C86" w:rsidP="003C1873">
      <w:r>
        <w:t>В первом случае</w:t>
      </w:r>
      <w:r w:rsidR="002C15C9">
        <w:t xml:space="preserve"> участнику при выставлении заявки предлагается самостоятельно определить </w:t>
      </w:r>
      <w:r w:rsidR="00CC1A32">
        <w:t xml:space="preserve">объем, который будет виден остальным </w:t>
      </w:r>
      <w:r w:rsidR="00903CA3">
        <w:t>участникам</w:t>
      </w:r>
      <w:r w:rsidR="00CC1A32">
        <w:t xml:space="preserve"> рынка. По мере исполнения видимой части айсберга будет происходить </w:t>
      </w:r>
      <w:r w:rsidR="00086317">
        <w:t>равномерное всплытие его частей</w:t>
      </w:r>
      <w:r w:rsidR="00CC1A32">
        <w:t xml:space="preserve"> до тех пор, пока айсберг не будет исполнен полностью. На Московской бирже возможность выставления таких заявок предоставляется, например, в режиме основных торгов инструментами фондовой секции «Основные торги</w:t>
      </w:r>
      <w:r w:rsidR="000F17A5">
        <w:t xml:space="preserve"> Т+ (</w:t>
      </w:r>
      <w:r w:rsidR="00D46879">
        <w:t>«</w:t>
      </w:r>
      <w:r w:rsidR="000F17A5">
        <w:t>С</w:t>
      </w:r>
      <w:r w:rsidR="00CC1A32" w:rsidRPr="00CC1A32">
        <w:t>такан Т+2</w:t>
      </w:r>
      <w:r w:rsidR="00D46879">
        <w:t>»</w:t>
      </w:r>
      <w:r w:rsidR="00CC1A32" w:rsidRPr="00CC1A32">
        <w:t>)</w:t>
      </w:r>
      <w:r w:rsidR="00CC1A32">
        <w:t>»</w:t>
      </w:r>
      <w:r w:rsidR="00C64811">
        <w:t xml:space="preserve"> во время торговой сессии (основной и вечерней)</w:t>
      </w:r>
      <w:r w:rsidR="00CC1A32">
        <w:t>.</w:t>
      </w:r>
      <w:r w:rsidR="008541E3">
        <w:t xml:space="preserve"> Аналогичную опцию скрытия реального объема своей заявки предлагают и другие биржевые площадки, например, </w:t>
      </w:r>
      <w:proofErr w:type="spellStart"/>
      <w:r w:rsidR="008541E3" w:rsidRPr="008541E3">
        <w:t>Euronext</w:t>
      </w:r>
      <w:proofErr w:type="spellEnd"/>
      <w:r w:rsidR="008541E3" w:rsidRPr="008541E3">
        <w:t xml:space="preserve">, </w:t>
      </w:r>
      <w:r w:rsidR="00670EF2">
        <w:t>Фондовая биржа Торонто</w:t>
      </w:r>
      <w:r w:rsidR="008541E3" w:rsidRPr="008541E3">
        <w:t xml:space="preserve">, </w:t>
      </w:r>
      <w:r w:rsidR="00670EF2">
        <w:t>Лондонская фондовая биржа</w:t>
      </w:r>
      <w:r w:rsidR="008541E3">
        <w:t>.</w:t>
      </w:r>
    </w:p>
    <w:p w:rsidR="006E0B83" w:rsidRDefault="003D46FE" w:rsidP="00664D98">
      <w:r>
        <w:t>Режим</w:t>
      </w:r>
      <w:r w:rsidR="00186C86">
        <w:t xml:space="preserve"> </w:t>
      </w:r>
      <w:r w:rsidR="00286477">
        <w:t>Крупны</w:t>
      </w:r>
      <w:r>
        <w:t>е</w:t>
      </w:r>
      <w:r w:rsidR="00286477">
        <w:t xml:space="preserve"> Пакет</w:t>
      </w:r>
      <w:r>
        <w:t xml:space="preserve">ы </w:t>
      </w:r>
      <w:r w:rsidR="00224CED">
        <w:t>представляет собой последовательность</w:t>
      </w:r>
      <w:r>
        <w:t xml:space="preserve"> нескольких аукционов</w:t>
      </w:r>
      <w:r w:rsidR="00224CED">
        <w:t xml:space="preserve">, которые стартуют в начале каждого торгового часа. Аукцион </w:t>
      </w:r>
      <w:r>
        <w:t xml:space="preserve">состоит из </w:t>
      </w:r>
      <w:r w:rsidR="00D46879">
        <w:t xml:space="preserve">трех </w:t>
      </w:r>
      <w:r>
        <w:t>эта</w:t>
      </w:r>
      <w:r w:rsidR="007C6264">
        <w:t>пов</w:t>
      </w:r>
      <w:r w:rsidR="00D46879">
        <w:t>:</w:t>
      </w:r>
      <w:r>
        <w:t xml:space="preserve"> сбор</w:t>
      </w:r>
      <w:r w:rsidR="006B0BA1">
        <w:t xml:space="preserve"> заявок, определени</w:t>
      </w:r>
      <w:r w:rsidR="00D46879">
        <w:t>е</w:t>
      </w:r>
      <w:r w:rsidR="006B0BA1">
        <w:t xml:space="preserve"> цены аукциона</w:t>
      </w:r>
      <w:r>
        <w:t xml:space="preserve"> и </w:t>
      </w:r>
      <w:r w:rsidR="006B0BA1">
        <w:t>заключени</w:t>
      </w:r>
      <w:r w:rsidR="00D46879">
        <w:t>е</w:t>
      </w:r>
      <w:r w:rsidR="006B0BA1">
        <w:t xml:space="preserve"> сделок. </w:t>
      </w:r>
      <w:r w:rsidR="007C6264">
        <w:t>Н</w:t>
      </w:r>
      <w:r w:rsidR="006B0BA1">
        <w:t xml:space="preserve">а этапе сбора заявок, </w:t>
      </w:r>
      <w:r w:rsidR="00847CC6">
        <w:t xml:space="preserve">который </w:t>
      </w:r>
      <w:r w:rsidR="00224CED">
        <w:t>длится в те</w:t>
      </w:r>
      <w:r w:rsidR="00847CC6">
        <w:t>чение всего часа</w:t>
      </w:r>
      <w:r w:rsidR="006B0BA1">
        <w:t>,</w:t>
      </w:r>
      <w:r>
        <w:t xml:space="preserve"> </w:t>
      </w:r>
      <w:r w:rsidR="000F17A5">
        <w:t>участникам недоступна информаци</w:t>
      </w:r>
      <w:r w:rsidR="007D5A8A">
        <w:t xml:space="preserve">я </w:t>
      </w:r>
      <w:r w:rsidR="00734CEC">
        <w:t xml:space="preserve">о </w:t>
      </w:r>
      <w:r w:rsidR="00203523">
        <w:t>заяв</w:t>
      </w:r>
      <w:r w:rsidR="002E119B">
        <w:t>ках</w:t>
      </w:r>
      <w:r w:rsidR="00203523">
        <w:t xml:space="preserve"> других участников</w:t>
      </w:r>
      <w:r w:rsidR="008A736F">
        <w:t xml:space="preserve">: им неизвестны ни цены, ни объемы, ни количество выставленных заявок. </w:t>
      </w:r>
      <w:r w:rsidR="007C6264">
        <w:t xml:space="preserve">На пятиминутном интервале в конце </w:t>
      </w:r>
      <w:r w:rsidR="00C33959">
        <w:t>аукциона</w:t>
      </w:r>
      <w:r w:rsidR="007C6264">
        <w:t xml:space="preserve"> </w:t>
      </w:r>
      <w:r w:rsidR="001853C2">
        <w:t xml:space="preserve">в произвольный момент времени </w:t>
      </w:r>
      <w:r w:rsidR="007C6264">
        <w:t xml:space="preserve">происходит </w:t>
      </w:r>
      <w:r w:rsidR="001853C2">
        <w:t xml:space="preserve">приостановка сбора заявок, фиксация текущего состояния книги заявок, ее обработка, </w:t>
      </w:r>
      <w:r w:rsidR="007C6264">
        <w:t>расчет цены аукциона</w:t>
      </w:r>
      <w:r w:rsidR="000642D6">
        <w:t xml:space="preserve">, после чего начинается завершающий этап аукциона – </w:t>
      </w:r>
      <w:r w:rsidR="00224CED">
        <w:t>исполнение заявок.</w:t>
      </w:r>
      <w:r w:rsidR="00664D98">
        <w:t xml:space="preserve"> </w:t>
      </w:r>
      <w:r w:rsidR="006E0B83">
        <w:t xml:space="preserve">Выставление айсберг-заявок в режиме </w:t>
      </w:r>
      <w:r w:rsidR="00664D98">
        <w:t>Крупные Пакеты</w:t>
      </w:r>
      <w:r w:rsidR="006E0B83" w:rsidRPr="00186C86">
        <w:t xml:space="preserve"> </w:t>
      </w:r>
      <w:r w:rsidR="006E0B83">
        <w:t xml:space="preserve">не </w:t>
      </w:r>
      <w:r w:rsidR="00664D98">
        <w:t>предусмотрено</w:t>
      </w:r>
      <w:r w:rsidR="006E0B83">
        <w:t>.</w:t>
      </w:r>
    </w:p>
    <w:p w:rsidR="003C4ABC" w:rsidRDefault="00267738" w:rsidP="003C4ABC">
      <w:r w:rsidRPr="00AF0240">
        <w:t xml:space="preserve">На других площадках </w:t>
      </w:r>
      <w:r w:rsidR="009F2241">
        <w:t>участникам предлагаются</w:t>
      </w:r>
      <w:r w:rsidR="00664D98">
        <w:t xml:space="preserve"> альтернативны</w:t>
      </w:r>
      <w:r w:rsidR="00751478">
        <w:t>е</w:t>
      </w:r>
      <w:r w:rsidR="00664D98">
        <w:t xml:space="preserve"> варианты </w:t>
      </w:r>
      <w:r w:rsidR="00071C06">
        <w:t xml:space="preserve">скрытия своих намерений </w:t>
      </w:r>
      <w:r w:rsidR="009F2241">
        <w:t>относительно</w:t>
      </w:r>
      <w:r w:rsidR="00071C06">
        <w:t xml:space="preserve"> круп</w:t>
      </w:r>
      <w:r w:rsidR="009F2241">
        <w:t>ного</w:t>
      </w:r>
      <w:r w:rsidR="00071C06">
        <w:t xml:space="preserve"> объем</w:t>
      </w:r>
      <w:r w:rsidR="009F2241">
        <w:t>а</w:t>
      </w:r>
      <w:r w:rsidR="00317F60">
        <w:t xml:space="preserve">, например, </w:t>
      </w:r>
      <w:r w:rsidR="00FB5E9B">
        <w:rPr>
          <w:lang w:val="en-US"/>
        </w:rPr>
        <w:t>Dark</w:t>
      </w:r>
      <w:r w:rsidR="00FB5E9B" w:rsidRPr="00FB5E9B">
        <w:t xml:space="preserve"> </w:t>
      </w:r>
      <w:r w:rsidR="00FB5E9B">
        <w:rPr>
          <w:lang w:val="en-US"/>
        </w:rPr>
        <w:t>Pools</w:t>
      </w:r>
      <w:r w:rsidR="00751478">
        <w:t>.</w:t>
      </w:r>
      <w:r w:rsidR="00FB5E9B">
        <w:t xml:space="preserve"> </w:t>
      </w:r>
      <w:r w:rsidR="00751478">
        <w:rPr>
          <w:lang w:val="en-US"/>
        </w:rPr>
        <w:t>Dark</w:t>
      </w:r>
      <w:r w:rsidR="00751478" w:rsidRPr="00751478">
        <w:t xml:space="preserve"> </w:t>
      </w:r>
      <w:r w:rsidR="00751478">
        <w:rPr>
          <w:lang w:val="en-US"/>
        </w:rPr>
        <w:t>Pools</w:t>
      </w:r>
      <w:r w:rsidR="003C4ABC">
        <w:t>,</w:t>
      </w:r>
      <w:r w:rsidR="00751478" w:rsidRPr="00751478">
        <w:t xml:space="preserve"> </w:t>
      </w:r>
      <w:r w:rsidR="00677668">
        <w:t>или пулы скрытой ликвидности</w:t>
      </w:r>
      <w:r w:rsidR="003C4ABC">
        <w:t>,</w:t>
      </w:r>
      <w:r w:rsidR="00677668">
        <w:t xml:space="preserve"> </w:t>
      </w:r>
      <w:r w:rsidR="00F536C8">
        <w:t xml:space="preserve">представлены сделками крупных игроков </w:t>
      </w:r>
      <w:r w:rsidR="000642D6">
        <w:t xml:space="preserve">преимущественно </w:t>
      </w:r>
      <w:r w:rsidR="00F536C8">
        <w:t>на альтернативных торговых площадках</w:t>
      </w:r>
      <w:r w:rsidR="000642D6">
        <w:t xml:space="preserve"> или в специальных режимах торгов основных торговых площадок</w:t>
      </w:r>
      <w:r w:rsidR="009F2241">
        <w:t>.</w:t>
      </w:r>
      <w:r w:rsidR="00F536C8">
        <w:t xml:space="preserve"> </w:t>
      </w:r>
      <w:r w:rsidR="00751478">
        <w:t>П</w:t>
      </w:r>
      <w:r w:rsidR="00FB5E9B">
        <w:t xml:space="preserve">ри этом на каждой торговой площадке </w:t>
      </w:r>
      <w:r w:rsidR="00AF0240">
        <w:t>есть свои особенности</w:t>
      </w:r>
      <w:r w:rsidR="00FB5E9B">
        <w:t xml:space="preserve"> работы с </w:t>
      </w:r>
      <w:r w:rsidR="00FB5E9B">
        <w:rPr>
          <w:lang w:val="en-US"/>
        </w:rPr>
        <w:t>Dark</w:t>
      </w:r>
      <w:r w:rsidR="00FB5E9B" w:rsidRPr="00FB5E9B">
        <w:t xml:space="preserve"> </w:t>
      </w:r>
      <w:r w:rsidR="00FB5E9B">
        <w:rPr>
          <w:lang w:val="en-US"/>
        </w:rPr>
        <w:t>Pools</w:t>
      </w:r>
      <w:r w:rsidR="002C0B50">
        <w:t xml:space="preserve">, которые касаются следующих </w:t>
      </w:r>
      <w:r w:rsidR="003F3F15">
        <w:t>признаков</w:t>
      </w:r>
      <w:r w:rsidR="00BA2400">
        <w:t xml:space="preserve"> </w:t>
      </w:r>
      <w:r w:rsidR="00BA2400">
        <w:fldChar w:fldCharType="begin"/>
      </w:r>
      <w:r w:rsidR="00BA2400">
        <w:instrText xml:space="preserve"> ADDIN ZOTERO_ITEM CSL_CITATION {"citationID":"gGDI9zKJ","properties":{"formattedCitation":"(Dr Hofmaier, 2019)","plainCitation":"(Dr Hofmaier, 2019)","noteIndex":0},"citationItems":[{"id":192,"uris":["http://zotero.org/users/3945180/items/GHUHBEL3"],"uri":["http://zotero.org/users/3945180/items/GHUHBEL3"],"itemData":{"id":192,"type":"article-journal","abstract":"By the \"Markets in Financial Instruments Directive 2004/39/EC\" (MiFID) in 2004, exchange trading changed completely. Until then, customers transmitted their orders to a bank and from there it was forwarded to an exchange. With MiFID a legal basis for alternative trading systems was founded. One section was especially farreaching as well as controversial: internalization. Since MiFID financial service providers did not need to foward their customer´s orders to regulated exchange markets, they could legally execute orders outside regulated markets. This could be achieved by using their own internal trading systems or use external alternative trading systems.","container-title":"British Open Journal of Finance &amp; Banking","issue":"1","journalAbbreviation":"British Open Journal of Finance &amp; Banking","language":"en","page":"1-14","source":"Zotero","title":"Dark Pools – Advantages and Disadvantages Over Traditional Exchange Markets From a Consumer`s Perspective","volume":"1","author":[{"family":"Dr Hofmaier","given":"Markus"}],"issued":{"date-parts":[["2019",9]]}}}],"schema":"https://github.com/citation-style-language/schema/raw/master/csl-citation.json"} </w:instrText>
      </w:r>
      <w:r w:rsidR="00BA2400">
        <w:fldChar w:fldCharType="separate"/>
      </w:r>
      <w:r w:rsidR="00BA2400">
        <w:rPr>
          <w:noProof/>
        </w:rPr>
        <w:t>(Dr Hofmaier, 2019)</w:t>
      </w:r>
      <w:r w:rsidR="00BA2400">
        <w:fldChar w:fldCharType="end"/>
      </w:r>
      <w:r w:rsidR="002B03F8">
        <w:t>:</w:t>
      </w:r>
    </w:p>
    <w:p w:rsidR="003C4ABC" w:rsidRDefault="006D783D" w:rsidP="008F7BC5">
      <w:pPr>
        <w:pStyle w:val="ac"/>
        <w:numPr>
          <w:ilvl w:val="0"/>
          <w:numId w:val="10"/>
        </w:numPr>
      </w:pPr>
      <w:r>
        <w:t xml:space="preserve">Тип оператора </w:t>
      </w:r>
      <w:r w:rsidR="003F3F15">
        <w:t xml:space="preserve">– оператором выступает </w:t>
      </w:r>
      <w:r>
        <w:t xml:space="preserve">брокер, </w:t>
      </w:r>
      <w:r w:rsidR="003F3F15">
        <w:t xml:space="preserve">оператором выступает </w:t>
      </w:r>
      <w:r>
        <w:t>биржа, и пр.;</w:t>
      </w:r>
    </w:p>
    <w:p w:rsidR="003C4ABC" w:rsidRDefault="002B03F8" w:rsidP="008F7BC5">
      <w:pPr>
        <w:pStyle w:val="ac"/>
        <w:numPr>
          <w:ilvl w:val="0"/>
          <w:numId w:val="10"/>
        </w:numPr>
      </w:pPr>
      <w:r>
        <w:t>Участи</w:t>
      </w:r>
      <w:r w:rsidR="003F3F15">
        <w:t>е</w:t>
      </w:r>
      <w:r>
        <w:t xml:space="preserve"> оператора в качестве одной из сторон сделки </w:t>
      </w:r>
      <w:r w:rsidR="003F3F15">
        <w:t xml:space="preserve">– </w:t>
      </w:r>
      <w:r>
        <w:t>сделка заключается между участниками</w:t>
      </w:r>
      <w:r w:rsidR="003F3F15">
        <w:t xml:space="preserve"> или</w:t>
      </w:r>
      <w:r>
        <w:t xml:space="preserve"> сделка заключается между участником и оператором;</w:t>
      </w:r>
    </w:p>
    <w:p w:rsidR="003C4ABC" w:rsidRDefault="002B03F8" w:rsidP="008F7BC5">
      <w:pPr>
        <w:pStyle w:val="ac"/>
        <w:numPr>
          <w:ilvl w:val="0"/>
          <w:numId w:val="10"/>
        </w:numPr>
      </w:pPr>
      <w:r>
        <w:t>С</w:t>
      </w:r>
      <w:r w:rsidR="00F61A54">
        <w:t>пособ определения цены сделки</w:t>
      </w:r>
      <w:r>
        <w:t xml:space="preserve"> </w:t>
      </w:r>
      <w:r w:rsidR="004E0959">
        <w:t xml:space="preserve">– </w:t>
      </w:r>
      <w:r>
        <w:t>цена определяется оператором, цена определяется в результате проведения аукциона, цена формируется внутри пула</w:t>
      </w:r>
      <w:r w:rsidR="00C735BB">
        <w:t>, и пр.</w:t>
      </w:r>
      <w:r>
        <w:t>;</w:t>
      </w:r>
    </w:p>
    <w:p w:rsidR="003C4ABC" w:rsidRDefault="00C735BB" w:rsidP="008F7BC5">
      <w:pPr>
        <w:pStyle w:val="ac"/>
        <w:numPr>
          <w:ilvl w:val="0"/>
          <w:numId w:val="10"/>
        </w:numPr>
      </w:pPr>
      <w:r>
        <w:t>Средн</w:t>
      </w:r>
      <w:r w:rsidR="004E0959">
        <w:t>ий</w:t>
      </w:r>
      <w:r>
        <w:t xml:space="preserve"> размер</w:t>
      </w:r>
      <w:r w:rsidR="00513EE1">
        <w:t xml:space="preserve"> лота</w:t>
      </w:r>
      <w:r>
        <w:t>;</w:t>
      </w:r>
    </w:p>
    <w:p w:rsidR="00513EE1" w:rsidRDefault="00BA2400" w:rsidP="008F7BC5">
      <w:pPr>
        <w:pStyle w:val="ac"/>
        <w:numPr>
          <w:ilvl w:val="0"/>
          <w:numId w:val="10"/>
        </w:numPr>
      </w:pPr>
      <w:r>
        <w:lastRenderedPageBreak/>
        <w:t>Тип</w:t>
      </w:r>
      <w:r w:rsidR="00513EE1">
        <w:t xml:space="preserve"> заявки </w:t>
      </w:r>
      <w:r w:rsidR="004E0959">
        <w:t>– в системе доступно выставление только обычных заявок</w:t>
      </w:r>
      <w:r w:rsidR="00460BB2">
        <w:t xml:space="preserve"> (раскрывается и цена, и направление, и объем)</w:t>
      </w:r>
      <w:r w:rsidR="004E0959">
        <w:t>, в системе</w:t>
      </w:r>
      <w:r w:rsidR="00460BB2">
        <w:t>, наряду с обычными заявками,</w:t>
      </w:r>
      <w:r w:rsidR="004E0959">
        <w:t xml:space="preserve"> доступно выставление заявок </w:t>
      </w:r>
      <w:r w:rsidR="00513EE1">
        <w:t>тип</w:t>
      </w:r>
      <w:r w:rsidR="004E0959">
        <w:t>а</w:t>
      </w:r>
      <w:r w:rsidR="00513EE1">
        <w:t xml:space="preserve"> </w:t>
      </w:r>
      <w:r w:rsidR="00513EE1" w:rsidRPr="003C4ABC">
        <w:rPr>
          <w:lang w:val="en-US"/>
        </w:rPr>
        <w:t>iceberg</w:t>
      </w:r>
      <w:r w:rsidR="00513EE1" w:rsidRPr="00513EE1">
        <w:t xml:space="preserve"> </w:t>
      </w:r>
      <w:r w:rsidR="004E0959">
        <w:t>(</w:t>
      </w:r>
      <w:r w:rsidR="00513EE1">
        <w:t>раскрывается цена, направленность и часть объема заявки</w:t>
      </w:r>
      <w:r w:rsidR="004E0959">
        <w:t>), в системе</w:t>
      </w:r>
      <w:r w:rsidR="00460BB2">
        <w:t xml:space="preserve">, наряду с обычными заявками, </w:t>
      </w:r>
      <w:r w:rsidR="004E0959">
        <w:t>доступно</w:t>
      </w:r>
      <w:r w:rsidR="00513EE1">
        <w:t xml:space="preserve"> </w:t>
      </w:r>
      <w:r w:rsidR="004E0959">
        <w:t xml:space="preserve">выставление заявок </w:t>
      </w:r>
      <w:r w:rsidR="00513EE1">
        <w:t>тип</w:t>
      </w:r>
      <w:r w:rsidR="004E0959">
        <w:t>а</w:t>
      </w:r>
      <w:r w:rsidR="00513EE1">
        <w:t xml:space="preserve"> </w:t>
      </w:r>
      <w:r w:rsidR="00513EE1" w:rsidRPr="003C4ABC">
        <w:rPr>
          <w:lang w:val="en-US"/>
        </w:rPr>
        <w:t>hidden</w:t>
      </w:r>
      <w:r w:rsidR="00513EE1" w:rsidRPr="00513EE1">
        <w:t xml:space="preserve"> </w:t>
      </w:r>
      <w:r w:rsidR="004E0959">
        <w:t>(</w:t>
      </w:r>
      <w:r w:rsidR="00513EE1">
        <w:t>не раскрывается даже информация о поступлении заявки</w:t>
      </w:r>
      <w:r w:rsidR="004E0959">
        <w:t>) и пр</w:t>
      </w:r>
      <w:r w:rsidR="00513EE1">
        <w:t>.</w:t>
      </w:r>
    </w:p>
    <w:p w:rsidR="00460BB2" w:rsidRDefault="00513EE1" w:rsidP="00460BB2">
      <w:r>
        <w:t xml:space="preserve">Идея всех </w:t>
      </w:r>
      <w:r w:rsidRPr="00C735BB">
        <w:rPr>
          <w:lang w:val="en-US"/>
        </w:rPr>
        <w:t>Dark</w:t>
      </w:r>
      <w:r w:rsidRPr="00AF0240">
        <w:t xml:space="preserve"> </w:t>
      </w:r>
      <w:r w:rsidRPr="00C735BB">
        <w:rPr>
          <w:lang w:val="en-US"/>
        </w:rPr>
        <w:t>Pools</w:t>
      </w:r>
      <w:r w:rsidRPr="00AF0240">
        <w:t xml:space="preserve"> </w:t>
      </w:r>
      <w:r>
        <w:t>сводится к тому, чтобы свести участников с встречными намерениями относительного крупного объема так, чтобы их намерения были скрыты от других участников.</w:t>
      </w:r>
    </w:p>
    <w:p w:rsidR="00D84B33" w:rsidRDefault="00D84B33" w:rsidP="00460BB2">
      <w:r>
        <w:t xml:space="preserve">Таким образом, режим Крупные Пакеты – это аналог </w:t>
      </w:r>
      <w:r>
        <w:rPr>
          <w:lang w:val="en-US"/>
        </w:rPr>
        <w:t>Dark</w:t>
      </w:r>
      <w:r w:rsidRPr="00FB5E9B">
        <w:t xml:space="preserve"> </w:t>
      </w:r>
      <w:r>
        <w:rPr>
          <w:lang w:val="en-US"/>
        </w:rPr>
        <w:t>Pools</w:t>
      </w:r>
      <w:r>
        <w:t>, который предлагает Московская Биржа.</w:t>
      </w:r>
    </w:p>
    <w:p w:rsidR="00B25D99" w:rsidRPr="00B25D99" w:rsidRDefault="00CF2A6E" w:rsidP="00B25D99">
      <w:r>
        <w:t xml:space="preserve">Наличие скрытой ликвидности оказывает влияние на поведение участников. </w:t>
      </w:r>
      <w:r w:rsidRPr="001F70FB">
        <w:t>В частности, возможность скрыть часть своей заявки меняет выбор оптимальной стратегии ликвидации позиции, вводя в нее новые параметры – объем видимой части</w:t>
      </w:r>
      <w:r>
        <w:t>,</w:t>
      </w:r>
      <w:r w:rsidRPr="001F70FB">
        <w:t xml:space="preserve"> временное окно, на котором объем должен быть реализован</w:t>
      </w:r>
      <w:r w:rsidR="00620850">
        <w:t>,</w:t>
      </w:r>
      <w:r>
        <w:t xml:space="preserve"> и цена, на уровне которой будет выставлен айсберг</w:t>
      </w:r>
      <w:r w:rsidRPr="001F70FB">
        <w:t xml:space="preserve">. Именно эти параметры были включены </w:t>
      </w:r>
      <w:r w:rsidRPr="001F70FB">
        <w:fldChar w:fldCharType="begin"/>
      </w:r>
      <w:r w:rsidRPr="001F70FB">
        <w:instrText xml:space="preserve"> ADDIN ZOTERO_ITEM CSL_CITATION {"citationID":"E7L5UxOE","properties":{"formattedCitation":"(Esser and Monch, 2004)","plainCitation":"(Esser and Monch, 2004)","noteIndex":0},"citationItems":[{"id":201,"uris":["http://zotero.org/users/3945180/items/9MSK4T84"],"uri":["http://zotero.org/users/3945180/items/9MSK4T84"],"itemData":{"id":201,"type":"article-journal","abstract":"Market participants with large orders to execute are often reluctant to expose these to an open order book in their entirety in order to avoid a potential adverse market impact. Therefore, investors often split large orders into smaller tranches. Iceberg orders facilitate these trading practices by executing such business automatically in the order book. This paper analyzes the rationale for the use of iceberg orders in continuous trading by assessing the costs and beneﬁts of this trading instrument. We present a parsimonious framework that allows the determination of the optimal limit and the optimal peak size of an iceberg order for a static liquidation strategy. Examples with real world order book data demonstrate how the setup can be implemented numerically and provide a deeper insight into relevant properties of the model.","container-title":"The Finance Research Letters","issue":"2","journalAbbreviation":"The Finance Research Letters","language":"en","page":"68-81","source":"Zotero","title":"The Navigation of an Iceberg: The Optimal Use of Hidden Orders","volume":"4","author":[{"family":"Esser","given":"Angelika"},{"family":"Monch","given":"Burkart"}],"issued":{"date-parts":[["2004"]]}}}],"schema":"https://github.com/citation-style-language/schema/raw/master/csl-citation.json"} </w:instrText>
      </w:r>
      <w:r w:rsidRPr="001F70FB">
        <w:fldChar w:fldCharType="separate"/>
      </w:r>
      <w:r w:rsidRPr="001F70FB">
        <w:rPr>
          <w:noProof/>
        </w:rPr>
        <w:t>(Esser and Monch, 2004)</w:t>
      </w:r>
      <w:r w:rsidRPr="001F70FB">
        <w:fldChar w:fldCharType="end"/>
      </w:r>
      <w:r w:rsidRPr="001F70FB">
        <w:t xml:space="preserve"> в модель определения оптимальной стратегии ликвидации позиции.</w:t>
      </w:r>
      <w:r>
        <w:t xml:space="preserve"> В работе тестируются две стратегии ликвидации крупного объема: </w:t>
      </w:r>
      <w:r>
        <w:rPr>
          <w:lang w:val="en-US"/>
        </w:rPr>
        <w:t>open</w:t>
      </w:r>
      <w:r w:rsidRPr="0042094F">
        <w:t>-</w:t>
      </w:r>
      <w:r>
        <w:rPr>
          <w:lang w:val="en-US"/>
        </w:rPr>
        <w:t>approach</w:t>
      </w:r>
      <w:r w:rsidRPr="0042094F">
        <w:t xml:space="preserve"> </w:t>
      </w:r>
      <w:r>
        <w:t xml:space="preserve">и </w:t>
      </w:r>
      <w:r>
        <w:rPr>
          <w:lang w:val="en-US"/>
        </w:rPr>
        <w:t>self</w:t>
      </w:r>
      <w:r w:rsidRPr="0042094F">
        <w:t>-</w:t>
      </w:r>
      <w:r>
        <w:rPr>
          <w:lang w:val="en-US"/>
        </w:rPr>
        <w:t>contained</w:t>
      </w:r>
      <w:r w:rsidRPr="0042094F">
        <w:t xml:space="preserve"> </w:t>
      </w:r>
      <w:r>
        <w:rPr>
          <w:lang w:val="en-US"/>
        </w:rPr>
        <w:t>approach</w:t>
      </w:r>
      <w:r w:rsidRPr="0042094F">
        <w:t xml:space="preserve">. </w:t>
      </w:r>
      <w:r>
        <w:t xml:space="preserve">В рамках первой стратегии на временном интервале </w:t>
      </w:r>
      <w:r>
        <w:rPr>
          <w:lang w:val="en-US"/>
        </w:rPr>
        <w:t>T</w:t>
      </w:r>
      <w:r>
        <w:t xml:space="preserve"> дней производится ежедневная переоценка оптимального соотношения цены и объема видимой части для объема, который остался нереализованным с предыдущего торгового дня, при условии, что участнику необходимо реализовать весь объем к моменту завершения периода </w:t>
      </w:r>
      <w:r>
        <w:rPr>
          <w:lang w:val="en-US"/>
        </w:rPr>
        <w:t>T</w:t>
      </w:r>
      <w:r>
        <w:t xml:space="preserve"> наиболее оптимальным способом. Вторая стратегия предполагает, что участник определяет соотношение цены и объема видимой части на весь период </w:t>
      </w:r>
      <w:r>
        <w:rPr>
          <w:lang w:val="en-US"/>
        </w:rPr>
        <w:t>T</w:t>
      </w:r>
      <w:r>
        <w:t xml:space="preserve">, и в момент его завершения исполняет оставшийся объем по рыночной цене. В результате проведенного моделирования авторами была предложена стратегия ликвидации крупного объема с использованием айсберг-заявок, которая позволяет достичь баланса между гарантией полного исполнения объема и скрытием своих намерений </w:t>
      </w:r>
      <w:r w:rsidR="00620850">
        <w:t xml:space="preserve">относительно </w:t>
      </w:r>
      <w:r>
        <w:t>реализ</w:t>
      </w:r>
      <w:r w:rsidR="00620850">
        <w:t xml:space="preserve">ации </w:t>
      </w:r>
      <w:r>
        <w:t>крупн</w:t>
      </w:r>
      <w:r w:rsidR="00620850">
        <w:t>ого</w:t>
      </w:r>
      <w:r>
        <w:t xml:space="preserve"> объем</w:t>
      </w:r>
      <w:r w:rsidR="00620850">
        <w:t>а</w:t>
      </w:r>
      <w:r>
        <w:t>.</w:t>
      </w:r>
    </w:p>
    <w:p w:rsidR="000B4E43" w:rsidRDefault="008A22F8" w:rsidP="000B4E43">
      <w:r w:rsidRPr="001F70FB">
        <w:t xml:space="preserve">Наличие скрытой ликвидности </w:t>
      </w:r>
      <w:r w:rsidR="00FB6C4E" w:rsidRPr="001F70FB">
        <w:t>является причиной возникновения асимметрии информации</w:t>
      </w:r>
      <w:r w:rsidR="00647ED9" w:rsidRPr="001F70FB">
        <w:t xml:space="preserve">. </w:t>
      </w:r>
      <w:r w:rsidR="00127804" w:rsidRPr="001F70FB">
        <w:t>Можно ожидать, что наличие асимметрии информации негативно сказыва</w:t>
      </w:r>
      <w:r w:rsidR="00EC745D" w:rsidRPr="001F70FB">
        <w:t>ется</w:t>
      </w:r>
      <w:r w:rsidR="00127804" w:rsidRPr="001F70FB">
        <w:t xml:space="preserve"> на </w:t>
      </w:r>
      <w:r w:rsidR="00EC745D" w:rsidRPr="001F70FB">
        <w:t>рынке</w:t>
      </w:r>
      <w:r w:rsidR="00127804" w:rsidRPr="001F70FB">
        <w:t xml:space="preserve"> из-за возникновения недоверия со стороны участников. В работе </w:t>
      </w:r>
      <w:r w:rsidR="00127804" w:rsidRPr="001F70FB">
        <w:fldChar w:fldCharType="begin"/>
      </w:r>
      <w:r w:rsidR="00127804" w:rsidRPr="001F70FB">
        <w:instrText xml:space="preserve"> ADDIN ZOTERO_ITEM CSL_CITATION {"citationID":"eDjzO4yc","properties":{"formattedCitation":"(Bessembinder et al., 2009)","plainCitation":"(Bessembinder et al., 2009)","noteIndex":0},"citationItems":[{"id":203,"uris":["http://zotero.org/users/3945180/items/6JL3QZ9H"],"uri":["http://zotero.org/users/3945180/items/6JL3QZ9H"],"itemData":{"id":203,"type":"article-journal","abstract":"Many stock exchanges choose to reduce market transparency by allowing traders to hide some or all of their order size. We study the costs and beneﬁts of order exposure and test hypotheses regarding hidden order usage using a sample of Euronext-Paris stocks, where hidden orders represent 44% of the sample order volume. Our results support the hypothesis that hidden orders are associated with a decreased probability of full execution and increased average time to completion, and fail to support the alternate hypothesis that order exposure causes defensive traders to withdraw from the market. However, exposing rather than hiding order size increases average execution costs. We assess the extent to which non-displayed size is truly hidden and document that the presence and magnitude of hidden orders can be predicted to a signiﬁcant, but imperfect, degree based on observable order attributes, ﬁrm characteristics, and market conditions. Overall, the results indicate that the option to hide order size is valuable, in particular, to patient traders.","container-title":"Journal of Financial Economics","issue":"3","journalAbbreviation":"Journal of Financial Economics","language":"en","page":"361-383","source":"DOI.org (Crossref)","title":"Hidden liquidity: An analysis of order exposure strategies in electronic stock markets","title-short":"Hidden liquidity","volume":"94","author":[{"family":"Bessembinder","given":"Hendrik"},{"family":"Panayides","given":"Marios"},{"family":"Venkataraman","given":"Kumar"}],"issued":{"date-parts":[["2009",12]]}}}],"schema":"https://github.com/citation-style-language/schema/raw/master/csl-citation.json"} </w:instrText>
      </w:r>
      <w:r w:rsidR="00127804" w:rsidRPr="001F70FB">
        <w:fldChar w:fldCharType="separate"/>
      </w:r>
      <w:r w:rsidR="00127804" w:rsidRPr="001F70FB">
        <w:rPr>
          <w:noProof/>
        </w:rPr>
        <w:t>(Bessembinder et al., 2009)</w:t>
      </w:r>
      <w:r w:rsidR="00127804" w:rsidRPr="001F70FB">
        <w:fldChar w:fldCharType="end"/>
      </w:r>
      <w:r w:rsidR="00127804" w:rsidRPr="001F70FB">
        <w:t xml:space="preserve"> доказывается обратное – возможность скрытия части заявки привлекает на рынок крупных инвесторов</w:t>
      </w:r>
      <w:r w:rsidR="000A0A13" w:rsidRPr="001F70FB">
        <w:t xml:space="preserve">. </w:t>
      </w:r>
      <w:r w:rsidR="00D3701D">
        <w:t>Для выявления скрытого объема в работе использ</w:t>
      </w:r>
      <w:r w:rsidR="000B4E43">
        <w:t>овались</w:t>
      </w:r>
      <w:r w:rsidR="00D3701D">
        <w:t xml:space="preserve"> </w:t>
      </w:r>
      <w:proofErr w:type="spellStart"/>
      <w:r w:rsidR="00D3701D">
        <w:t>логит</w:t>
      </w:r>
      <w:proofErr w:type="spellEnd"/>
      <w:r w:rsidR="00D3701D">
        <w:t xml:space="preserve"> и </w:t>
      </w:r>
      <w:proofErr w:type="spellStart"/>
      <w:r w:rsidR="00D3701D">
        <w:t>тобит</w:t>
      </w:r>
      <w:proofErr w:type="spellEnd"/>
      <w:r w:rsidR="00D3701D">
        <w:t xml:space="preserve"> регрессии.</w:t>
      </w:r>
      <w:r w:rsidR="000B4E43">
        <w:t xml:space="preserve"> </w:t>
      </w:r>
      <w:proofErr w:type="spellStart"/>
      <w:r w:rsidR="000B4E43">
        <w:t>Логит</w:t>
      </w:r>
      <w:proofErr w:type="spellEnd"/>
      <w:r w:rsidR="000B4E43">
        <w:t xml:space="preserve"> регрессия использовалась для оценки вероятности наличия скрытого объема, а </w:t>
      </w:r>
      <w:proofErr w:type="spellStart"/>
      <w:r w:rsidR="000B4E43">
        <w:t>тобит</w:t>
      </w:r>
      <w:proofErr w:type="spellEnd"/>
      <w:r w:rsidR="000B4E43">
        <w:t xml:space="preserve"> регрессия – для оценки величины скрытого </w:t>
      </w:r>
      <w:r w:rsidR="000B4E43">
        <w:lastRenderedPageBreak/>
        <w:t>объема</w:t>
      </w:r>
      <w:r w:rsidR="000B4E43" w:rsidRPr="000B4E43">
        <w:t xml:space="preserve">. </w:t>
      </w:r>
      <w:r w:rsidR="00E85C4E">
        <w:t>Б</w:t>
      </w:r>
      <w:r w:rsidR="000B4E43">
        <w:t>ыло обнаружено, что вероятность скрытия объема растет при следующих условиях:</w:t>
      </w:r>
    </w:p>
    <w:p w:rsidR="001A0A65" w:rsidRDefault="001A0A65" w:rsidP="008F7BC5">
      <w:pPr>
        <w:pStyle w:val="ac"/>
        <w:numPr>
          <w:ilvl w:val="0"/>
          <w:numId w:val="15"/>
        </w:numPr>
      </w:pPr>
      <w:r>
        <w:t>Увеличивается объем заявки;</w:t>
      </w:r>
    </w:p>
    <w:p w:rsidR="000B4E43" w:rsidRDefault="003C320D" w:rsidP="008F7BC5">
      <w:pPr>
        <w:pStyle w:val="ac"/>
        <w:numPr>
          <w:ilvl w:val="0"/>
          <w:numId w:val="15"/>
        </w:numPr>
      </w:pPr>
      <w:r>
        <w:t>Увеличивается</w:t>
      </w:r>
      <w:r w:rsidR="000B4E43">
        <w:t xml:space="preserve"> </w:t>
      </w:r>
      <w:proofErr w:type="spellStart"/>
      <w:r w:rsidR="000B4E43">
        <w:t>бид-аск</w:t>
      </w:r>
      <w:proofErr w:type="spellEnd"/>
      <w:r w:rsidR="000B4E43">
        <w:t xml:space="preserve"> спред</w:t>
      </w:r>
      <w:r>
        <w:t>;</w:t>
      </w:r>
    </w:p>
    <w:p w:rsidR="001A0A65" w:rsidRDefault="001A0A65" w:rsidP="008F7BC5">
      <w:pPr>
        <w:pStyle w:val="ac"/>
        <w:numPr>
          <w:ilvl w:val="0"/>
          <w:numId w:val="15"/>
        </w:numPr>
      </w:pPr>
      <w:r>
        <w:t>Увеличивается частота и объем предшествующих сделок;</w:t>
      </w:r>
    </w:p>
    <w:p w:rsidR="003C320D" w:rsidRDefault="003C320D" w:rsidP="008F7BC5">
      <w:pPr>
        <w:pStyle w:val="ac"/>
        <w:numPr>
          <w:ilvl w:val="0"/>
          <w:numId w:val="15"/>
        </w:numPr>
      </w:pPr>
      <w:r>
        <w:t>Уменьшается объем на стороне выставления заявки;</w:t>
      </w:r>
    </w:p>
    <w:p w:rsidR="003C320D" w:rsidRDefault="001A0A65" w:rsidP="008F7BC5">
      <w:pPr>
        <w:pStyle w:val="ac"/>
        <w:numPr>
          <w:ilvl w:val="0"/>
          <w:numId w:val="15"/>
        </w:numPr>
      </w:pPr>
      <w:r>
        <w:t xml:space="preserve">Уменьшается волатильность </w:t>
      </w:r>
      <w:proofErr w:type="spellStart"/>
      <w:r>
        <w:t>мидпоинта</w:t>
      </w:r>
      <w:proofErr w:type="spellEnd"/>
      <w:r>
        <w:t>.</w:t>
      </w:r>
    </w:p>
    <w:p w:rsidR="005B3E94" w:rsidRPr="00B75C1E" w:rsidRDefault="008A162B" w:rsidP="00EB4AAB">
      <w:r>
        <w:t xml:space="preserve">По словам авторов, </w:t>
      </w:r>
      <w:r w:rsidR="00651361">
        <w:t>опираясь на полученные результаты, участники</w:t>
      </w:r>
      <w:r>
        <w:t xml:space="preserve"> торгов </w:t>
      </w:r>
      <w:r w:rsidR="00651361">
        <w:t xml:space="preserve">могут </w:t>
      </w:r>
      <w:r>
        <w:t>самостоятельно на основании общедоступных данных предсказать моменты наиболее вероятного выставления айсберг-заявок</w:t>
      </w:r>
      <w:r w:rsidR="00B25D99">
        <w:t>.</w:t>
      </w:r>
      <w:r>
        <w:t xml:space="preserve"> </w:t>
      </w:r>
      <w:r w:rsidR="00EB4AAB">
        <w:t xml:space="preserve">Результаты работы подтверждаются более ранними исследованиями </w:t>
      </w:r>
      <w:r w:rsidR="00EB4AAB">
        <w:fldChar w:fldCharType="begin"/>
      </w:r>
      <w:r w:rsidR="003A00DB">
        <w:instrText xml:space="preserve"> ADDIN ZOTERO_ITEM CSL_CITATION {"citationID":"2U8bQiC0","properties":{"formattedCitation":"(De Winne and D\\uc0\\u8217{}hondt, 2007)","plainCitation":"(De Winne and D’hondt, 2007)","noteIndex":0},"citationItems":[{"id":205,"uris":["http://zotero.org/users/3945180/items/JY9VWYKG"],"uri":["http://zotero.org/users/3945180/items/JY9VWYKG"],"itemData":{"id":205,"type":"article-journal","abstract":"Hidden orders add an important dimension to traders’ strategies. This paper investigates why traders hide their orders and how other traders respond to the detection of hidden depth, using Euronext data. Our ﬁndings suggest that traders use hidden quantity to manage exposure risk and to mitigate adverse selection costs. Market members are less likely to hide their limit orders. The paper also produces evidence that traders detect hidden depth and adapt their order placement strategy accordingly. When hidden depth is discovered on the opposite side of the market, order aggressiveness increases. When hidden depth is discovered on the same side of the market, principal orders are less aggressive while client order aggressiveness increases.","container-title":"Review of Finance","issue":"4","journalAbbreviation":"Review of Finance","language":"en","page":"663-692","title":"Hide-and-Seek in the Market: Placing and Detecting Hidden Orders","volume":"11","author":[{"family":"De Winne","given":"Rudy"},{"family":"D'hondt","given":"Catherine"}],"issued":{"date-parts":[["2007",1,1]]}}}],"schema":"https://github.com/citation-style-language/schema/raw/master/csl-citation.json"} </w:instrText>
      </w:r>
      <w:r w:rsidR="00EB4AAB">
        <w:fldChar w:fldCharType="separate"/>
      </w:r>
      <w:r w:rsidR="00EB4AAB" w:rsidRPr="003E1770">
        <w:t>(De Winne and D’hondt, 2007)</w:t>
      </w:r>
      <w:r w:rsidR="00EB4AAB">
        <w:fldChar w:fldCharType="end"/>
      </w:r>
      <w:r w:rsidR="00EB4AAB">
        <w:t>, методология которых использовалась в рассматриваемой работе.</w:t>
      </w:r>
      <w:r w:rsidR="00EB4AAB" w:rsidRPr="00EB4AAB">
        <w:t xml:space="preserve"> </w:t>
      </w:r>
      <w:r w:rsidR="00E0515F">
        <w:t>А</w:t>
      </w:r>
      <w:r w:rsidR="00B75C1E">
        <w:t>вторами</w:t>
      </w:r>
      <w:r w:rsidR="00EB4AAB" w:rsidRPr="00EB4AAB">
        <w:t xml:space="preserve"> </w:t>
      </w:r>
      <w:r w:rsidR="00EB4AAB" w:rsidRPr="001F70FB">
        <w:fldChar w:fldCharType="begin"/>
      </w:r>
      <w:r w:rsidR="003A00DB">
        <w:instrText xml:space="preserve"> ADDIN ZOTERO_ITEM CSL_CITATION {"citationID":"rlTZ7nR5","properties":{"formattedCitation":"(Bessembinder et al., 2009)","plainCitation":"(Bessembinder et al., 2009)","noteIndex":0},"citationItems":[{"id":203,"uris":["http://zotero.org/users/3945180/items/6JL3QZ9H"],"uri":["http://zotero.org/users/3945180/items/6JL3QZ9H"],"itemData":{"id":203,"type":"article-journal","abstract":"Many stock exchanges choose to reduce market transparency by allowing traders to hide some or all of their order size. We study the costs and beneﬁts of order exposure and test hypotheses regarding hidden order usage using a sample of Euronext-Paris stocks, where hidden orders represent 44% of the sample order volume. Our results support the hypothesis that hidden orders are associated with a decreased probability of full execution and increased average time to completion, and fail to support the alternate hypothesis that order exposure causes defensive traders to withdraw from the market. However, exposing rather than hiding order size increases average execution costs. We assess the extent to which non-displayed size is truly hidden and document that the presence and magnitude of hidden orders can be predicted to a signiﬁcant, but imperfect, degree based on observable order attributes, ﬁrm characteristics, and market conditions. Overall, the results indicate that the option to hide order size is valuable, in particular, to patient traders.","container-title":"Journal of Financial Economics","issue":"3","journalAbbreviation":"Journal of Financial Economics","language":"en","page":"361-383","source":"DOI.org (Crossref)","title":"Hidden liquidity: An analysis of order exposure strategies in electronic stock markets","title-short":"Hidden liquidity","volume":"94","author":[{"family":"Bessembinder","given":"Hendrik"},{"family":"Panayides","given":"Marios"},{"family":"Venkataraman","given":"Kumar"}],"issued":{"date-parts":[["2009",12]]}}}],"schema":"https://github.com/citation-style-language/schema/raw/master/csl-citation.json"} </w:instrText>
      </w:r>
      <w:r w:rsidR="00EB4AAB" w:rsidRPr="001F70FB">
        <w:fldChar w:fldCharType="separate"/>
      </w:r>
      <w:r w:rsidR="00EB4AAB" w:rsidRPr="001F70FB">
        <w:rPr>
          <w:noProof/>
        </w:rPr>
        <w:t>(Bessembinder et al., 2009)</w:t>
      </w:r>
      <w:r w:rsidR="00EB4AAB" w:rsidRPr="001F70FB">
        <w:fldChar w:fldCharType="end"/>
      </w:r>
      <w:r w:rsidR="00B75C1E">
        <w:t xml:space="preserve"> </w:t>
      </w:r>
      <w:r w:rsidR="00E0515F">
        <w:t xml:space="preserve">также </w:t>
      </w:r>
      <w:r w:rsidR="00B75C1E">
        <w:t>были выделены</w:t>
      </w:r>
      <w:r w:rsidR="003C320D">
        <w:t xml:space="preserve"> плюсы и минусы использования айсберг-заявок.</w:t>
      </w:r>
      <w:r w:rsidR="007F3CB8">
        <w:t xml:space="preserve"> Среди плюсов отмечаются низкие издержки исполнения, оценка которых производилась с помощью метода </w:t>
      </w:r>
      <w:r w:rsidR="007F3CB8">
        <w:rPr>
          <w:lang w:val="en-US"/>
        </w:rPr>
        <w:t>implementation</w:t>
      </w:r>
      <w:r w:rsidR="007F3CB8" w:rsidRPr="007F3CB8">
        <w:t xml:space="preserve"> </w:t>
      </w:r>
      <w:r w:rsidR="007F3CB8">
        <w:rPr>
          <w:lang w:val="en-US"/>
        </w:rPr>
        <w:t>shortfall</w:t>
      </w:r>
      <w:r w:rsidR="007F3CB8">
        <w:t xml:space="preserve">. К </w:t>
      </w:r>
      <w:r w:rsidR="00B75C1E">
        <w:t>минусам авторы относят низкую вероятность полного исполнения</w:t>
      </w:r>
      <w:r w:rsidR="0055373F">
        <w:t>,</w:t>
      </w:r>
      <w:r w:rsidR="00B75C1E">
        <w:t xml:space="preserve"> низкую скорость исполнения</w:t>
      </w:r>
      <w:r w:rsidR="0055373F">
        <w:t xml:space="preserve">, а также увеличение вероятности использования стратегий типа </w:t>
      </w:r>
      <w:r w:rsidR="0055373F">
        <w:rPr>
          <w:lang w:val="en-US"/>
        </w:rPr>
        <w:t>pinging</w:t>
      </w:r>
      <w:r w:rsidR="0055373F" w:rsidRPr="0055373F">
        <w:t xml:space="preserve"> </w:t>
      </w:r>
      <w:r w:rsidR="0055373F">
        <w:t>(выставление и мгновенная отмена заявок</w:t>
      </w:r>
      <w:r w:rsidR="00AB391F">
        <w:t xml:space="preserve">). Стратегия типа </w:t>
      </w:r>
      <w:r w:rsidR="00AB391F">
        <w:rPr>
          <w:lang w:val="en-US"/>
        </w:rPr>
        <w:t>pinging</w:t>
      </w:r>
      <w:r w:rsidR="00AB391F" w:rsidRPr="00AB391F">
        <w:t xml:space="preserve"> </w:t>
      </w:r>
      <w:r w:rsidR="00AB391F">
        <w:t xml:space="preserve">используется </w:t>
      </w:r>
      <w:r w:rsidR="0055373F">
        <w:t>для проверки наличия скрытого объема на противоположной стороне стакана</w:t>
      </w:r>
      <w:r w:rsidR="00AB391F">
        <w:t xml:space="preserve">. Использование данной стратегии </w:t>
      </w:r>
      <w:r w:rsidR="0055373F">
        <w:t>искусственно завышает ликвидность, поскольк</w:t>
      </w:r>
      <w:r w:rsidR="00AB391F">
        <w:t xml:space="preserve">у </w:t>
      </w:r>
      <w:r w:rsidR="0055373F">
        <w:t xml:space="preserve">у участников </w:t>
      </w:r>
      <w:r w:rsidR="00AB391F">
        <w:t>отсутствуют торговые намерения.</w:t>
      </w:r>
    </w:p>
    <w:p w:rsidR="00A350A2" w:rsidRDefault="00B75C1E" w:rsidP="0055373F">
      <w:r w:rsidRPr="00651361">
        <w:t>Наличие</w:t>
      </w:r>
      <w:r w:rsidR="009157EC" w:rsidRPr="00651361">
        <w:t xml:space="preserve"> скрыт</w:t>
      </w:r>
      <w:r w:rsidR="00701FBC" w:rsidRPr="00651361">
        <w:t xml:space="preserve">ого объема </w:t>
      </w:r>
      <w:r w:rsidRPr="00651361">
        <w:t xml:space="preserve">также </w:t>
      </w:r>
      <w:r w:rsidR="009157EC" w:rsidRPr="00651361">
        <w:t>влияет на метрики ликвидности.</w:t>
      </w:r>
      <w:r w:rsidR="00701FBC" w:rsidRPr="00651361">
        <w:t xml:space="preserve"> </w:t>
      </w:r>
      <w:r w:rsidR="00FC3473" w:rsidRPr="00651361">
        <w:t xml:space="preserve">Для изучения </w:t>
      </w:r>
      <w:r w:rsidR="00701FBC" w:rsidRPr="00651361">
        <w:t>этого влияния</w:t>
      </w:r>
      <w:r w:rsidR="00916F15" w:rsidRPr="00651361">
        <w:t xml:space="preserve"> в работе </w:t>
      </w:r>
      <w:r w:rsidR="00F961A4" w:rsidRPr="00651361">
        <w:fldChar w:fldCharType="begin"/>
      </w:r>
      <w:r w:rsidR="00F961A4" w:rsidRPr="00651361">
        <w:instrText xml:space="preserve"> ADDIN ZOTERO_ITEM CSL_CITATION {"citationID":"RQ6jIN2Y","properties":{"formattedCitation":"(Bloomfield et al., 2015)","plainCitation":"(Bloomfield et al., 2015)","noteIndex":0},"citationItems":[{"id":199,"uris":["http://zotero.org/users/3945180/items/8H25LKTS"],"uri":["http://zotero.org/users/3945180/items/8H25LKTS"],"itemData":{"id":199,"type":"article-journal","container-title":"The Journal of Finance","issue":"5","journalAbbreviation":"The Journal of Finance","language":"en","page":"2227-2273","source":"Zotero","title":"Hidden Liquidity: Some new light on dark trading","volume":"70","author":[{"family":"Bloomfield","given":"Robert"},{"family":"O’Hara","given":"Maureen"},{"family":"Saar","given":"Gideon"}],"issued":{"date-parts":[["2015"]]}}}],"schema":"https://github.com/citation-style-language/schema/raw/master/csl-citation.json"} </w:instrText>
      </w:r>
      <w:r w:rsidR="00F961A4" w:rsidRPr="00651361">
        <w:fldChar w:fldCharType="separate"/>
      </w:r>
      <w:r w:rsidR="00F961A4" w:rsidRPr="00651361">
        <w:rPr>
          <w:noProof/>
        </w:rPr>
        <w:t>(Bloomfield et al., 2015)</w:t>
      </w:r>
      <w:r w:rsidR="00F961A4" w:rsidRPr="00651361">
        <w:fldChar w:fldCharType="end"/>
      </w:r>
      <w:r w:rsidR="00916F15" w:rsidRPr="00651361">
        <w:t xml:space="preserve"> был</w:t>
      </w:r>
      <w:r w:rsidR="004A571D" w:rsidRPr="00651361">
        <w:t xml:space="preserve">и </w:t>
      </w:r>
      <w:r w:rsidR="009E46B2" w:rsidRPr="00651361">
        <w:t>искусственно созданы</w:t>
      </w:r>
      <w:r w:rsidR="004A571D" w:rsidRPr="00651361">
        <w:t xml:space="preserve"> три</w:t>
      </w:r>
      <w:r w:rsidR="00916F15" w:rsidRPr="00651361">
        <w:t xml:space="preserve"> рын</w:t>
      </w:r>
      <w:r w:rsidR="004A571D" w:rsidRPr="00651361">
        <w:t xml:space="preserve">ка: без возможности скрытия объема, с возможностью частичного скрытия и с возможностью </w:t>
      </w:r>
      <w:r w:rsidR="00897263" w:rsidRPr="00651361">
        <w:t xml:space="preserve">как </w:t>
      </w:r>
      <w:r w:rsidR="004A571D" w:rsidRPr="00651361">
        <w:t>частичног</w:t>
      </w:r>
      <w:r w:rsidR="00897263" w:rsidRPr="00651361">
        <w:t xml:space="preserve">о, так и </w:t>
      </w:r>
      <w:r w:rsidR="004A571D" w:rsidRPr="00651361">
        <w:t xml:space="preserve">полного скрытия. </w:t>
      </w:r>
      <w:r w:rsidR="009E46B2" w:rsidRPr="00651361">
        <w:t>В эксперименте</w:t>
      </w:r>
      <w:r w:rsidR="009E46B2">
        <w:t xml:space="preserve"> участвовали 120 человек, которым предлагалось в рамках </w:t>
      </w:r>
      <w:r w:rsidR="005E4DFB">
        <w:t>одной сессии</w:t>
      </w:r>
      <w:r w:rsidR="009E46B2">
        <w:t xml:space="preserve"> (1</w:t>
      </w:r>
      <w:r w:rsidR="00013BFC">
        <w:t>8</w:t>
      </w:r>
      <w:r w:rsidR="009E46B2">
        <w:t>0 секунд) осуществлять торговлю одним инструменто</w:t>
      </w:r>
      <w:r w:rsidR="00651361">
        <w:t>м</w:t>
      </w:r>
      <w:r w:rsidR="009E46B2">
        <w:t xml:space="preserve">. </w:t>
      </w:r>
      <w:r w:rsidR="005E4DFB">
        <w:t>При этом, перед началом каждой сессии объявляется</w:t>
      </w:r>
      <w:r w:rsidR="00651361">
        <w:t xml:space="preserve"> рынок</w:t>
      </w:r>
      <w:r w:rsidR="005E4DFB">
        <w:t xml:space="preserve">, правилам </w:t>
      </w:r>
      <w:r w:rsidR="00651361">
        <w:t>которого</w:t>
      </w:r>
      <w:r w:rsidR="005E4DFB">
        <w:t xml:space="preserve"> </w:t>
      </w:r>
      <w:r w:rsidR="00651361">
        <w:t>торговля в рамках данной сессии</w:t>
      </w:r>
      <w:r w:rsidR="005E4DFB">
        <w:t xml:space="preserve"> будет подчиняться. </w:t>
      </w:r>
      <w:r w:rsidR="009E46B2">
        <w:t>Участники</w:t>
      </w:r>
      <w:r w:rsidR="005E4DFB">
        <w:t xml:space="preserve"> сессии</w:t>
      </w:r>
      <w:r w:rsidR="009E46B2">
        <w:t xml:space="preserve"> </w:t>
      </w:r>
      <w:r w:rsidR="005E4DFB">
        <w:t>автоматически разделяются</w:t>
      </w:r>
      <w:r w:rsidR="009E46B2">
        <w:t xml:space="preserve"> на две группы</w:t>
      </w:r>
      <w:r w:rsidR="00C81FAD">
        <w:t>. Информация о том, какой участник, какой группе принадлежит, не разглашается</w:t>
      </w:r>
      <w:r w:rsidR="009E46B2">
        <w:t xml:space="preserve">. Первая группа – информированные участники, которым </w:t>
      </w:r>
      <w:r w:rsidR="00C81FAD">
        <w:t>предоставляется</w:t>
      </w:r>
      <w:r w:rsidR="009E46B2">
        <w:t xml:space="preserve"> информация о предполагаемой цене закрытия инструмента. </w:t>
      </w:r>
      <w:r w:rsidR="00013BFC">
        <w:t xml:space="preserve">В данную группу </w:t>
      </w:r>
      <w:r w:rsidR="00C81FAD">
        <w:t>входит</w:t>
      </w:r>
      <w:r w:rsidR="00013BFC">
        <w:t xml:space="preserve"> </w:t>
      </w:r>
      <w:r w:rsidR="009E46B2">
        <w:t>4 участника</w:t>
      </w:r>
      <w:r w:rsidR="00013BFC">
        <w:t>.</w:t>
      </w:r>
      <w:r w:rsidR="009E46B2">
        <w:t xml:space="preserve"> Вторая группа – неинформированные участники, которым данная информация недоступна. </w:t>
      </w:r>
      <w:r w:rsidR="00A350A2">
        <w:t xml:space="preserve">По результатам проведенного анализа, </w:t>
      </w:r>
      <w:r w:rsidR="0054294F">
        <w:t xml:space="preserve">была оценена зависимость метрик ликвидности от </w:t>
      </w:r>
      <w:r w:rsidR="00273F50">
        <w:t xml:space="preserve">степени прозрачности рынка. Наиболее чувствительным показателем </w:t>
      </w:r>
      <w:r w:rsidR="0055373F">
        <w:t>оказалась</w:t>
      </w:r>
      <w:r w:rsidR="00273F50">
        <w:t xml:space="preserve"> глубина. В качестве меры глубины использовался объем, выставленный в </w:t>
      </w:r>
      <w:r w:rsidR="00273F50" w:rsidRPr="0078339C">
        <w:t xml:space="preserve">диапазоне 20 шагов цены от лучшей цены на обеих сторонах </w:t>
      </w:r>
      <w:r w:rsidR="00273F50" w:rsidRPr="0078339C">
        <w:lastRenderedPageBreak/>
        <w:t xml:space="preserve">стакана. Было выявлено, что чем ниже прозрачность рынка, тем выше показатель глубины. </w:t>
      </w:r>
      <w:r w:rsidR="0078339C" w:rsidRPr="0078339C">
        <w:t>Еще одним показателем</w:t>
      </w:r>
      <w:r w:rsidR="0055373F">
        <w:t>, чувствительным к изменению степени прозрачности рынка,</w:t>
      </w:r>
      <w:r w:rsidR="0078339C" w:rsidRPr="0078339C">
        <w:t xml:space="preserve"> является </w:t>
      </w:r>
      <w:proofErr w:type="spellStart"/>
      <w:r w:rsidR="0078339C" w:rsidRPr="0078339C">
        <w:t>бид-аск</w:t>
      </w:r>
      <w:proofErr w:type="spellEnd"/>
      <w:r w:rsidR="0078339C" w:rsidRPr="0078339C">
        <w:t xml:space="preserve"> спред</w:t>
      </w:r>
      <w:r w:rsidR="0055373F">
        <w:t>. Это связано с тем, что</w:t>
      </w:r>
      <w:r w:rsidR="0054294F" w:rsidRPr="0078339C">
        <w:t xml:space="preserve"> </w:t>
      </w:r>
      <w:r w:rsidR="0078339C" w:rsidRPr="0078339C">
        <w:t xml:space="preserve">на рынке </w:t>
      </w:r>
      <w:r w:rsidR="0055373F">
        <w:t>третьего</w:t>
      </w:r>
      <w:r w:rsidR="0078339C" w:rsidRPr="0078339C">
        <w:t xml:space="preserve"> типа </w:t>
      </w:r>
      <w:r w:rsidR="0054294F" w:rsidRPr="0078339C">
        <w:t xml:space="preserve">участники активно пользуются возможностью выставления заявок с полностью скрытым объемом внутрь спреда. В результате получается, что фактическое значение спреда, посчитанного на основании </w:t>
      </w:r>
      <w:proofErr w:type="spellStart"/>
      <w:r w:rsidR="0054294F" w:rsidRPr="0078339C">
        <w:t>нескрытых</w:t>
      </w:r>
      <w:proofErr w:type="spellEnd"/>
      <w:r w:rsidR="0054294F" w:rsidRPr="0078339C">
        <w:t xml:space="preserve"> заявок неизменно, но если включить в оценку скрытые заявки, то спред изменится.</w:t>
      </w:r>
    </w:p>
    <w:p w:rsidR="00843D77" w:rsidRPr="0055373F" w:rsidRDefault="0078339C" w:rsidP="0055373F">
      <w:r>
        <w:t>Среди преимуществ</w:t>
      </w:r>
      <w:r w:rsidR="00E236A0" w:rsidRPr="0054294F">
        <w:t xml:space="preserve"> данной работы </w:t>
      </w:r>
      <w:r>
        <w:t xml:space="preserve">необходимо </w:t>
      </w:r>
      <w:r w:rsidR="0055373F">
        <w:t xml:space="preserve">также </w:t>
      </w:r>
      <w:r>
        <w:t>отметить тот факт</w:t>
      </w:r>
      <w:r w:rsidR="00E236A0" w:rsidRPr="0054294F">
        <w:t xml:space="preserve">, что в обычных условиях невозможно проследить, какой тип инвесторов в большей степени использует айсберг-заявки: инвесторы, которые обладают инсайдерской информацией, или инвесторы, которые такой информацией не обладают. В данном же случае, за счет искусственного создания торговой площадки </w:t>
      </w:r>
      <w:r w:rsidR="0054294F" w:rsidRPr="0054294F">
        <w:t>авторам была доступна информация о наличии у участника инсайдерской информации. По результатам анализа имеющихся данных</w:t>
      </w:r>
      <w:r w:rsidR="00E236A0" w:rsidRPr="0054294F">
        <w:t xml:space="preserve"> было выявлено, что оба типа инвесторов в одинаковой степени используют возможность скрытия заявок, при этой инвесторы с инсайдерской информацией более чувствительны к изменениям рыночных условий, которые касаются прозрачности торговли, </w:t>
      </w:r>
      <w:r w:rsidR="0054294F" w:rsidRPr="0054294F">
        <w:t>нежели</w:t>
      </w:r>
      <w:r w:rsidR="00E236A0" w:rsidRPr="0054294F">
        <w:t xml:space="preserve"> их менее информированные коллеги.</w:t>
      </w:r>
    </w:p>
    <w:p w:rsidR="00620850" w:rsidRDefault="00620850" w:rsidP="00620850">
      <w:r w:rsidRPr="00781333">
        <w:t xml:space="preserve">В силу того, что в </w:t>
      </w:r>
      <w:r w:rsidR="00AB391F" w:rsidRPr="00781333">
        <w:t xml:space="preserve">данной </w:t>
      </w:r>
      <w:r w:rsidRPr="00781333">
        <w:t xml:space="preserve">работе </w:t>
      </w:r>
      <w:r w:rsidR="00AB391F" w:rsidRPr="00781333">
        <w:t>планируется использование</w:t>
      </w:r>
      <w:r w:rsidRPr="00781333">
        <w:t xml:space="preserve"> данны</w:t>
      </w:r>
      <w:r w:rsidR="00AB391F" w:rsidRPr="00781333">
        <w:t>х</w:t>
      </w:r>
      <w:r w:rsidRPr="00781333">
        <w:t xml:space="preserve"> основного режима торгов фондовой секции Московской Биржи, дальнейшее рассмотрение скрытой ликвидности будет производиться только с точки зрения айсберг-заявок</w:t>
      </w:r>
      <w:r w:rsidR="00781333" w:rsidRPr="00781333">
        <w:t xml:space="preserve"> и их влияния на показатели ликвидности рынка.</w:t>
      </w:r>
    </w:p>
    <w:p w:rsidR="00A07E99" w:rsidRPr="002651C0" w:rsidRDefault="00A07E99" w:rsidP="00A07E99">
      <w:pPr>
        <w:pStyle w:val="2"/>
      </w:pPr>
      <w:bookmarkStart w:id="4" w:name="_Ref32228428"/>
      <w:bookmarkStart w:id="5" w:name="_Toc38914806"/>
      <w:r>
        <w:t>Высокочастотная торговля</w:t>
      </w:r>
      <w:bookmarkEnd w:id="4"/>
      <w:bookmarkEnd w:id="5"/>
    </w:p>
    <w:p w:rsidR="00611BCA" w:rsidRPr="00C41155" w:rsidRDefault="00611BCA" w:rsidP="00C41155">
      <w:r>
        <w:t xml:space="preserve">Еще одним источником скрытой ликвидности являются торговые алгоритмы. </w:t>
      </w:r>
      <w:r w:rsidR="00C41155">
        <w:t xml:space="preserve">Если торговому алгоритму была поставлена задача реализовать крупный объем, то он может сделать это без использования айсберг-заявок или </w:t>
      </w:r>
      <w:proofErr w:type="spellStart"/>
      <w:r w:rsidR="00C41155">
        <w:rPr>
          <w:lang w:val="en-US"/>
        </w:rPr>
        <w:t>DarkPools</w:t>
      </w:r>
      <w:proofErr w:type="spellEnd"/>
      <w:r w:rsidR="00C41155">
        <w:t>. Он раздробит исходный объем на части в зависимости от текущего состояния рынка и входных требований к скорости и цене реализации, и, в момент достижения целевых значений выбранных показателей, будет постепенно исполнять объем. Данная процедура может растянуться на несколько дней. В результате чего отследить истинный объем ликвидности, который был реализован/реализуется/будет реализован роботом, не представляется возможным.</w:t>
      </w:r>
    </w:p>
    <w:p w:rsidR="00FB6C4E" w:rsidRDefault="00A07E99" w:rsidP="00A07E99">
      <w:r>
        <w:t xml:space="preserve">Еще пару десятков лет назад заявкам и сделкам было достаточно секундной детализации, </w:t>
      </w:r>
      <w:r w:rsidR="00B160FB">
        <w:t xml:space="preserve">в 2015 году использовались миллисекунды – 3 знака после запятой, </w:t>
      </w:r>
      <w:r>
        <w:t>сейчас</w:t>
      </w:r>
      <w:r w:rsidR="00B160FB">
        <w:t xml:space="preserve"> же</w:t>
      </w:r>
      <w:r>
        <w:t xml:space="preserve"> все сделки и заявки на Московской Бирже записываются с точностью до микросекунд – 6 знаков после запятой</w:t>
      </w:r>
      <w:r w:rsidR="00E27BE2">
        <w:t xml:space="preserve">. </w:t>
      </w:r>
      <w:r>
        <w:t xml:space="preserve">В ближайшей перспективе планируется увеличение детализации заявок до наносекунд – 9 знаков после запятой. Данные изменения являются следствием </w:t>
      </w:r>
      <w:r>
        <w:lastRenderedPageBreak/>
        <w:t xml:space="preserve">увеличения скорости торговли. Ускорение реализуется за счет появления на рынке новых игроков – роботов. Они способны совершать </w:t>
      </w:r>
      <w:r w:rsidR="003B5491">
        <w:t>большое количество</w:t>
      </w:r>
      <w:r>
        <w:t xml:space="preserve"> операций в секунду за счет использования больших вычислительных мощностей. Такой тип торговли получил название высокочастотная торговля или </w:t>
      </w:r>
      <w:r>
        <w:rPr>
          <w:lang w:val="en-US"/>
        </w:rPr>
        <w:t>high</w:t>
      </w:r>
      <w:r w:rsidRPr="00F90607">
        <w:t>-</w:t>
      </w:r>
      <w:r>
        <w:rPr>
          <w:lang w:val="en-US"/>
        </w:rPr>
        <w:t>frequency</w:t>
      </w:r>
      <w:r w:rsidRPr="00F90607">
        <w:t xml:space="preserve"> </w:t>
      </w:r>
      <w:r>
        <w:rPr>
          <w:lang w:val="en-US"/>
        </w:rPr>
        <w:t>trading</w:t>
      </w:r>
      <w:r w:rsidRPr="00F90607">
        <w:t xml:space="preserve"> (</w:t>
      </w:r>
      <w:r>
        <w:rPr>
          <w:lang w:val="en-US"/>
        </w:rPr>
        <w:t>HFT</w:t>
      </w:r>
      <w:r w:rsidRPr="00F90607">
        <w:t>)</w:t>
      </w:r>
      <w:r>
        <w:t>.</w:t>
      </w:r>
    </w:p>
    <w:p w:rsidR="00546FE4" w:rsidRDefault="00546FE4" w:rsidP="00546FE4">
      <w:r>
        <w:t>С появлением роботов на рынке объем торгов увеличился с 97,8 тыс. заявок в день (первый квартал 2010) до 13,6 млн заявок в день (второй квартал 2012), таким образом, за 2,5 года объем торгов увеличился почти в 140 раз</w:t>
      </w:r>
      <w:r w:rsidR="00E27BE2">
        <w:t xml:space="preserve"> </w:t>
      </w:r>
      <w:r w:rsidR="00E27BE2">
        <w:fldChar w:fldCharType="begin"/>
      </w:r>
      <w:r w:rsidR="007576F9">
        <w:instrText xml:space="preserve"> ADDIN ZOTERO_ITEM CSL_CITATION {"citationID":"lLZAXL5k","properties":{"formattedCitation":"(\\uc0\\u1041{}\\uc0\\u1083{}\\uc0\\u1086{}\\uc0\\u1075{} \\uc0\\u1082{}\\uc0\\u1086{}\\uc0\\u1084{}\\uc0\\u1087{}\\uc0\\u1072{}\\uc0\\u1085{}\\uc0\\u1080{}\\uc0\\u1080{} \\uc0\\u1052{}\\uc0\\u1086{}\\uc0\\u1089{}\\uc0\\u1082{}\\uc0\\u1086{}\\uc0\\u1074{}\\uc0\\u1089{}\\uc0\\u1082{}\\uc0\\u1072{}\\uc0\\u1103{} \\uc0\\u1041{}\\uc0\\u1080{}\\uc0\\u1088{}\\uc0\\u1078{}\\uc0\\u1072{}, 2019)","plainCitation":"(Блог компании Московская Биржа, 2019)","noteIndex":0},"citationItems":[{"id":180,"uris":["http://zotero.org/users/3945180/items/J4NJHN3Z"],"uri":["http://zotero.org/users/3945180/items/J4NJHN3Z"],"itemData":{"id":180,"type":"webpage","container-title":"Хабр","language":"ru","title":"Эволюция архитектуры торгово-клиринговой системы Московской биржи. Часть 1","URL":"https://habr.com/ru/company/moex/blog/444300/","author":[{"family":"Блог компании Московская Биржа","given":""}],"issued":{"date-parts":[["2019"]]}}}],"schema":"https://github.com/citation-style-language/schema/raw/master/csl-citation.json"} </w:instrText>
      </w:r>
      <w:r w:rsidR="00E27BE2">
        <w:fldChar w:fldCharType="separate"/>
      </w:r>
      <w:r w:rsidR="007576F9" w:rsidRPr="007576F9">
        <w:t>(Блог компании Московская Биржа, 2019)</w:t>
      </w:r>
      <w:r w:rsidR="00E27BE2">
        <w:fldChar w:fldCharType="end"/>
      </w:r>
      <w:r>
        <w:t>. Данная статистика относится к 2012 году, за 8 лет картина существенно изменилась – роботы стали оказывать</w:t>
      </w:r>
      <w:r w:rsidR="003F618A">
        <w:t xml:space="preserve"> еще более</w:t>
      </w:r>
      <w:r>
        <w:t xml:space="preserve"> существенное влияние на рынок. Согласно данным Банка России, на данный момент на российском рынке 30-50% объема торгов генерируется именно такими участниками.</w:t>
      </w:r>
    </w:p>
    <w:p w:rsidR="00200BD5" w:rsidRPr="003F618A" w:rsidRDefault="00FB6C4E" w:rsidP="003F618A">
      <w:pPr>
        <w:rPr>
          <w:highlight w:val="yellow"/>
        </w:rPr>
      </w:pPr>
      <w:r>
        <w:t>За счет появления на рынке новых участников увеличивается дневной оборот торгов и скорость торговли, изменяется ликвидность и ее составляющие</w:t>
      </w:r>
      <w:r w:rsidR="00815075">
        <w:rPr>
          <w:noProof/>
        </w:rPr>
        <w:t xml:space="preserve"> </w:t>
      </w:r>
      <w:r w:rsidR="00815075">
        <w:rPr>
          <w:noProof/>
        </w:rPr>
        <w:fldChar w:fldCharType="begin"/>
      </w:r>
      <w:r w:rsidR="003A00DB">
        <w:rPr>
          <w:noProof/>
        </w:rPr>
        <w:instrText xml:space="preserve"> ADDIN ZOTERO_ITEM CSL_CITATION {"citationID":"islE3O0y","properties":{"formattedCitation":"(Naumenko, 2015)","plainCitation":"(Naumenko, 2015)","noteIndex":0},"citationItems":[{"id":179,"uris":["http://zotero.org/users/3945180/items/NBWX7NG2"],"uri":["http://zotero.org/users/3945180/items/NBWX7NG2"],"itemData":{"id":179,"type":"chapter","abstract":"The aim of this paper is to consider some problems with evaluation of the impact of high frequency trading on market liquidity. The ﬁrst part is devoted to difﬁculties of disentangling the impact of high frequency on market liquidity from other relevant factors. The remainder of the paper is intended to discuss some issues affecting the evaluation of the inﬂuence of high frequency trading on particular aspects of market liquidity.","container-title":"Financial Econometrics and Empirical Market Microstructure","event-place":"Cham","language":"en","page":"215-223","publisher":"Springer International Publishing","publisher-place":"Cham","title":"Raising Issues About Impact of High Frequency Trading on Market Liquidity","editor":[{"family":"Bera","given":"Anil K."},{"family":"Ivliev","given":"Sergey"},{"family":"Lillo","given":"Fabrizio"}],"author":[{"family":"Naumenko","given":"Vladimir"}],"accessed":{"date-parts":[["2020",4,1]]},"issued":{"date-parts":[["2015"]]}}}],"schema":"https://github.com/citation-style-language/schema/raw/master/csl-citation.json"} </w:instrText>
      </w:r>
      <w:r w:rsidR="00815075">
        <w:rPr>
          <w:noProof/>
        </w:rPr>
        <w:fldChar w:fldCharType="separate"/>
      </w:r>
      <w:r w:rsidR="00815075">
        <w:rPr>
          <w:noProof/>
        </w:rPr>
        <w:t>(Naumenko, 2015)</w:t>
      </w:r>
      <w:r w:rsidR="00815075">
        <w:rPr>
          <w:noProof/>
        </w:rPr>
        <w:fldChar w:fldCharType="end"/>
      </w:r>
      <w:r>
        <w:t xml:space="preserve">. </w:t>
      </w:r>
      <w:r w:rsidR="003F618A">
        <w:t>Р</w:t>
      </w:r>
      <w:r w:rsidR="00A15B6B" w:rsidRPr="00546FE4">
        <w:t xml:space="preserve">оботы </w:t>
      </w:r>
      <w:r w:rsidR="00546FE4" w:rsidRPr="00546FE4">
        <w:t xml:space="preserve">позволяют </w:t>
      </w:r>
      <w:r w:rsidR="00A15B6B" w:rsidRPr="00546FE4">
        <w:t>реализовать сложные схемы анализа текущей торговой ситуации</w:t>
      </w:r>
      <w:r w:rsidR="00546FE4" w:rsidRPr="00546FE4">
        <w:t xml:space="preserve"> с возможностью ее постоянной оптимизации</w:t>
      </w:r>
      <w:r w:rsidR="00A15B6B" w:rsidRPr="00546FE4">
        <w:t xml:space="preserve">. </w:t>
      </w:r>
      <w:r w:rsidR="00200BD5">
        <w:t xml:space="preserve">Алгоритм производит постоянную оценку состояния рынка и, </w:t>
      </w:r>
      <w:proofErr w:type="spellStart"/>
      <w:r w:rsidR="00802F86">
        <w:t>минимизируя</w:t>
      </w:r>
      <w:proofErr w:type="spellEnd"/>
      <w:r w:rsidR="00802F86">
        <w:t xml:space="preserve"> риски и издержки исполнения ордера</w:t>
      </w:r>
      <w:r w:rsidR="00200BD5">
        <w:t>, определяет оптимальную стратегию ликвидации позиции.</w:t>
      </w:r>
    </w:p>
    <w:p w:rsidR="00DE796F" w:rsidRDefault="00A318A1" w:rsidP="004A051A">
      <w:r>
        <w:t xml:space="preserve">Участие в такой торговле </w:t>
      </w:r>
      <w:r w:rsidR="00200BD5">
        <w:t>требует значительных материальных вложений</w:t>
      </w:r>
      <w:r>
        <w:t>. Подразумеваются не только первоначальные инвести</w:t>
      </w:r>
      <w:r w:rsidR="004A051A">
        <w:t>ции в виде разработки алгоритма</w:t>
      </w:r>
      <w:r>
        <w:t xml:space="preserve"> или установки мощных серверов, но и инвестиции на поддержание актуальности торговой стратегии. </w:t>
      </w:r>
      <w:r w:rsidR="004A051A">
        <w:t xml:space="preserve">Последнее наиболее </w:t>
      </w:r>
      <w:proofErr w:type="spellStart"/>
      <w:r w:rsidR="004A051A">
        <w:t>затратно</w:t>
      </w:r>
      <w:proofErr w:type="spellEnd"/>
      <w:r w:rsidR="004A051A">
        <w:t>, поскольку в данной области наблюдается высокий уровень конкуренции, что требует от участников постоянного совершенствования торговых алгоритмов.</w:t>
      </w:r>
      <w:r w:rsidR="00CE7003">
        <w:t xml:space="preserve"> Кроме того, некоторые участники торгов для обеспечения более высокой скорости обработки своих заявок</w:t>
      </w:r>
      <w:r w:rsidR="00DE796F">
        <w:t xml:space="preserve"> арендуют место для</w:t>
      </w:r>
      <w:r w:rsidR="00CE7003">
        <w:t xml:space="preserve"> уста</w:t>
      </w:r>
      <w:r w:rsidR="00DE796F">
        <w:t>новки</w:t>
      </w:r>
      <w:r w:rsidR="00CE7003">
        <w:t xml:space="preserve"> сервер</w:t>
      </w:r>
      <w:r w:rsidR="00DE796F">
        <w:t>ов</w:t>
      </w:r>
      <w:r w:rsidR="00CE7003">
        <w:t xml:space="preserve"> в офисе </w:t>
      </w:r>
      <w:r w:rsidR="00DE796F">
        <w:t>М</w:t>
      </w:r>
      <w:r w:rsidR="00CE7003">
        <w:t>оск</w:t>
      </w:r>
      <w:r w:rsidR="00DE796F">
        <w:t>о</w:t>
      </w:r>
      <w:r w:rsidR="00CE7003">
        <w:t xml:space="preserve">вской </w:t>
      </w:r>
      <w:r w:rsidR="00DE796F">
        <w:t>Биржи.</w:t>
      </w:r>
      <w:r w:rsidR="004A051A">
        <w:t xml:space="preserve"> Высокие барьеры входа являю</w:t>
      </w:r>
      <w:r>
        <w:t>тся причиной, почему данный тип торговли дост</w:t>
      </w:r>
      <w:r w:rsidR="004A051A">
        <w:t>упен только крупным участникам.</w:t>
      </w:r>
    </w:p>
    <w:p w:rsidR="00A318A1" w:rsidRPr="0040797A" w:rsidRDefault="004A051A" w:rsidP="004A051A">
      <w:r>
        <w:t>С целью снижения конкуренции между торговыми алгоритмами</w:t>
      </w:r>
      <w:r w:rsidR="00A318A1">
        <w:t xml:space="preserve"> 29 апреля 2019 года для валютной пары </w:t>
      </w:r>
      <w:r w:rsidR="00A318A1">
        <w:rPr>
          <w:lang w:val="en-US"/>
        </w:rPr>
        <w:t>USDRUB</w:t>
      </w:r>
      <w:r w:rsidR="00A318A1" w:rsidRPr="008E2EDB">
        <w:t xml:space="preserve"> </w:t>
      </w:r>
      <w:r w:rsidR="00A318A1">
        <w:t>с режимом расчета «сегодня» ММВБ анонсировала запуск экспериментального стакана</w:t>
      </w:r>
      <w:r w:rsidR="006137BD">
        <w:t xml:space="preserve"> </w:t>
      </w:r>
      <w:r w:rsidR="006137BD">
        <w:fldChar w:fldCharType="begin"/>
      </w:r>
      <w:r w:rsidR="0040797A">
        <w:instrText xml:space="preserve"> ADDIN ZOTERO_ITEM CSL_CITATION {"citationID":"Knt5AGWE","properties":{"formattedCitation":"(\\uc0\\u1052{}\\uc0\\u1086{}\\uc0\\u1089{}\\uc0\\u1082{}\\uc0\\u1086{}\\uc0\\u1074{}\\uc0\\u1089{}\\uc0\\u1082{}\\uc0\\u1072{}\\uc0\\u1103{} \\uc0\\u1041{}\\uc0\\u1080{}\\uc0\\u1088{}\\uc0\\u1078{}\\uc0\\u1072{}, 2019)","plainCitation":"(Московская Биржа, 2019)","noteIndex":0},"citationItems":[{"id":183,"uris":["http://zotero.org/users/3945180/items/SGSCY8KT"],"uri":["http://zotero.org/users/3945180/items/SGSCY8KT"],"itemData":{"id":183,"type":"webpage","container-title":"Московская Биржа","language":"ru","title":"Московская биржа объявляет финансовые результаты за первый квартал 2019 года","title-short":"Московская Биржа","URL":"https://www.moex.com/n23633/?nt=106","author":[{"family":"Московская Биржа","given":""}],"accessed":{"date-parts":[["2020",4,1]]},"issued":{"date-parts":[["2019"]]}}}],"schema":"https://github.com/citation-style-language/schema/raw/master/csl-citation.json"} </w:instrText>
      </w:r>
      <w:r w:rsidR="006137BD">
        <w:fldChar w:fldCharType="separate"/>
      </w:r>
      <w:r w:rsidR="0040797A" w:rsidRPr="0040797A">
        <w:t>(Московская Биржа, 2019)</w:t>
      </w:r>
      <w:r w:rsidR="006137BD">
        <w:fldChar w:fldCharType="end"/>
      </w:r>
      <w:r w:rsidR="006137BD">
        <w:t xml:space="preserve">, </w:t>
      </w:r>
      <w:r w:rsidR="00A318A1">
        <w:t>который предусматривает создание временного буфера длительностью от 2 до 5 миллисекунд, в рамках которого все заявки перемешиваются, после чего исполняются в произвольном порядке. Такой способ обработки заявок нарушает основной принцип, согласно которому, чем раньше заявка выставляется, тем раньше она исполняется. Эффективность текущих торговых алгоритмов на таком рынке снижается</w:t>
      </w:r>
      <w:r>
        <w:t>, поскольку появляется момент случайности</w:t>
      </w:r>
      <w:r w:rsidR="00A318A1">
        <w:t xml:space="preserve">. Это позволяет </w:t>
      </w:r>
      <w:r w:rsidR="00A318A1">
        <w:lastRenderedPageBreak/>
        <w:t xml:space="preserve">ослабить уровень конкуренции со стороны </w:t>
      </w:r>
      <w:r w:rsidR="00A318A1">
        <w:rPr>
          <w:lang w:val="en-US"/>
        </w:rPr>
        <w:t>HFT</w:t>
      </w:r>
      <w:r w:rsidR="00A318A1" w:rsidRPr="00D60D30">
        <w:t xml:space="preserve"> </w:t>
      </w:r>
      <w:r w:rsidR="00A318A1">
        <w:t xml:space="preserve">и дать больше возможностей </w:t>
      </w:r>
      <w:r w:rsidR="00DE796F">
        <w:t>более мелким участникам</w:t>
      </w:r>
      <w:r w:rsidR="00A318A1">
        <w:t xml:space="preserve"> клиентам. </w:t>
      </w:r>
    </w:p>
    <w:p w:rsidR="00940DD0" w:rsidRPr="00C67677" w:rsidRDefault="00200BD5" w:rsidP="00C67677">
      <w:r>
        <w:t>С точки зрения скрытой ликвидности,</w:t>
      </w:r>
      <w:r w:rsidR="00AB5DBF">
        <w:t xml:space="preserve"> как уже отмечалось ранее,</w:t>
      </w:r>
      <w:r>
        <w:t xml:space="preserve"> торговые алгоритмы обеспечивают </w:t>
      </w:r>
      <w:r w:rsidR="001900B9">
        <w:t xml:space="preserve">постоянное </w:t>
      </w:r>
      <w:r>
        <w:t>существование на рынке большого объема скрытой ликвидности.</w:t>
      </w:r>
      <w:r w:rsidR="0051505F">
        <w:t xml:space="preserve"> П</w:t>
      </w:r>
      <w:r>
        <w:t xml:space="preserve">роизведение оценки </w:t>
      </w:r>
      <w:r w:rsidR="001900B9">
        <w:t>этого</w:t>
      </w:r>
      <w:r>
        <w:t xml:space="preserve"> объема не представляется возможным из-за инди</w:t>
      </w:r>
      <w:r w:rsidR="001900B9">
        <w:t>видуаль</w:t>
      </w:r>
      <w:r w:rsidR="0051505F">
        <w:t>ной настройки каждого алгоритма.</w:t>
      </w:r>
      <w:r w:rsidR="00940DD0">
        <w:br w:type="page"/>
      </w:r>
    </w:p>
    <w:p w:rsidR="00283B18" w:rsidRPr="00283B18" w:rsidRDefault="00991E26" w:rsidP="00283B18">
      <w:pPr>
        <w:pStyle w:val="1"/>
      </w:pPr>
      <w:bookmarkStart w:id="6" w:name="_Toc38914808"/>
      <w:r>
        <w:lastRenderedPageBreak/>
        <w:t>Данные и м</w:t>
      </w:r>
      <w:r w:rsidR="002524B5">
        <w:t>етодология</w:t>
      </w:r>
      <w:bookmarkEnd w:id="6"/>
    </w:p>
    <w:p w:rsidR="002524B5" w:rsidRDefault="00991E26" w:rsidP="00FE0E44">
      <w:pPr>
        <w:pStyle w:val="2"/>
      </w:pPr>
      <w:bookmarkStart w:id="7" w:name="_Toc38914809"/>
      <w:r>
        <w:t>Д</w:t>
      </w:r>
      <w:r w:rsidR="002524B5">
        <w:t>анны</w:t>
      </w:r>
      <w:r>
        <w:t>е</w:t>
      </w:r>
      <w:bookmarkEnd w:id="7"/>
    </w:p>
    <w:p w:rsidR="00ED3D50" w:rsidRDefault="006D7A87" w:rsidP="00ED3D50">
      <w:pPr>
        <w:pStyle w:val="3"/>
      </w:pPr>
      <w:r>
        <w:t>Правила торгов</w:t>
      </w:r>
    </w:p>
    <w:p w:rsidR="00BB5DC1" w:rsidRDefault="00016008" w:rsidP="00ED4780">
      <w:r>
        <w:t xml:space="preserve">В </w:t>
      </w:r>
      <w:r w:rsidR="00D42015">
        <w:t>рамках</w:t>
      </w:r>
      <w:r>
        <w:t xml:space="preserve"> данной работы </w:t>
      </w:r>
      <w:r w:rsidR="006876F5">
        <w:t xml:space="preserve">рассматриваются </w:t>
      </w:r>
      <w:r>
        <w:t>данные по фондовому рынку</w:t>
      </w:r>
      <w:r w:rsidR="00D216C5">
        <w:t xml:space="preserve"> Московской Биржи</w:t>
      </w:r>
      <w:r>
        <w:t xml:space="preserve"> за </w:t>
      </w:r>
      <w:r w:rsidRPr="00762E25">
        <w:t>период 01.03.2019 – 29.03.2019</w:t>
      </w:r>
      <w:r w:rsidR="00D216C5" w:rsidRPr="00762E25">
        <w:t>, всего 20 торговых дней</w:t>
      </w:r>
      <w:r w:rsidR="00D216C5">
        <w:t>. В файлах содержатся данные по инструментам, торгующимся в основн</w:t>
      </w:r>
      <w:r w:rsidR="004B641E">
        <w:t>ом</w:t>
      </w:r>
      <w:r w:rsidR="00A45681">
        <w:t xml:space="preserve"> безадресн</w:t>
      </w:r>
      <w:r w:rsidR="004B641E">
        <w:t>ом</w:t>
      </w:r>
      <w:r w:rsidR="00D216C5">
        <w:t xml:space="preserve"> режим</w:t>
      </w:r>
      <w:r w:rsidR="004B641E">
        <w:t>е</w:t>
      </w:r>
      <w:r w:rsidR="00D216C5">
        <w:t xml:space="preserve"> </w:t>
      </w:r>
      <w:r w:rsidR="00ED4780">
        <w:rPr>
          <w:lang w:val="en-US"/>
        </w:rPr>
        <w:t>T</w:t>
      </w:r>
      <w:r w:rsidR="00ED4780" w:rsidRPr="00ED4780">
        <w:t xml:space="preserve">+ </w:t>
      </w:r>
      <w:r w:rsidR="00ED4780" w:rsidRPr="00D2207A">
        <w:t>с возможностью анонимного выставления лимитных</w:t>
      </w:r>
      <w:r w:rsidR="00ED4780">
        <w:t>,</w:t>
      </w:r>
      <w:r w:rsidR="00ED4780" w:rsidRPr="00D2207A">
        <w:t xml:space="preserve"> рыночных</w:t>
      </w:r>
      <w:r w:rsidR="00ED4780">
        <w:t xml:space="preserve"> и айсберг-</w:t>
      </w:r>
      <w:r w:rsidR="00ED4780" w:rsidRPr="00D2207A">
        <w:t>заявок в зависимости от периода сессии</w:t>
      </w:r>
      <w:r w:rsidR="00A45681">
        <w:t xml:space="preserve">. </w:t>
      </w:r>
      <w:r w:rsidR="002F75AF">
        <w:t xml:space="preserve">Безадресный режим подразумевает отсутствие </w:t>
      </w:r>
      <w:r w:rsidR="00BB5DC1">
        <w:t xml:space="preserve">у участников </w:t>
      </w:r>
      <w:r w:rsidR="002F75AF">
        <w:t>информации</w:t>
      </w:r>
      <w:r w:rsidR="00BB5DC1">
        <w:t xml:space="preserve"> об их контрагентах. Кроме того, Московская Биржа предоставляет своим участникам информацию только о 10 лучших уровнях цен с обеих сторон. Полная глубина книги заявок участникам недоступна.</w:t>
      </w:r>
    </w:p>
    <w:p w:rsidR="009E1608" w:rsidRPr="009A6400" w:rsidRDefault="00A45681" w:rsidP="008330F8">
      <w:r>
        <w:t>Все инструменты</w:t>
      </w:r>
      <w:r w:rsidR="00BB5DC1">
        <w:t xml:space="preserve"> данного режима</w:t>
      </w:r>
      <w:r>
        <w:t xml:space="preserve"> можно условно разделить на три группы: обыкновенные акции, привилегированные акции и облигации (государственные</w:t>
      </w:r>
      <w:r w:rsidR="006876F5">
        <w:t>, в том числе муниципальные,</w:t>
      </w:r>
      <w:r>
        <w:t xml:space="preserve"> и корпоративные). При этом, </w:t>
      </w:r>
      <w:r w:rsidR="009E1608">
        <w:t xml:space="preserve">в рамках данной работы </w:t>
      </w:r>
      <w:r w:rsidR="008330F8">
        <w:t>будут рассма</w:t>
      </w:r>
      <w:r w:rsidR="006876F5">
        <w:t>т</w:t>
      </w:r>
      <w:r w:rsidR="008330F8">
        <w:t xml:space="preserve">риваться </w:t>
      </w:r>
      <w:r w:rsidR="00762E25">
        <w:t>инструменты, относящиеся к первой группе</w:t>
      </w:r>
      <w:r w:rsidR="009E1608">
        <w:t>.</w:t>
      </w:r>
      <w:r w:rsidR="008330F8">
        <w:t xml:space="preserve"> </w:t>
      </w:r>
      <w:r w:rsidR="009E1608" w:rsidRPr="009A6400">
        <w:t xml:space="preserve">В соответствии </w:t>
      </w:r>
      <w:r w:rsidR="00E903B8" w:rsidRPr="009A6400">
        <w:t>списком ценных бумаг, допущенным к торгам по состоянию на 29.03.2019</w:t>
      </w:r>
      <w:r w:rsidR="0076660A" w:rsidRPr="009A6400">
        <w:t xml:space="preserve"> по данным Московской Биржи</w:t>
      </w:r>
      <w:r w:rsidR="009E1608" w:rsidRPr="009A6400">
        <w:t>, в рассматриваемом периоде активными были следующие инструменты</w:t>
      </w:r>
      <w:r w:rsidR="00A677D9" w:rsidRPr="009A6400">
        <w:t xml:space="preserve"> </w:t>
      </w:r>
      <w:r w:rsidR="00A35862" w:rsidRPr="009A6400">
        <w:fldChar w:fldCharType="begin"/>
      </w:r>
      <w:r w:rsidR="0091382E" w:rsidRPr="009A6400">
        <w:instrText xml:space="preserve"> ADDIN ZOTERO_ITEM CSL_CITATION {"citationID":"YQMtqjuM","properties":{"formattedCitation":"(\\uc0\\u1052{}\\uc0\\u1086{}\\uc0\\u1089{}\\uc0\\u1082{}\\uc0\\u1086{}\\uc0\\u1074{}\\uc0\\u1089{}\\uc0\\u1082{}\\uc0\\u1072{}\\uc0\\u1103{} \\uc0\\u1041{}\\uc0\\u1080{}\\uc0\\u1088{}\\uc0\\u1078{}\\uc0\\u1072{}, 2020b)","plainCitation":"(Московская Биржа, 2020b)","noteIndex":0},"citationItems":[{"id":184,"uris":["http://zotero.org/users/3945180/items/UQCIT5WM"],"uri":["http://zotero.org/users/3945180/items/UQCIT5WM"],"itemData":{"id":184,"type":"webpage","container-title":"Московская Биржа","language":"ru","title":"Список торгуемых инструментов","URL":"https://www.moex.com/a1600","author":[{"family":"Московская Биржа","given":""}],"accessed":{"date-parts":[["2020",4,1]]},"issued":{"date-parts":[["2020",3,1]]}}}],"schema":"https://github.com/citation-style-language/schema/raw/master/csl-citation.json"} </w:instrText>
      </w:r>
      <w:r w:rsidR="00A35862" w:rsidRPr="009A6400">
        <w:fldChar w:fldCharType="separate"/>
      </w:r>
      <w:r w:rsidR="0091382E" w:rsidRPr="009A6400">
        <w:t>(Московская Биржа, 2020b)</w:t>
      </w:r>
      <w:r w:rsidR="00A35862" w:rsidRPr="009A6400">
        <w:fldChar w:fldCharType="end"/>
      </w:r>
      <w:r w:rsidR="009E1608" w:rsidRPr="009A6400">
        <w:t>:</w:t>
      </w:r>
    </w:p>
    <w:p w:rsidR="0076660A" w:rsidRPr="009A6400" w:rsidRDefault="0076660A" w:rsidP="008F7BC5">
      <w:pPr>
        <w:pStyle w:val="ac"/>
        <w:numPr>
          <w:ilvl w:val="0"/>
          <w:numId w:val="4"/>
        </w:numPr>
      </w:pPr>
      <w:r w:rsidRPr="009A6400">
        <w:t xml:space="preserve">Обыкновенные акции – </w:t>
      </w:r>
      <w:r w:rsidR="00445B59" w:rsidRPr="009A6400">
        <w:t>219 штук;</w:t>
      </w:r>
    </w:p>
    <w:p w:rsidR="0076660A" w:rsidRPr="009A6400" w:rsidRDefault="0076660A" w:rsidP="008F7BC5">
      <w:pPr>
        <w:pStyle w:val="ac"/>
        <w:numPr>
          <w:ilvl w:val="0"/>
          <w:numId w:val="4"/>
        </w:numPr>
      </w:pPr>
      <w:r w:rsidRPr="009A6400">
        <w:t xml:space="preserve">Привилегированные акции – </w:t>
      </w:r>
      <w:r w:rsidR="00445B59" w:rsidRPr="009A6400">
        <w:t>55 штук;</w:t>
      </w:r>
    </w:p>
    <w:p w:rsidR="009E1608" w:rsidRPr="009A6400" w:rsidRDefault="0076660A" w:rsidP="008F7BC5">
      <w:pPr>
        <w:pStyle w:val="ac"/>
        <w:numPr>
          <w:ilvl w:val="0"/>
          <w:numId w:val="4"/>
        </w:numPr>
      </w:pPr>
      <w:r w:rsidRPr="009A6400">
        <w:t xml:space="preserve">Облигации – </w:t>
      </w:r>
      <w:r w:rsidR="00445B59" w:rsidRPr="009A6400">
        <w:t>1394 штук.</w:t>
      </w:r>
    </w:p>
    <w:p w:rsidR="001E30A2" w:rsidRDefault="00792F3E" w:rsidP="00A65BB4">
      <w:r>
        <w:t>В</w:t>
      </w:r>
      <w:r w:rsidR="009B776B" w:rsidRPr="00D2207A">
        <w:t xml:space="preserve"> рамках торгов на фондовом рынке торговая сессия делится на три периода</w:t>
      </w:r>
      <w:r w:rsidR="00332FDD" w:rsidRPr="00D2207A">
        <w:t xml:space="preserve">: </w:t>
      </w:r>
      <w:proofErr w:type="spellStart"/>
      <w:r w:rsidR="00332FDD" w:rsidRPr="00D2207A">
        <w:t>предторговый</w:t>
      </w:r>
      <w:proofErr w:type="spellEnd"/>
      <w:r w:rsidR="00332FDD" w:rsidRPr="00D2207A">
        <w:t xml:space="preserve">, торговый, </w:t>
      </w:r>
      <w:proofErr w:type="spellStart"/>
      <w:r w:rsidR="00332FDD" w:rsidRPr="00D2207A">
        <w:t>послеторговый</w:t>
      </w:r>
      <w:proofErr w:type="spellEnd"/>
      <w:r w:rsidR="00332FDD" w:rsidRPr="00D2207A">
        <w:t xml:space="preserve">. В рамках </w:t>
      </w:r>
      <w:proofErr w:type="spellStart"/>
      <w:r w:rsidR="00332FDD" w:rsidRPr="00D2207A">
        <w:t>предторгового</w:t>
      </w:r>
      <w:proofErr w:type="spellEnd"/>
      <w:r w:rsidR="00332FDD" w:rsidRPr="00D2207A">
        <w:t xml:space="preserve"> периода проводится аукцион открытия</w:t>
      </w:r>
      <w:r w:rsidR="006A2575" w:rsidRPr="00D2207A">
        <w:t>,</w:t>
      </w:r>
      <w:r w:rsidR="00070A2B" w:rsidRPr="00D2207A">
        <w:t xml:space="preserve"> </w:t>
      </w:r>
      <w:r w:rsidR="002D184D">
        <w:t xml:space="preserve">основная цель которого – снижение </w:t>
      </w:r>
      <w:r w:rsidR="00070A2B" w:rsidRPr="00D2207A">
        <w:t>вероятност</w:t>
      </w:r>
      <w:r w:rsidR="00AA3BDD">
        <w:t>и</w:t>
      </w:r>
      <w:r w:rsidR="00070A2B" w:rsidRPr="00D2207A">
        <w:t xml:space="preserve"> манипулирования ценой открытия актива. </w:t>
      </w:r>
      <w:r w:rsidR="001E30A2">
        <w:t>В период проведения аукциона открытия в систему подаются заявки следующих типов</w:t>
      </w:r>
      <w:r w:rsidR="00A32EDF">
        <w:t xml:space="preserve"> </w:t>
      </w:r>
      <w:r w:rsidR="00A32EDF">
        <w:fldChar w:fldCharType="begin"/>
      </w:r>
      <w:r w:rsidR="00651EA5">
        <w:instrText xml:space="preserve"> ADDIN ZOTERO_ITEM CSL_CITATION {"citationID":"HoZnd5H2","properties":{"formattedCitation":"(\\uc0\\u1052{}\\uc0\\u1086{}\\uc0\\u1089{}\\uc0\\u1082{}\\uc0\\u1086{}\\uc0\\u1074{}\\uc0\\u1089{}\\uc0\\u1082{}\\uc0\\u1072{}\\uc0\\u1103{} \\uc0\\u1041{}\\uc0\\u1080{}\\uc0\\u1088{}\\uc0\\u1078{}\\uc0\\u1072{}, 2016)","plainCitation":"(Московская Биржа, 2016)","noteIndex":0},"citationItems":[{"id":195,"uris":["http://zotero.org/users/3945180/items/3MB84VNX"],"uri":["http://zotero.org/users/3945180/items/3MB84VNX"],"itemData":{"id":195,"type":"article","language":"ru","title":"Правила проведения торгов в Закрытом акционерном обществе \"Фондовая биржа ММВБ\". Часть 2. Секция фондового рынка","author":[{"literal":"Московская Биржа"}],"issued":{"date-parts":[["2016",4,25]]}}}],"schema":"https://github.com/citation-style-language/schema/raw/master/csl-citation.json"} </w:instrText>
      </w:r>
      <w:r w:rsidR="00A32EDF">
        <w:fldChar w:fldCharType="separate"/>
      </w:r>
      <w:r w:rsidR="00651EA5" w:rsidRPr="00651EA5">
        <w:t>(Московская Биржа, 2016)</w:t>
      </w:r>
      <w:r w:rsidR="00A32EDF">
        <w:fldChar w:fldCharType="end"/>
      </w:r>
      <w:r w:rsidR="001E30A2">
        <w:t>:</w:t>
      </w:r>
    </w:p>
    <w:p w:rsidR="001E30A2" w:rsidRDefault="001E30A2" w:rsidP="008F7BC5">
      <w:pPr>
        <w:pStyle w:val="ac"/>
        <w:numPr>
          <w:ilvl w:val="0"/>
          <w:numId w:val="11"/>
        </w:numPr>
      </w:pPr>
      <w:r>
        <w:t>Рыночные заявки;</w:t>
      </w:r>
    </w:p>
    <w:p w:rsidR="001E30A2" w:rsidRDefault="001E30A2" w:rsidP="008F7BC5">
      <w:pPr>
        <w:pStyle w:val="ac"/>
        <w:numPr>
          <w:ilvl w:val="0"/>
          <w:numId w:val="11"/>
        </w:numPr>
      </w:pPr>
      <w:r>
        <w:t>Лимитные заявки (кроме айсберг-заявок);</w:t>
      </w:r>
    </w:p>
    <w:p w:rsidR="001E30A2" w:rsidRDefault="001E30A2" w:rsidP="008F7BC5">
      <w:pPr>
        <w:pStyle w:val="ac"/>
        <w:numPr>
          <w:ilvl w:val="0"/>
          <w:numId w:val="11"/>
        </w:numPr>
      </w:pPr>
      <w:r>
        <w:t>Рыночные заявки (АЗ);</w:t>
      </w:r>
    </w:p>
    <w:p w:rsidR="001E30A2" w:rsidRDefault="001E30A2" w:rsidP="008F7BC5">
      <w:pPr>
        <w:pStyle w:val="ac"/>
        <w:numPr>
          <w:ilvl w:val="0"/>
          <w:numId w:val="11"/>
        </w:numPr>
      </w:pPr>
      <w:r>
        <w:t>Лимитные заявки (АЗ).</w:t>
      </w:r>
    </w:p>
    <w:p w:rsidR="00A32EDF" w:rsidRDefault="00A32EDF" w:rsidP="001E30A2">
      <w:r w:rsidRPr="00D2207A">
        <w:t xml:space="preserve">Аукцион открытия состоит из трех этапов. Первый этап – период сбора заявок, когда участники подают в систему только лимитные заявки. В стаканах </w:t>
      </w:r>
      <w:r w:rsidRPr="00D2207A">
        <w:rPr>
          <w:lang w:val="en-US"/>
        </w:rPr>
        <w:t>T</w:t>
      </w:r>
      <w:r w:rsidRPr="00D2207A">
        <w:t xml:space="preserve">+1 и </w:t>
      </w:r>
      <w:r w:rsidRPr="00D2207A">
        <w:rPr>
          <w:lang w:val="en-US"/>
        </w:rPr>
        <w:t>T</w:t>
      </w:r>
      <w:r w:rsidRPr="00D2207A">
        <w:t>+2 данный этап длится с 9:50:00 до 9:59:30.</w:t>
      </w:r>
      <w:r w:rsidRPr="00A32EDF">
        <w:t xml:space="preserve"> </w:t>
      </w:r>
      <w:r w:rsidRPr="00D2207A">
        <w:t xml:space="preserve">Второй этап – фаза случайного завершения аукциона, когда для каждой ценной бумаги случайным образом определяется время завершения аукциона. </w:t>
      </w:r>
      <w:r w:rsidRPr="00D2207A">
        <w:lastRenderedPageBreak/>
        <w:t>Данный этап длится начинается в 9:59:31 и завершается в любое время до 9:59:59. Третий этап – определение цены аукциона открытия в разрезе каждого инструмента и заключение сделок по соответствующей цене. Данный этап длится одну секунду и начинается на последней секунде фазы случайного завершения аукциона открытия.</w:t>
      </w:r>
      <w:r>
        <w:t xml:space="preserve"> В определении цены аукциона участвуют только </w:t>
      </w:r>
      <w:r w:rsidR="004D2ECD">
        <w:t>рыночные и лимитные заявки.</w:t>
      </w:r>
      <w:r w:rsidR="00A21B1D">
        <w:t xml:space="preserve"> Заявки типов рыночные (АЗ) и лимитные (АЗ) участвуют только в аукционе закрытия.</w:t>
      </w:r>
    </w:p>
    <w:p w:rsidR="004D2ECD" w:rsidRDefault="00A65BB4" w:rsidP="001E30A2">
      <w:r w:rsidRPr="00D2207A">
        <w:t>Торговый период</w:t>
      </w:r>
      <w:r w:rsidR="0045072A" w:rsidRPr="00D2207A">
        <w:t xml:space="preserve"> </w:t>
      </w:r>
      <w:r w:rsidR="00AA4C14" w:rsidRPr="00D2207A">
        <w:t>проводится в формате открытого непрерывного двустороннего аукциона</w:t>
      </w:r>
      <w:r w:rsidR="0091382E">
        <w:t xml:space="preserve">, </w:t>
      </w:r>
      <w:r w:rsidR="001C0D5D" w:rsidRPr="00D2207A">
        <w:t>в рамках которого у участников есть возможность подавать</w:t>
      </w:r>
      <w:r w:rsidR="004D2ECD">
        <w:t xml:space="preserve"> следующие типы заявок:</w:t>
      </w:r>
    </w:p>
    <w:p w:rsidR="004D2ECD" w:rsidRDefault="004D2ECD" w:rsidP="008F7BC5">
      <w:pPr>
        <w:pStyle w:val="ac"/>
        <w:numPr>
          <w:ilvl w:val="0"/>
          <w:numId w:val="12"/>
        </w:numPr>
      </w:pPr>
      <w:r>
        <w:t>Рыночные заявки;</w:t>
      </w:r>
    </w:p>
    <w:p w:rsidR="004D2ECD" w:rsidRDefault="004D2ECD" w:rsidP="008F7BC5">
      <w:pPr>
        <w:pStyle w:val="ac"/>
        <w:numPr>
          <w:ilvl w:val="0"/>
          <w:numId w:val="12"/>
        </w:numPr>
      </w:pPr>
      <w:r>
        <w:t>Лимитные заявки (в том числе айсберг-заявки);</w:t>
      </w:r>
    </w:p>
    <w:p w:rsidR="004D2ECD" w:rsidRDefault="004D2ECD" w:rsidP="008F7BC5">
      <w:pPr>
        <w:pStyle w:val="ac"/>
        <w:numPr>
          <w:ilvl w:val="0"/>
          <w:numId w:val="12"/>
        </w:numPr>
      </w:pPr>
      <w:r>
        <w:t>Рыночные заявки (АЗ);</w:t>
      </w:r>
    </w:p>
    <w:p w:rsidR="004D2ECD" w:rsidRDefault="004D2ECD" w:rsidP="008F7BC5">
      <w:pPr>
        <w:pStyle w:val="ac"/>
        <w:numPr>
          <w:ilvl w:val="0"/>
          <w:numId w:val="12"/>
        </w:numPr>
      </w:pPr>
      <w:r>
        <w:t>Лимитные заявки (АЗ).</w:t>
      </w:r>
    </w:p>
    <w:p w:rsidR="00A67683" w:rsidRDefault="001C0D5D" w:rsidP="00A67683">
      <w:r w:rsidRPr="00D2207A">
        <w:t xml:space="preserve">Данный период длится </w:t>
      </w:r>
      <w:r w:rsidR="00552CC2" w:rsidRPr="00D2207A">
        <w:t>с 10:00:00 до 18:39:59.</w:t>
      </w:r>
      <w:r w:rsidRPr="00D2207A">
        <w:t xml:space="preserve"> </w:t>
      </w:r>
      <w:r w:rsidR="00A67683">
        <w:t>Очередность исполнения заявок торгового периода определяется на основании следующих правил:</w:t>
      </w:r>
    </w:p>
    <w:p w:rsidR="00A67683" w:rsidRDefault="00A67683" w:rsidP="008F7BC5">
      <w:pPr>
        <w:pStyle w:val="ac"/>
        <w:numPr>
          <w:ilvl w:val="0"/>
          <w:numId w:val="13"/>
        </w:numPr>
      </w:pPr>
      <w:r>
        <w:t>По цене – в первую очередь исполняются заявки по наилучшей на противоположной стороне цене;</w:t>
      </w:r>
    </w:p>
    <w:p w:rsidR="000C2B65" w:rsidRDefault="00A67683" w:rsidP="008F7BC5">
      <w:pPr>
        <w:pStyle w:val="ac"/>
        <w:numPr>
          <w:ilvl w:val="0"/>
          <w:numId w:val="13"/>
        </w:numPr>
      </w:pPr>
      <w:r>
        <w:t>По времени выставления – в случае, если на одном ценовом уровне находится несколько заявок, то первой из них будет исполнена та, которая была выставлена раньше.</w:t>
      </w:r>
    </w:p>
    <w:p w:rsidR="004D2ECD" w:rsidRDefault="00A65BB4" w:rsidP="004D2ECD">
      <w:r w:rsidRPr="00D2207A">
        <w:t xml:space="preserve">В рамках </w:t>
      </w:r>
      <w:proofErr w:type="spellStart"/>
      <w:r w:rsidRPr="00D2207A">
        <w:t>послеторгового</w:t>
      </w:r>
      <w:proofErr w:type="spellEnd"/>
      <w:r w:rsidRPr="00D2207A">
        <w:t xml:space="preserve"> периода проводится аукцион закрытия, </w:t>
      </w:r>
      <w:r w:rsidR="00243B91" w:rsidRPr="00D2207A">
        <w:t>который предназначен для определения репрезентативной цены закрытия в разрезе инструмента.</w:t>
      </w:r>
      <w:r w:rsidR="00070AF3" w:rsidRPr="00D2207A">
        <w:t xml:space="preserve"> Процедура проведения аукциона закрытия аналогична аукциону </w:t>
      </w:r>
      <w:r w:rsidR="00AA3BDD">
        <w:t>открытия</w:t>
      </w:r>
      <w:r w:rsidR="001A2DF1" w:rsidRPr="00D2207A">
        <w:t xml:space="preserve">, кроме возможности подавать </w:t>
      </w:r>
      <w:r w:rsidR="00B35D9F" w:rsidRPr="00D2207A">
        <w:t xml:space="preserve">рыночные заявки и </w:t>
      </w:r>
      <w:r w:rsidR="004D2ECD">
        <w:t xml:space="preserve">наличия еще одного этапа – </w:t>
      </w:r>
      <w:r w:rsidR="00B35D9F" w:rsidRPr="00D2207A">
        <w:t>дополнительной фазы сбора заявок.</w:t>
      </w:r>
      <w:r w:rsidR="001C0D5D" w:rsidRPr="00D2207A">
        <w:t xml:space="preserve"> Данный период длится </w:t>
      </w:r>
      <w:r w:rsidR="002D184D">
        <w:t>с 18:40:01</w:t>
      </w:r>
      <w:r w:rsidR="00552CC2" w:rsidRPr="00D2207A">
        <w:t xml:space="preserve"> до 18:49:59.</w:t>
      </w:r>
    </w:p>
    <w:p w:rsidR="00ED3D50" w:rsidRDefault="004E4CBE" w:rsidP="00856244">
      <w:r>
        <w:t>В конце</w:t>
      </w:r>
      <w:r w:rsidR="00792F3E">
        <w:t xml:space="preserve"> мая 2020 года на Московской Бирже планируется запуск вечерней торговой сессии. Данная сессия будет начинаться по завершению десятиминутного перерыва после осн</w:t>
      </w:r>
      <w:r w:rsidR="002D184D">
        <w:t>овной торговой сессии в 19:00:01 и заканчиваться в 23:49:59</w:t>
      </w:r>
      <w:r w:rsidR="00792F3E">
        <w:t>.</w:t>
      </w:r>
      <w:r w:rsidR="002D184D">
        <w:t xml:space="preserve"> При этом, все неисполненные заявки, выставленные в период основной сессии, снимаются перед началом вечерней сессии.</w:t>
      </w:r>
      <w:r w:rsidR="00792F3E">
        <w:t xml:space="preserve"> </w:t>
      </w:r>
      <w:r w:rsidR="002D184D">
        <w:t>Вечерняя сессия</w:t>
      </w:r>
      <w:r w:rsidR="00792F3E">
        <w:t xml:space="preserve"> будет состоять из двух периодов: </w:t>
      </w:r>
      <w:proofErr w:type="spellStart"/>
      <w:r w:rsidR="002D184D">
        <w:t>предторгового</w:t>
      </w:r>
      <w:proofErr w:type="spellEnd"/>
      <w:r w:rsidR="002D184D">
        <w:t xml:space="preserve"> и торгового. </w:t>
      </w:r>
      <w:proofErr w:type="spellStart"/>
      <w:r w:rsidR="002D184D">
        <w:t>Предторговый</w:t>
      </w:r>
      <w:proofErr w:type="spellEnd"/>
      <w:r w:rsidR="002D184D">
        <w:t xml:space="preserve"> период представлен аукционом открытия</w:t>
      </w:r>
      <w:r w:rsidR="00F55508">
        <w:t>, принцип проведения которого идентичен аукциону открытия основной сессии</w:t>
      </w:r>
      <w:r w:rsidR="00BD4542">
        <w:t>, за исключением отсутствия возможности подавать заявки типа лимитная (АЗ), рыночная (АЗ)</w:t>
      </w:r>
      <w:r w:rsidR="002D184D">
        <w:t>. Данный период длится с 19:00:00 до 19:04:59.</w:t>
      </w:r>
      <w:r w:rsidR="00F55508">
        <w:t xml:space="preserve"> Торговый период вечерней сессии длится с 19:05:00 до 23:49:59</w:t>
      </w:r>
      <w:r w:rsidR="00BD4542">
        <w:t xml:space="preserve">. В рамках данного периода у участников есть возможность подавать рыночные и лимитные </w:t>
      </w:r>
      <w:r w:rsidR="00BD4542">
        <w:lastRenderedPageBreak/>
        <w:t>заявки. После завершения торгового периода вечерней сессии</w:t>
      </w:r>
      <w:r w:rsidR="00F55508">
        <w:t xml:space="preserve"> все </w:t>
      </w:r>
      <w:r w:rsidR="00BD4542">
        <w:t xml:space="preserve">неисполненные </w:t>
      </w:r>
      <w:r w:rsidR="00F55508">
        <w:t>заявки вечерней сессии снимаются.</w:t>
      </w:r>
    </w:p>
    <w:p w:rsidR="00137FEB" w:rsidRDefault="00C9223A" w:rsidP="00137FEB">
      <w:r>
        <w:t>В рамках данной работы используются данные только за торговый период</w:t>
      </w:r>
      <w:r w:rsidR="004E4CBE">
        <w:t xml:space="preserve"> основной сессии</w:t>
      </w:r>
      <w:r>
        <w:t xml:space="preserve"> с учетом неисполненных во время аукциона открытия заявок. Заявки типа лимитная (АЗ), рыночная (АЗ) в </w:t>
      </w:r>
      <w:proofErr w:type="spellStart"/>
      <w:r w:rsidR="00841B28">
        <w:t>ордерлоге</w:t>
      </w:r>
      <w:proofErr w:type="spellEnd"/>
      <w:r w:rsidR="00841B28">
        <w:t xml:space="preserve"> не отражаются. Таким образом</w:t>
      </w:r>
      <w:r>
        <w:t xml:space="preserve">, во время торгового периода у участника есть возможность выставлять рыночные и лимитные заявки. </w:t>
      </w:r>
      <w:r w:rsidR="00841B28">
        <w:t xml:space="preserve">Рыночные заявки представляют собой заявки, </w:t>
      </w:r>
      <w:r w:rsidR="00B94860">
        <w:t>в которых указан только объем. Цена исполнения определяется как лучшая цена на противоположной стороне стакана</w:t>
      </w:r>
      <w:r w:rsidR="00037EAF">
        <w:t xml:space="preserve">, что гарантирует участнику мгновенное исполнение заявки при условии наличия объема на противоположной стороне. Участники, выставляющие такие заявки называются потребителями ликвидности. </w:t>
      </w:r>
      <w:r w:rsidR="00841B28">
        <w:t>Основной рис</w:t>
      </w:r>
      <w:r w:rsidR="00E96448">
        <w:t>к</w:t>
      </w:r>
      <w:r w:rsidR="00841B28">
        <w:t xml:space="preserve"> при выставлении таких заявок связан с тем, что </w:t>
      </w:r>
      <w:r w:rsidR="00E96448">
        <w:t xml:space="preserve">точная </w:t>
      </w:r>
      <w:r w:rsidR="00841B28">
        <w:t xml:space="preserve">цена исполнения заранее неизвестна. Более того, в случае если рыночная заявка является крупной относительно объема на противоположной стороне, то ее исполнение </w:t>
      </w:r>
      <w:r w:rsidR="00137FEB">
        <w:t>будет</w:t>
      </w:r>
      <w:r w:rsidR="00841B28">
        <w:t xml:space="preserve"> произведено </w:t>
      </w:r>
      <w:r w:rsidR="00137FEB">
        <w:t xml:space="preserve">на нескольких уровнях цен. Таким образом, такой тип заявок </w:t>
      </w:r>
      <w:r w:rsidR="00A73F76">
        <w:t>минимизирует</w:t>
      </w:r>
      <w:r w:rsidR="00137FEB">
        <w:t xml:space="preserve"> риск неисполнения, но значительно увеличивает риск </w:t>
      </w:r>
      <w:r w:rsidR="00137FEB" w:rsidRPr="00037EAF">
        <w:t>д</w:t>
      </w:r>
      <w:r w:rsidR="00137FEB">
        <w:t>ополнительных издержек.</w:t>
      </w:r>
    </w:p>
    <w:p w:rsidR="00FF754F" w:rsidRDefault="00137FEB" w:rsidP="002432A4">
      <w:r>
        <w:t>Лимитные заявки, в свою очередь, являются своего рода противоположностью рыночным заявкам: в них указана цена исполнения</w:t>
      </w:r>
      <w:r w:rsidR="00A73F76">
        <w:t xml:space="preserve">, риск неисполнения высокий, риск дополнительных издержек низкий. </w:t>
      </w:r>
      <w:r w:rsidR="00C2173A">
        <w:t xml:space="preserve">Если в момент выставления лимитной заявки отсутствует встречная заявка, которая может удовлетворить текущую заявку по ее цене или по цене лучше, то заявка становится в очередь и ждет своего исполнения. </w:t>
      </w:r>
      <w:r w:rsidR="00A73F76">
        <w:t>Лимитные заявки, которые ждут своего исполнения</w:t>
      </w:r>
      <w:r w:rsidR="00C2173A">
        <w:t>,</w:t>
      </w:r>
      <w:r w:rsidR="00A73F76">
        <w:t xml:space="preserve"> обеспечивают ликвидность на рынке.</w:t>
      </w:r>
      <w:r w:rsidR="002432A4">
        <w:t xml:space="preserve"> </w:t>
      </w:r>
      <w:r w:rsidR="00FF754F">
        <w:t xml:space="preserve">Сделка по </w:t>
      </w:r>
      <w:r w:rsidR="00FF754F">
        <w:t xml:space="preserve">лимитной </w:t>
      </w:r>
      <w:r w:rsidR="00FF754F">
        <w:t>заявке происходит в момент пересечения со встречной заявкой, когда происходит одновременное выполнение следующих условий:</w:t>
      </w:r>
    </w:p>
    <w:p w:rsidR="00FF754F" w:rsidRDefault="00FF754F" w:rsidP="002432A4">
      <w:pPr>
        <w:pStyle w:val="ac"/>
        <w:numPr>
          <w:ilvl w:val="0"/>
          <w:numId w:val="18"/>
        </w:numPr>
      </w:pPr>
      <w:r>
        <w:t>На противоположной стороне стакана существуют заявки;</w:t>
      </w:r>
    </w:p>
    <w:p w:rsidR="00FF754F" w:rsidRDefault="00FF754F" w:rsidP="002432A4">
      <w:pPr>
        <w:pStyle w:val="ac"/>
        <w:numPr>
          <w:ilvl w:val="0"/>
          <w:numId w:val="18"/>
        </w:numPr>
      </w:pPr>
      <w:r w:rsidRPr="004158E0">
        <w:t xml:space="preserve">Заявки на противоположной стороне стакана позволяют реализовать заявку по ее цене или по цене лучше, чем указано в заявке. Например, если была выставлена заявка на покупку 50 лотов акции </w:t>
      </w:r>
      <w:r w:rsidRPr="002432A4">
        <w:rPr>
          <w:lang w:val="en-US"/>
        </w:rPr>
        <w:t>N</w:t>
      </w:r>
      <w:r w:rsidRPr="004158E0">
        <w:t xml:space="preserve"> по цене 50 </w:t>
      </w:r>
      <w:proofErr w:type="spellStart"/>
      <w:r w:rsidRPr="004158E0">
        <w:t>усл.ед</w:t>
      </w:r>
      <w:proofErr w:type="spellEnd"/>
      <w:r w:rsidRPr="004158E0">
        <w:t xml:space="preserve">., то в случае, если на противоположной стороне стакана стоят заявки на продажу по цене 50 </w:t>
      </w:r>
      <w:proofErr w:type="spellStart"/>
      <w:r w:rsidRPr="004158E0">
        <w:t>усл.ед</w:t>
      </w:r>
      <w:proofErr w:type="spellEnd"/>
      <w:r w:rsidRPr="004158E0">
        <w:t xml:space="preserve">., заявка будет исполнена на весь пересекающийся объем. Если же в стакане стоят заявки на продажу с более низкими ценами, то исполнение будет происходить, начиная с лучшей из доступных цен. Если объема на уровне лучшей доступной цены недостаточно для полного удовлетворения заявки, то заявка может быть исполнена не нескольким ценам, но не хуже указанной в заявке цены. В случае, если на противоположной стороне стакана недостаточно объема для полного </w:t>
      </w:r>
      <w:r w:rsidRPr="004158E0">
        <w:lastRenderedPageBreak/>
        <w:t>удовлетворения заявки, заявка будет исполнена частично по правилам, описанным выше, а оставшийся объем будет поставлен в очередь. В случае, если на противоположной стороне стакана нет соответствующих заявок, заявка встанет в очередь и будет ждать своего исполнения. Для заявок на продажу сделка будет заключена по цене заявки или по цене выше.</w:t>
      </w:r>
    </w:p>
    <w:p w:rsidR="00A10997" w:rsidRDefault="00986632" w:rsidP="002432A4">
      <w:r>
        <w:t>Айсберг</w:t>
      </w:r>
      <w:r w:rsidR="00F36A19">
        <w:t>-</w:t>
      </w:r>
      <w:r>
        <w:t>заявки являются разновидностью лимитных заявок, у которых появляется дополнительный параметр – объем видимой части.</w:t>
      </w:r>
    </w:p>
    <w:p w:rsidR="004B574E" w:rsidRDefault="004B574E" w:rsidP="00313C7C">
      <w:pPr>
        <w:pStyle w:val="3"/>
      </w:pPr>
      <w:bookmarkStart w:id="8" w:name="_Toc38914811"/>
      <w:r>
        <w:t>Айсберг-заявки</w:t>
      </w:r>
      <w:bookmarkEnd w:id="8"/>
    </w:p>
    <w:p w:rsidR="00D729AB" w:rsidRPr="006D330F" w:rsidRDefault="002C1C05" w:rsidP="003D7128">
      <w:r>
        <w:t>При восстановлении стакана необходимо учитывать возможность выставления айсберг-заявок, которую Московская Биржа предоставляет участник</w:t>
      </w:r>
      <w:r w:rsidR="00446CEA">
        <w:t>ам</w:t>
      </w:r>
      <w:r>
        <w:t xml:space="preserve"> торгов</w:t>
      </w:r>
      <w:r w:rsidR="00F24641">
        <w:t xml:space="preserve"> фондовой секции</w:t>
      </w:r>
      <w:r>
        <w:t>.</w:t>
      </w:r>
      <w:r w:rsidR="00446CEA">
        <w:t xml:space="preserve"> При выставлении заявки </w:t>
      </w:r>
      <w:r w:rsidR="00CF61E9">
        <w:t>через торговый терминал</w:t>
      </w:r>
      <w:r w:rsidR="000C02B0">
        <w:t xml:space="preserve"> участник</w:t>
      </w:r>
      <w:r w:rsidR="00CF61E9">
        <w:t xml:space="preserve"> </w:t>
      </w:r>
      <w:r w:rsidR="00446CEA">
        <w:t xml:space="preserve">указывает ее признак «Видимая часть», в </w:t>
      </w:r>
      <w:r w:rsidR="00CC50C7">
        <w:t>соответствии</w:t>
      </w:r>
      <w:r w:rsidR="00446CEA">
        <w:t xml:space="preserve"> с которым заявка отражается в стакане заявок</w:t>
      </w:r>
      <w:r w:rsidR="003A4890">
        <w:t xml:space="preserve">. </w:t>
      </w:r>
      <w:r w:rsidR="0078359D">
        <w:t>Оставшаяся</w:t>
      </w:r>
      <w:r w:rsidR="003A4890">
        <w:t xml:space="preserve"> часть заявки остается скрытой для </w:t>
      </w:r>
      <w:r w:rsidR="0078359D">
        <w:t>других участников</w:t>
      </w:r>
      <w:r w:rsidR="003A4890">
        <w:t xml:space="preserve"> и не показывается до тех пор, пока видимая часть заявки не будет исполнена.</w:t>
      </w:r>
      <w:r w:rsidR="000843ED">
        <w:t xml:space="preserve"> Причем, оставшаяся часть айсберг-заявки снова попадет в очередь заявок, но с новым идентификатором, что </w:t>
      </w:r>
      <w:r w:rsidR="00CF61E9">
        <w:t>осложняе</w:t>
      </w:r>
      <w:r w:rsidR="00656388">
        <w:t>т</w:t>
      </w:r>
      <w:r w:rsidR="00404DED">
        <w:t xml:space="preserve"> процесс </w:t>
      </w:r>
      <w:r w:rsidR="0078359D">
        <w:t>однозначной</w:t>
      </w:r>
      <w:r w:rsidR="00404DED">
        <w:t xml:space="preserve"> </w:t>
      </w:r>
      <w:r w:rsidR="0078359D">
        <w:t>идентификации</w:t>
      </w:r>
      <w:r w:rsidR="00404DED">
        <w:t xml:space="preserve"> </w:t>
      </w:r>
      <w:r w:rsidR="000843ED">
        <w:t>айсберг-заявок</w:t>
      </w:r>
      <w:r w:rsidR="000843ED" w:rsidRPr="00A23DE5">
        <w:t>.</w:t>
      </w:r>
      <w:r w:rsidR="00D729AB" w:rsidRPr="00A23DE5">
        <w:t xml:space="preserve"> Еще одна важная особенность всплытия айсберг-заявки заключается в том, что новая заявка встанет в очередь на исполнение после всех тех заявок, которые были ранее поданы в систему.</w:t>
      </w:r>
    </w:p>
    <w:p w:rsidR="00F11BB9" w:rsidRDefault="00F24641" w:rsidP="003D7128">
      <w:r>
        <w:t xml:space="preserve">Такой тип заявок </w:t>
      </w:r>
      <w:r w:rsidR="00AB2E7B">
        <w:t>позволяет</w:t>
      </w:r>
      <w:r>
        <w:t xml:space="preserve"> снизить </w:t>
      </w:r>
      <w:r w:rsidR="001A5A6A">
        <w:t xml:space="preserve">эффект, который </w:t>
      </w:r>
      <w:r>
        <w:t>крупн</w:t>
      </w:r>
      <w:r w:rsidR="001A5A6A">
        <w:t>ая</w:t>
      </w:r>
      <w:r>
        <w:t xml:space="preserve"> заявк</w:t>
      </w:r>
      <w:r w:rsidR="001A5A6A">
        <w:t>а оказ</w:t>
      </w:r>
      <w:r w:rsidR="00EC4F0F">
        <w:t>ывает</w:t>
      </w:r>
      <w:r>
        <w:t xml:space="preserve"> на других</w:t>
      </w:r>
      <w:r w:rsidR="00AB2E7B">
        <w:t xml:space="preserve"> участников торгов. </w:t>
      </w:r>
      <w:r w:rsidR="00F11BB9">
        <w:t xml:space="preserve">Биржей предусмотрен ряд ограничений на выставление </w:t>
      </w:r>
      <w:r w:rsidR="001A5A6A">
        <w:t>айсберг-</w:t>
      </w:r>
      <w:r w:rsidR="00F11BB9">
        <w:t>заявок</w:t>
      </w:r>
      <w:r w:rsidR="00042269">
        <w:t xml:space="preserve"> (ЗАО “ФБ ММВБ”, 2011)</w:t>
      </w:r>
      <w:r w:rsidR="00F11BB9">
        <w:t>:</w:t>
      </w:r>
    </w:p>
    <w:p w:rsidR="00F11BB9" w:rsidRDefault="00F11BB9" w:rsidP="008F7BC5">
      <w:pPr>
        <w:pStyle w:val="ac"/>
        <w:numPr>
          <w:ilvl w:val="0"/>
          <w:numId w:val="6"/>
        </w:numPr>
      </w:pPr>
      <w:r>
        <w:t xml:space="preserve">Минимальный объем видимой части заявки – 30 </w:t>
      </w:r>
      <w:proofErr w:type="spellStart"/>
      <w:r>
        <w:t>тыс</w:t>
      </w:r>
      <w:proofErr w:type="spellEnd"/>
      <w:r>
        <w:t xml:space="preserve"> руб</w:t>
      </w:r>
      <w:r w:rsidR="00282AE5">
        <w:t>лей;</w:t>
      </w:r>
    </w:p>
    <w:p w:rsidR="00A3304B" w:rsidRDefault="00A3304B" w:rsidP="008F7BC5">
      <w:pPr>
        <w:pStyle w:val="ac"/>
        <w:numPr>
          <w:ilvl w:val="0"/>
          <w:numId w:val="6"/>
        </w:numPr>
      </w:pPr>
      <w:r>
        <w:t>Предельное допустимое отношение видимого объема заявки к общему объему заявки – 1:100;</w:t>
      </w:r>
    </w:p>
    <w:p w:rsidR="00A3304B" w:rsidRDefault="00A3304B" w:rsidP="008F7BC5">
      <w:pPr>
        <w:pStyle w:val="ac"/>
        <w:numPr>
          <w:ilvl w:val="0"/>
          <w:numId w:val="6"/>
        </w:numPr>
      </w:pPr>
      <w:r>
        <w:t xml:space="preserve">Выставление айсберг-заявок допускается только в течение основной торговой сессии </w:t>
      </w:r>
      <w:r w:rsidR="00282AE5">
        <w:t>в режиме основных торгов фондового рынка ММВБ.</w:t>
      </w:r>
    </w:p>
    <w:p w:rsidR="0096214A" w:rsidRDefault="003A4890" w:rsidP="002432A4">
      <w:r>
        <w:t xml:space="preserve">Наличие в данных таких заявок приводит к тому, что объем </w:t>
      </w:r>
      <w:r w:rsidR="00086536">
        <w:t xml:space="preserve">в стакане на соответствующем уровне цены </w:t>
      </w:r>
      <w:r w:rsidR="004848F9">
        <w:t>может стать</w:t>
      </w:r>
      <w:r w:rsidR="00086536">
        <w:t xml:space="preserve"> отрицательным</w:t>
      </w:r>
      <w:r w:rsidR="00A61CAF">
        <w:t xml:space="preserve">, потому что </w:t>
      </w:r>
      <w:r w:rsidR="004848F9">
        <w:t>исполнени</w:t>
      </w:r>
      <w:r w:rsidR="00A61CAF">
        <w:t xml:space="preserve">е </w:t>
      </w:r>
      <w:r w:rsidR="004848F9">
        <w:t xml:space="preserve">заявки </w:t>
      </w:r>
      <w:r w:rsidR="00A61CAF">
        <w:t xml:space="preserve">произошло </w:t>
      </w:r>
      <w:r w:rsidR="004848F9">
        <w:t>на объем, превышающий объем видимой части</w:t>
      </w:r>
      <w:r w:rsidR="00086536">
        <w:t>.</w:t>
      </w:r>
      <w:r w:rsidR="001A5A6A">
        <w:t xml:space="preserve"> Например, в очереди заявок стоит заявка</w:t>
      </w:r>
      <w:r w:rsidR="00003EB7">
        <w:t xml:space="preserve"> на продажу на уровне лучшей цены</w:t>
      </w:r>
      <w:r w:rsidR="001A5A6A">
        <w:t xml:space="preserve"> на </w:t>
      </w:r>
      <w:r w:rsidR="00003EB7">
        <w:t xml:space="preserve">100 лотов. Участник выставляет рыночную заявку на покупку 200 лотов. В итоге, вместо </w:t>
      </w:r>
      <w:proofErr w:type="spellStart"/>
      <w:r w:rsidR="00003EB7">
        <w:t>проедания</w:t>
      </w:r>
      <w:proofErr w:type="spellEnd"/>
      <w:r w:rsidR="00003EB7">
        <w:t xml:space="preserve"> стакана заявок вглубь на 100 лотов, исполнение происходит на уровне прежней лучшей цены</w:t>
      </w:r>
      <w:r w:rsidR="00CF61E9">
        <w:t>.</w:t>
      </w:r>
      <w:r w:rsidR="00003EB7">
        <w:t xml:space="preserve"> Такая ситуация</w:t>
      </w:r>
      <w:r w:rsidR="00CF61E9">
        <w:t xml:space="preserve"> </w:t>
      </w:r>
      <w:r w:rsidR="00003EB7">
        <w:t>является при</w:t>
      </w:r>
      <w:r w:rsidR="00003EB7" w:rsidRPr="002432A4">
        <w:t xml:space="preserve">знаком айсберг-заявки, которая была выставлена на уровне лучшей цены на продажу. </w:t>
      </w:r>
      <w:r w:rsidR="00CF61E9" w:rsidRPr="002432A4">
        <w:t xml:space="preserve">Обычно такие заявки выставляются крупными игроками </w:t>
      </w:r>
      <w:r w:rsidR="002426FC" w:rsidRPr="002432A4">
        <w:t>на покупку или продажу</w:t>
      </w:r>
      <w:r w:rsidR="00CF61E9" w:rsidRPr="002432A4">
        <w:t xml:space="preserve"> </w:t>
      </w:r>
      <w:r w:rsidR="00CF61E9" w:rsidRPr="002432A4">
        <w:lastRenderedPageBreak/>
        <w:t>голубы</w:t>
      </w:r>
      <w:r w:rsidR="002426FC" w:rsidRPr="002432A4">
        <w:t>х</w:t>
      </w:r>
      <w:r w:rsidR="00CF61E9" w:rsidRPr="002432A4">
        <w:t xml:space="preserve"> фиш</w:t>
      </w:r>
      <w:r w:rsidR="00003EB7" w:rsidRPr="002432A4">
        <w:t>ек, причем чаще всего выставление айсберг-заявок происходит в районе лучших цен.</w:t>
      </w:r>
    </w:p>
    <w:p w:rsidR="000A6E31" w:rsidRDefault="005B4162" w:rsidP="000A6E31">
      <w:pPr>
        <w:pStyle w:val="3"/>
      </w:pPr>
      <w:bookmarkStart w:id="9" w:name="_Toc38914812"/>
      <w:r>
        <w:t>Цепочка айсберг-заявок</w:t>
      </w:r>
      <w:bookmarkEnd w:id="9"/>
    </w:p>
    <w:p w:rsidR="00866799" w:rsidRPr="00887D9E" w:rsidRDefault="00FB36D6" w:rsidP="005B4162">
      <w:r>
        <w:t xml:space="preserve">При идентификации айсберг-заявок важно понимать, что каждая </w:t>
      </w:r>
      <w:r w:rsidR="002B0A02">
        <w:t>айсберг-</w:t>
      </w:r>
      <w:r w:rsidR="00C11B22">
        <w:t xml:space="preserve">заявка, выявленная </w:t>
      </w:r>
      <w:r w:rsidR="00887D9E">
        <w:t>по признаку образования отрицательного объема после исполнения,</w:t>
      </w:r>
      <w:r w:rsidR="00FC45EF">
        <w:t xml:space="preserve"> является не самостоятельным айсбергом, а лишь одним звеном в </w:t>
      </w:r>
      <w:r w:rsidR="00CC303F">
        <w:t>цепочке</w:t>
      </w:r>
      <w:r w:rsidR="00FC45EF">
        <w:t xml:space="preserve"> исполнения айсберга.</w:t>
      </w:r>
      <w:r w:rsidR="00A831E7">
        <w:t xml:space="preserve"> Попытка </w:t>
      </w:r>
      <w:r w:rsidR="004157D6">
        <w:t>определить</w:t>
      </w:r>
      <w:r w:rsidR="00A831E7">
        <w:t xml:space="preserve"> </w:t>
      </w:r>
      <w:r w:rsidR="004157D6">
        <w:t>более точное</w:t>
      </w:r>
      <w:r w:rsidR="00A831E7">
        <w:t xml:space="preserve"> количество айсб</w:t>
      </w:r>
      <w:r w:rsidR="004157D6">
        <w:t>е</w:t>
      </w:r>
      <w:r w:rsidR="00A831E7">
        <w:t>рг-заявок</w:t>
      </w:r>
      <w:r w:rsidR="002B0A02">
        <w:t xml:space="preserve"> на каждый момент времени</w:t>
      </w:r>
      <w:r w:rsidR="00A831E7">
        <w:t xml:space="preserve"> и их</w:t>
      </w:r>
      <w:r w:rsidR="002B0A02">
        <w:t xml:space="preserve"> реальный</w:t>
      </w:r>
      <w:r w:rsidR="00A831E7">
        <w:t xml:space="preserve"> объем</w:t>
      </w:r>
      <w:r w:rsidR="002B0A02">
        <w:t>, а не объем, который был выявлен в результате исполнения одного элемента цепочки всплытия айсберга,</w:t>
      </w:r>
      <w:r w:rsidR="00A831E7">
        <w:t xml:space="preserve"> позволит </w:t>
      </w:r>
      <w:r w:rsidR="002B0A02">
        <w:t>увеличить точность алгоритма оценивания скрытой ликвидности</w:t>
      </w:r>
      <w:r w:rsidR="004157D6">
        <w:t>.</w:t>
      </w:r>
    </w:p>
    <w:p w:rsidR="00484AEF" w:rsidRDefault="000C02B0" w:rsidP="005B4162">
      <w:r>
        <w:t>Как уже было отмечено выше, после исполнения видимой части айсберга, инициируется всплытие следующей части айсберга. При этом всплытие происходит на том же уровне цены</w:t>
      </w:r>
      <w:r w:rsidR="00FF27A4">
        <w:t xml:space="preserve"> и </w:t>
      </w:r>
      <w:r>
        <w:t>с тем же объемом</w:t>
      </w:r>
      <w:r w:rsidR="00C70029">
        <w:t>. В данном случае необходимо учитывать, что</w:t>
      </w:r>
      <w:r w:rsidR="003853AB">
        <w:t xml:space="preserve"> всплытие происходит не мгновенно после полного исполнения предыдущей видимой части айсберга, а с некоторым временным лагом</w:t>
      </w:r>
      <w:r w:rsidR="00625A66">
        <w:t xml:space="preserve">. Наличие </w:t>
      </w:r>
      <w:r w:rsidR="00FF27A4">
        <w:t>этого</w:t>
      </w:r>
      <w:r w:rsidR="00625A66">
        <w:t xml:space="preserve"> лага обусловлено необходимостью обработки системой заявки.</w:t>
      </w:r>
      <w:r w:rsidR="00FF27A4">
        <w:t xml:space="preserve"> Так, заявка, которая содержит в себе всплывшую часть айсберга</w:t>
      </w:r>
      <w:r w:rsidR="00ED3D50">
        <w:t>,</w:t>
      </w:r>
      <w:r w:rsidR="00FF27A4">
        <w:t xml:space="preserve"> встает в конец </w:t>
      </w:r>
      <w:r w:rsidR="002B0A02">
        <w:t>очереди</w:t>
      </w:r>
      <w:r w:rsidR="00FF27A4">
        <w:t xml:space="preserve"> всех заявок по всем инструментам, которые ожидают обработки шлюзом</w:t>
      </w:r>
      <w:r w:rsidR="00484AEF">
        <w:t>. Величина временного лага зависит от того, какое количество заявок находится в этом списке. Следовательно, можно ожидать, что в начале и в конце торгового дня, когда на рынке наблюдается наиболее высокая торговая активность, лаг всплытия айсберга будет выше, чем в середине дня.</w:t>
      </w:r>
    </w:p>
    <w:p w:rsidR="003853AB" w:rsidRDefault="00484AEF" w:rsidP="005B4162">
      <w:r>
        <w:t xml:space="preserve">Помимо наличия неопределенного временного интервала между исполнением видимой части айсберга </w:t>
      </w:r>
      <w:r w:rsidR="00C70029">
        <w:t xml:space="preserve">и всплытием следующей части айсберга, восстановление полной цепочки айсберга осложняется еще и тем, что </w:t>
      </w:r>
      <w:r w:rsidR="003853AB">
        <w:t xml:space="preserve">всплывшей части айсберга </w:t>
      </w:r>
      <w:r w:rsidR="00C70029">
        <w:t>присваивается новый</w:t>
      </w:r>
      <w:r w:rsidR="003853AB">
        <w:t xml:space="preserve"> идентификатор</w:t>
      </w:r>
      <w:r w:rsidR="00C70029">
        <w:t>.</w:t>
      </w:r>
    </w:p>
    <w:p w:rsidR="000A6E31" w:rsidRDefault="00A831E7" w:rsidP="00CC303F">
      <w:r>
        <w:t>Д</w:t>
      </w:r>
      <w:r w:rsidR="00710FE1">
        <w:t xml:space="preserve">ля восстановления истории жизни айсберга необходимо собрать цепочку </w:t>
      </w:r>
      <w:r w:rsidR="00CC303F">
        <w:t xml:space="preserve">из </w:t>
      </w:r>
      <w:r w:rsidR="00710FE1">
        <w:t xml:space="preserve">самостоятельных заявок с одинаковым уровнем цены и с одинаковым объемом, </w:t>
      </w:r>
      <w:r w:rsidR="00456EA2">
        <w:t xml:space="preserve">для которых будет выполняться условие: </w:t>
      </w:r>
      <w:r w:rsidR="00866799">
        <w:t xml:space="preserve">временной интервал </w:t>
      </w:r>
      <w:r w:rsidR="00456EA2">
        <w:t>между исполнением одной</w:t>
      </w:r>
      <w:r w:rsidR="00866799">
        <w:t xml:space="preserve"> заявки</w:t>
      </w:r>
      <w:r w:rsidR="00CC303F">
        <w:t>, определенной как айсберг,</w:t>
      </w:r>
      <w:r w:rsidR="00456EA2">
        <w:t xml:space="preserve"> и вы</w:t>
      </w:r>
      <w:r w:rsidR="00866799">
        <w:t xml:space="preserve">ставлением следующей менее </w:t>
      </w:r>
      <w:r w:rsidR="00866799">
        <w:rPr>
          <w:lang w:val="en-US"/>
        </w:rPr>
        <w:t>N</w:t>
      </w:r>
      <w:r w:rsidR="00866799" w:rsidRPr="00866799">
        <w:t xml:space="preserve"> </w:t>
      </w:r>
      <w:r w:rsidR="00702897">
        <w:t>микросекунд</w:t>
      </w:r>
      <w:r w:rsidR="00866799">
        <w:t xml:space="preserve">, где </w:t>
      </w:r>
      <w:r w:rsidR="00866799">
        <w:rPr>
          <w:lang w:val="en-US"/>
        </w:rPr>
        <w:t>N</w:t>
      </w:r>
      <w:r w:rsidR="00866799" w:rsidRPr="00866799">
        <w:t xml:space="preserve"> </w:t>
      </w:r>
      <w:r w:rsidR="00866799">
        <w:t>определяется исследователями самостоятельно</w:t>
      </w:r>
      <w:r w:rsidR="002B0A02">
        <w:t>, а, следовательно, становится причиной волатильности получаемых результатов и снижения их надежности.</w:t>
      </w:r>
    </w:p>
    <w:p w:rsidR="00BC541D" w:rsidRDefault="00BC541D" w:rsidP="00BC541D">
      <w:r>
        <w:t>Кр</w:t>
      </w:r>
      <w:r w:rsidR="00702897">
        <w:t>оме того, важно учитывать, что</w:t>
      </w:r>
      <w:r>
        <w:t xml:space="preserve"> исполнение видимой части айсберга может происходить и без создания отрицательного объема, а ровно на величину видимой части. В таких случаях признак айсберга – образование отрицательного объема – не позволит включить данную заявку в цепочку айсберга, а в некоторых случаях станет причиной </w:t>
      </w:r>
      <w:r>
        <w:lastRenderedPageBreak/>
        <w:t>разрыва цепочки. Эту особенность необходимо учитывать при восстановлении истории жизни айсберга.</w:t>
      </w:r>
    </w:p>
    <w:p w:rsidR="005B4162" w:rsidRPr="004B641E" w:rsidRDefault="00ED3D50" w:rsidP="005B4162">
      <w:pPr>
        <w:pStyle w:val="3"/>
        <w:rPr>
          <w:highlight w:val="yellow"/>
        </w:rPr>
      </w:pPr>
      <w:bookmarkStart w:id="10" w:name="_Toc38914813"/>
      <w:r w:rsidRPr="004B641E">
        <w:rPr>
          <w:highlight w:val="yellow"/>
        </w:rPr>
        <w:t>Ретроспектива</w:t>
      </w:r>
      <w:bookmarkEnd w:id="10"/>
    </w:p>
    <w:p w:rsidR="005B4162" w:rsidRPr="004B641E" w:rsidRDefault="00EC6EF6" w:rsidP="005B4162">
      <w:pPr>
        <w:rPr>
          <w:highlight w:val="yellow"/>
        </w:rPr>
      </w:pPr>
      <w:r w:rsidRPr="004B641E">
        <w:rPr>
          <w:highlight w:val="yellow"/>
        </w:rPr>
        <w:t xml:space="preserve">Для создания цепочки айсберга необходимо каждый раз при обнаружении отрицательного объема смотреть назад и осуществлять проверку, были ли ранее выявлены </w:t>
      </w:r>
      <w:r w:rsidR="00ED3D50" w:rsidRPr="004B641E">
        <w:rPr>
          <w:highlight w:val="yellow"/>
        </w:rPr>
        <w:t>айсберг-</w:t>
      </w:r>
      <w:r w:rsidRPr="004B641E">
        <w:rPr>
          <w:highlight w:val="yellow"/>
        </w:rPr>
        <w:t>заявки</w:t>
      </w:r>
      <w:r w:rsidR="00CA59BE" w:rsidRPr="004B641E">
        <w:rPr>
          <w:highlight w:val="yellow"/>
        </w:rPr>
        <w:t xml:space="preserve"> или цепочки </w:t>
      </w:r>
      <w:r w:rsidR="00ED3D50" w:rsidRPr="004B641E">
        <w:rPr>
          <w:highlight w:val="yellow"/>
        </w:rPr>
        <w:t>айсберг</w:t>
      </w:r>
      <w:r w:rsidR="00F36A19">
        <w:rPr>
          <w:highlight w:val="yellow"/>
        </w:rPr>
        <w:t>-</w:t>
      </w:r>
      <w:r w:rsidR="00ED3D50" w:rsidRPr="004B641E">
        <w:rPr>
          <w:highlight w:val="yellow"/>
        </w:rPr>
        <w:t>заявок</w:t>
      </w:r>
      <w:r w:rsidRPr="004B641E">
        <w:rPr>
          <w:highlight w:val="yellow"/>
        </w:rPr>
        <w:t xml:space="preserve"> с </w:t>
      </w:r>
      <w:r w:rsidR="001D4EBB" w:rsidRPr="004B641E">
        <w:rPr>
          <w:highlight w:val="yellow"/>
        </w:rPr>
        <w:t>тем же</w:t>
      </w:r>
      <w:r w:rsidRPr="004B641E">
        <w:rPr>
          <w:highlight w:val="yellow"/>
        </w:rPr>
        <w:t xml:space="preserve"> об</w:t>
      </w:r>
      <w:r w:rsidR="001D4EBB" w:rsidRPr="004B641E">
        <w:rPr>
          <w:highlight w:val="yellow"/>
        </w:rPr>
        <w:t xml:space="preserve">ъемом видимой части и на том же уровне цены, </w:t>
      </w:r>
      <w:r w:rsidR="00CA59BE" w:rsidRPr="004B641E">
        <w:rPr>
          <w:highlight w:val="yellow"/>
        </w:rPr>
        <w:t xml:space="preserve">между исполнением которых и выставлением текущей заявки прошло менее </w:t>
      </w:r>
      <w:r w:rsidR="00CA59BE" w:rsidRPr="004B641E">
        <w:rPr>
          <w:highlight w:val="yellow"/>
          <w:lang w:val="en-US"/>
        </w:rPr>
        <w:t>N</w:t>
      </w:r>
      <w:r w:rsidR="00CA59BE" w:rsidRPr="004B641E">
        <w:rPr>
          <w:highlight w:val="yellow"/>
        </w:rPr>
        <w:t xml:space="preserve"> микросекунд. В случае, если такие заявки или цепочки заявок были ранее обнаружены, то их можно объединить в одну цепочку</w:t>
      </w:r>
      <w:r w:rsidRPr="004B641E">
        <w:rPr>
          <w:highlight w:val="yellow"/>
        </w:rPr>
        <w:t xml:space="preserve"> </w:t>
      </w:r>
      <w:r w:rsidR="00CA59BE" w:rsidRPr="004B641E">
        <w:rPr>
          <w:highlight w:val="yellow"/>
        </w:rPr>
        <w:t>и считать, что данная цепочка представляет собой не самостоятельные айсберг</w:t>
      </w:r>
      <w:r w:rsidR="00F36A19">
        <w:rPr>
          <w:highlight w:val="yellow"/>
        </w:rPr>
        <w:t>-з</w:t>
      </w:r>
      <w:r w:rsidR="00CA59BE" w:rsidRPr="004B641E">
        <w:rPr>
          <w:highlight w:val="yellow"/>
        </w:rPr>
        <w:t>аявки, а</w:t>
      </w:r>
      <w:r w:rsidR="00826E3E" w:rsidRPr="004B641E">
        <w:rPr>
          <w:highlight w:val="yellow"/>
        </w:rPr>
        <w:t xml:space="preserve"> цепочку всплытий одной большой айсберг</w:t>
      </w:r>
      <w:r w:rsidR="00F36A19">
        <w:rPr>
          <w:highlight w:val="yellow"/>
        </w:rPr>
        <w:t>-</w:t>
      </w:r>
      <w:r w:rsidR="00826E3E" w:rsidRPr="004B641E">
        <w:rPr>
          <w:highlight w:val="yellow"/>
        </w:rPr>
        <w:t>заявки.</w:t>
      </w:r>
    </w:p>
    <w:p w:rsidR="00702897" w:rsidRPr="004B641E" w:rsidRDefault="00BC541D" w:rsidP="004C7F71">
      <w:pPr>
        <w:rPr>
          <w:highlight w:val="yellow"/>
        </w:rPr>
      </w:pPr>
      <w:r w:rsidRPr="004B641E">
        <w:rPr>
          <w:highlight w:val="yellow"/>
        </w:rPr>
        <w:t xml:space="preserve">Как уже было отмечено выше, необходимо учитывать возможность разрыва цепочки, которое происходит из-за наличия в </w:t>
      </w:r>
      <w:r w:rsidR="003866BD" w:rsidRPr="004B641E">
        <w:rPr>
          <w:highlight w:val="yellow"/>
        </w:rPr>
        <w:t>истории заявки, у которой</w:t>
      </w:r>
      <w:r w:rsidR="00702897" w:rsidRPr="004B641E">
        <w:rPr>
          <w:highlight w:val="yellow"/>
        </w:rPr>
        <w:t>:</w:t>
      </w:r>
    </w:p>
    <w:p w:rsidR="00702897" w:rsidRPr="004B641E" w:rsidRDefault="00702897" w:rsidP="008F7BC5">
      <w:pPr>
        <w:pStyle w:val="ac"/>
        <w:numPr>
          <w:ilvl w:val="0"/>
          <w:numId w:val="5"/>
        </w:numPr>
        <w:rPr>
          <w:highlight w:val="yellow"/>
        </w:rPr>
      </w:pPr>
      <w:r w:rsidRPr="004B641E">
        <w:rPr>
          <w:highlight w:val="yellow"/>
        </w:rPr>
        <w:t>С</w:t>
      </w:r>
      <w:r w:rsidR="003866BD" w:rsidRPr="004B641E">
        <w:rPr>
          <w:highlight w:val="yellow"/>
        </w:rPr>
        <w:t>овпадает уровень цен</w:t>
      </w:r>
      <w:r w:rsidRPr="004B641E">
        <w:rPr>
          <w:highlight w:val="yellow"/>
        </w:rPr>
        <w:t>ы;</w:t>
      </w:r>
    </w:p>
    <w:p w:rsidR="00702897" w:rsidRPr="004B641E" w:rsidRDefault="00702897" w:rsidP="008F7BC5">
      <w:pPr>
        <w:pStyle w:val="ac"/>
        <w:numPr>
          <w:ilvl w:val="0"/>
          <w:numId w:val="5"/>
        </w:numPr>
        <w:rPr>
          <w:highlight w:val="yellow"/>
        </w:rPr>
      </w:pPr>
      <w:r w:rsidRPr="004B641E">
        <w:rPr>
          <w:highlight w:val="yellow"/>
        </w:rPr>
        <w:t>Совпадает объем;</w:t>
      </w:r>
    </w:p>
    <w:p w:rsidR="00702897" w:rsidRPr="004B641E" w:rsidRDefault="00702897" w:rsidP="008F7BC5">
      <w:pPr>
        <w:pStyle w:val="ac"/>
        <w:numPr>
          <w:ilvl w:val="0"/>
          <w:numId w:val="5"/>
        </w:numPr>
        <w:rPr>
          <w:highlight w:val="yellow"/>
        </w:rPr>
      </w:pPr>
      <w:r w:rsidRPr="004B641E">
        <w:rPr>
          <w:highlight w:val="yellow"/>
        </w:rPr>
        <w:t xml:space="preserve">Между </w:t>
      </w:r>
      <w:r w:rsidR="003866BD" w:rsidRPr="004B641E">
        <w:rPr>
          <w:highlight w:val="yellow"/>
        </w:rPr>
        <w:t>выявлением</w:t>
      </w:r>
      <w:r w:rsidRPr="004B641E">
        <w:rPr>
          <w:highlight w:val="yellow"/>
        </w:rPr>
        <w:t xml:space="preserve"> предыдущей</w:t>
      </w:r>
      <w:r w:rsidR="003866BD" w:rsidRPr="004B641E">
        <w:rPr>
          <w:highlight w:val="yellow"/>
        </w:rPr>
        <w:t xml:space="preserve"> айсберг</w:t>
      </w:r>
      <w:r w:rsidR="00F36A19">
        <w:rPr>
          <w:highlight w:val="yellow"/>
        </w:rPr>
        <w:t>-</w:t>
      </w:r>
      <w:r w:rsidR="003866BD" w:rsidRPr="004B641E">
        <w:rPr>
          <w:highlight w:val="yellow"/>
        </w:rPr>
        <w:t>заявки</w:t>
      </w:r>
      <w:r w:rsidRPr="004B641E">
        <w:rPr>
          <w:highlight w:val="yellow"/>
        </w:rPr>
        <w:t xml:space="preserve"> и выставлением текущей</w:t>
      </w:r>
      <w:r w:rsidR="003866BD" w:rsidRPr="004B641E">
        <w:rPr>
          <w:highlight w:val="yellow"/>
        </w:rPr>
        <w:t xml:space="preserve"> прошло менее </w:t>
      </w:r>
      <w:r w:rsidR="003866BD" w:rsidRPr="004B641E">
        <w:rPr>
          <w:highlight w:val="yellow"/>
          <w:lang w:val="en-US"/>
        </w:rPr>
        <w:t>N</w:t>
      </w:r>
      <w:r w:rsidR="003866BD" w:rsidRPr="004B641E">
        <w:rPr>
          <w:highlight w:val="yellow"/>
        </w:rPr>
        <w:t xml:space="preserve"> секунд</w:t>
      </w:r>
      <w:r w:rsidRPr="004B641E">
        <w:rPr>
          <w:highlight w:val="yellow"/>
        </w:rPr>
        <w:t>;</w:t>
      </w:r>
    </w:p>
    <w:p w:rsidR="00702897" w:rsidRPr="004B641E" w:rsidRDefault="00702897" w:rsidP="008F7BC5">
      <w:pPr>
        <w:pStyle w:val="ac"/>
        <w:numPr>
          <w:ilvl w:val="0"/>
          <w:numId w:val="5"/>
        </w:numPr>
        <w:rPr>
          <w:highlight w:val="yellow"/>
        </w:rPr>
      </w:pPr>
      <w:r w:rsidRPr="004B641E">
        <w:rPr>
          <w:highlight w:val="yellow"/>
        </w:rPr>
        <w:t>М</w:t>
      </w:r>
      <w:r w:rsidR="003866BD" w:rsidRPr="004B641E">
        <w:rPr>
          <w:highlight w:val="yellow"/>
        </w:rPr>
        <w:t>ежду исполнением</w:t>
      </w:r>
      <w:r w:rsidRPr="004B641E">
        <w:rPr>
          <w:highlight w:val="yellow"/>
        </w:rPr>
        <w:t xml:space="preserve"> текущей</w:t>
      </w:r>
      <w:r w:rsidR="003866BD" w:rsidRPr="004B641E">
        <w:rPr>
          <w:highlight w:val="yellow"/>
        </w:rPr>
        <w:t xml:space="preserve"> и выставлением следующей айсберг</w:t>
      </w:r>
      <w:r w:rsidR="00F36A19">
        <w:rPr>
          <w:highlight w:val="yellow"/>
        </w:rPr>
        <w:t>-</w:t>
      </w:r>
      <w:r w:rsidR="003866BD" w:rsidRPr="004B641E">
        <w:rPr>
          <w:highlight w:val="yellow"/>
        </w:rPr>
        <w:t xml:space="preserve">заявки прошло менее </w:t>
      </w:r>
      <w:r w:rsidR="003866BD" w:rsidRPr="004B641E">
        <w:rPr>
          <w:highlight w:val="yellow"/>
          <w:lang w:val="en-US"/>
        </w:rPr>
        <w:t>N</w:t>
      </w:r>
      <w:r w:rsidR="003866BD" w:rsidRPr="004B641E">
        <w:rPr>
          <w:highlight w:val="yellow"/>
        </w:rPr>
        <w:t xml:space="preserve"> секунд</w:t>
      </w:r>
      <w:r w:rsidRPr="004B641E">
        <w:rPr>
          <w:highlight w:val="yellow"/>
        </w:rPr>
        <w:t>;</w:t>
      </w:r>
    </w:p>
    <w:p w:rsidR="00702897" w:rsidRPr="004B641E" w:rsidRDefault="00702897" w:rsidP="008F7BC5">
      <w:pPr>
        <w:pStyle w:val="ac"/>
        <w:numPr>
          <w:ilvl w:val="0"/>
          <w:numId w:val="5"/>
        </w:numPr>
        <w:rPr>
          <w:highlight w:val="yellow"/>
        </w:rPr>
      </w:pPr>
      <w:r w:rsidRPr="004B641E">
        <w:rPr>
          <w:highlight w:val="yellow"/>
        </w:rPr>
        <w:t>И</w:t>
      </w:r>
      <w:r w:rsidR="00922609" w:rsidRPr="004B641E">
        <w:rPr>
          <w:highlight w:val="yellow"/>
        </w:rPr>
        <w:t>сполнение</w:t>
      </w:r>
      <w:r w:rsidRPr="004B641E">
        <w:rPr>
          <w:highlight w:val="yellow"/>
        </w:rPr>
        <w:t xml:space="preserve"> текущей</w:t>
      </w:r>
      <w:r w:rsidR="00922609" w:rsidRPr="004B641E">
        <w:rPr>
          <w:highlight w:val="yellow"/>
        </w:rPr>
        <w:t xml:space="preserve"> прошло без обр</w:t>
      </w:r>
      <w:r w:rsidRPr="004B641E">
        <w:rPr>
          <w:highlight w:val="yellow"/>
        </w:rPr>
        <w:t>азования отрицательного объема.</w:t>
      </w:r>
    </w:p>
    <w:p w:rsidR="0077722F" w:rsidRPr="004B641E" w:rsidRDefault="00922609" w:rsidP="00702897">
      <w:pPr>
        <w:rPr>
          <w:highlight w:val="yellow"/>
        </w:rPr>
      </w:pPr>
      <w:r w:rsidRPr="004B641E">
        <w:rPr>
          <w:highlight w:val="yellow"/>
        </w:rPr>
        <w:t xml:space="preserve">Для решения данной проблемы можно добавить </w:t>
      </w:r>
      <w:r w:rsidR="0077722F" w:rsidRPr="004B641E">
        <w:rPr>
          <w:highlight w:val="yellow"/>
        </w:rPr>
        <w:t xml:space="preserve">следующие уточнения </w:t>
      </w:r>
      <w:r w:rsidRPr="004B641E">
        <w:rPr>
          <w:highlight w:val="yellow"/>
        </w:rPr>
        <w:t>в алгоритм восстановления цепочки айсберга</w:t>
      </w:r>
      <w:r w:rsidR="0077722F" w:rsidRPr="004B641E">
        <w:rPr>
          <w:highlight w:val="yellow"/>
        </w:rPr>
        <w:t>:</w:t>
      </w:r>
    </w:p>
    <w:p w:rsidR="0077722F" w:rsidRPr="004B641E" w:rsidRDefault="0077722F" w:rsidP="008F7BC5">
      <w:pPr>
        <w:pStyle w:val="ac"/>
        <w:numPr>
          <w:ilvl w:val="0"/>
          <w:numId w:val="7"/>
        </w:numPr>
        <w:rPr>
          <w:highlight w:val="yellow"/>
        </w:rPr>
      </w:pPr>
      <w:r w:rsidRPr="004B641E">
        <w:rPr>
          <w:highlight w:val="yellow"/>
        </w:rPr>
        <w:t>Создается список всех выявленных айсберг-заявок;</w:t>
      </w:r>
    </w:p>
    <w:p w:rsidR="00702897" w:rsidRPr="004B641E" w:rsidRDefault="00702897" w:rsidP="008F7BC5">
      <w:pPr>
        <w:pStyle w:val="ac"/>
        <w:numPr>
          <w:ilvl w:val="0"/>
          <w:numId w:val="7"/>
        </w:numPr>
        <w:rPr>
          <w:highlight w:val="yellow"/>
        </w:rPr>
      </w:pPr>
      <w:r w:rsidRPr="004B641E">
        <w:rPr>
          <w:highlight w:val="yellow"/>
        </w:rPr>
        <w:t>Создается список всех исполненных заявок, у которых:</w:t>
      </w:r>
    </w:p>
    <w:p w:rsidR="00702897" w:rsidRPr="004B641E" w:rsidRDefault="00702897" w:rsidP="008F7BC5">
      <w:pPr>
        <w:pStyle w:val="ac"/>
        <w:numPr>
          <w:ilvl w:val="1"/>
          <w:numId w:val="7"/>
        </w:numPr>
        <w:rPr>
          <w:highlight w:val="yellow"/>
        </w:rPr>
      </w:pPr>
      <w:r w:rsidRPr="004B641E">
        <w:rPr>
          <w:highlight w:val="yellow"/>
        </w:rPr>
        <w:t xml:space="preserve">Совпадает уровень цены с уровнем цены </w:t>
      </w:r>
      <w:r w:rsidR="00F36A19">
        <w:rPr>
          <w:highlight w:val="yellow"/>
        </w:rPr>
        <w:t>айсберг-зая</w:t>
      </w:r>
      <w:r w:rsidR="00B51C33">
        <w:rPr>
          <w:highlight w:val="yellow"/>
        </w:rPr>
        <w:t>вки</w:t>
      </w:r>
      <w:r w:rsidRPr="004B641E">
        <w:rPr>
          <w:highlight w:val="yellow"/>
        </w:rPr>
        <w:t>;</w:t>
      </w:r>
    </w:p>
    <w:p w:rsidR="00702897" w:rsidRPr="004B641E" w:rsidRDefault="00116746" w:rsidP="008F7BC5">
      <w:pPr>
        <w:pStyle w:val="ac"/>
        <w:numPr>
          <w:ilvl w:val="1"/>
          <w:numId w:val="7"/>
        </w:numPr>
        <w:rPr>
          <w:highlight w:val="yellow"/>
        </w:rPr>
      </w:pPr>
      <w:r w:rsidRPr="004B641E">
        <w:rPr>
          <w:highlight w:val="yellow"/>
        </w:rPr>
        <w:t xml:space="preserve">Объем, на который происходит исполнение, совпадает с объемом видимой части </w:t>
      </w:r>
      <w:r w:rsidR="00B51C33">
        <w:rPr>
          <w:highlight w:val="yellow"/>
        </w:rPr>
        <w:t>айсберг-заявки</w:t>
      </w:r>
      <w:r w:rsidRPr="004B641E">
        <w:rPr>
          <w:highlight w:val="yellow"/>
        </w:rPr>
        <w:t>;</w:t>
      </w:r>
    </w:p>
    <w:p w:rsidR="0077722F" w:rsidRPr="004B641E" w:rsidRDefault="00F650C8" w:rsidP="008F7BC5">
      <w:pPr>
        <w:pStyle w:val="ac"/>
        <w:numPr>
          <w:ilvl w:val="0"/>
          <w:numId w:val="7"/>
        </w:numPr>
        <w:rPr>
          <w:highlight w:val="yellow"/>
        </w:rPr>
      </w:pPr>
      <w:r w:rsidRPr="004B641E">
        <w:rPr>
          <w:highlight w:val="yellow"/>
        </w:rPr>
        <w:t>Для в</w:t>
      </w:r>
      <w:r w:rsidR="0077722F" w:rsidRPr="004B641E">
        <w:rPr>
          <w:highlight w:val="yellow"/>
        </w:rPr>
        <w:t>ыявленны</w:t>
      </w:r>
      <w:r w:rsidRPr="004B641E">
        <w:rPr>
          <w:highlight w:val="yellow"/>
        </w:rPr>
        <w:t>х</w:t>
      </w:r>
      <w:r w:rsidR="0077722F" w:rsidRPr="004B641E">
        <w:rPr>
          <w:highlight w:val="yellow"/>
        </w:rPr>
        <w:t xml:space="preserve"> </w:t>
      </w:r>
      <w:proofErr w:type="spellStart"/>
      <w:r w:rsidR="0077722F" w:rsidRPr="004B641E">
        <w:rPr>
          <w:highlight w:val="yellow"/>
        </w:rPr>
        <w:t>айберг</w:t>
      </w:r>
      <w:proofErr w:type="spellEnd"/>
      <w:r w:rsidR="0077722F" w:rsidRPr="004B641E">
        <w:rPr>
          <w:highlight w:val="yellow"/>
        </w:rPr>
        <w:t>-заяв</w:t>
      </w:r>
      <w:r w:rsidRPr="004B641E">
        <w:rPr>
          <w:highlight w:val="yellow"/>
        </w:rPr>
        <w:t>ок проводится проверка возможности их</w:t>
      </w:r>
      <w:r w:rsidR="0077722F" w:rsidRPr="004B641E">
        <w:rPr>
          <w:highlight w:val="yellow"/>
        </w:rPr>
        <w:t xml:space="preserve"> объеди</w:t>
      </w:r>
      <w:r w:rsidRPr="004B641E">
        <w:rPr>
          <w:highlight w:val="yellow"/>
        </w:rPr>
        <w:t>нения</w:t>
      </w:r>
      <w:r w:rsidR="0077722F" w:rsidRPr="004B641E">
        <w:rPr>
          <w:highlight w:val="yellow"/>
        </w:rPr>
        <w:t xml:space="preserve"> в цепочки</w:t>
      </w:r>
      <w:r w:rsidR="00116746" w:rsidRPr="004B641E">
        <w:rPr>
          <w:highlight w:val="yellow"/>
        </w:rPr>
        <w:t>. Для этого проводится проверка выполнения следующих условий</w:t>
      </w:r>
      <w:r w:rsidR="0009072E" w:rsidRPr="004B641E">
        <w:rPr>
          <w:highlight w:val="yellow"/>
        </w:rPr>
        <w:t>:</w:t>
      </w:r>
    </w:p>
    <w:p w:rsidR="0009072E" w:rsidRPr="004B641E" w:rsidRDefault="0009072E" w:rsidP="008F7BC5">
      <w:pPr>
        <w:pStyle w:val="ac"/>
        <w:numPr>
          <w:ilvl w:val="1"/>
          <w:numId w:val="7"/>
        </w:numPr>
        <w:rPr>
          <w:highlight w:val="yellow"/>
        </w:rPr>
      </w:pPr>
      <w:r w:rsidRPr="004B641E">
        <w:rPr>
          <w:highlight w:val="yellow"/>
        </w:rPr>
        <w:t>Совпадает объем видимой части;</w:t>
      </w:r>
    </w:p>
    <w:p w:rsidR="0009072E" w:rsidRPr="004B641E" w:rsidRDefault="0009072E" w:rsidP="008F7BC5">
      <w:pPr>
        <w:pStyle w:val="ac"/>
        <w:numPr>
          <w:ilvl w:val="1"/>
          <w:numId w:val="7"/>
        </w:numPr>
        <w:rPr>
          <w:highlight w:val="yellow"/>
        </w:rPr>
      </w:pPr>
      <w:r w:rsidRPr="004B641E">
        <w:rPr>
          <w:highlight w:val="yellow"/>
        </w:rPr>
        <w:t xml:space="preserve">Совпадает </w:t>
      </w:r>
      <w:r w:rsidR="00702897" w:rsidRPr="004B641E">
        <w:rPr>
          <w:highlight w:val="yellow"/>
        </w:rPr>
        <w:t>уровень цены</w:t>
      </w:r>
      <w:r w:rsidRPr="004B641E">
        <w:rPr>
          <w:highlight w:val="yellow"/>
        </w:rPr>
        <w:t>;</w:t>
      </w:r>
    </w:p>
    <w:p w:rsidR="0009072E" w:rsidRPr="004B641E" w:rsidRDefault="0009072E" w:rsidP="008F7BC5">
      <w:pPr>
        <w:pStyle w:val="ac"/>
        <w:numPr>
          <w:ilvl w:val="1"/>
          <w:numId w:val="7"/>
        </w:numPr>
        <w:rPr>
          <w:highlight w:val="yellow"/>
        </w:rPr>
      </w:pPr>
      <w:r w:rsidRPr="004B641E">
        <w:rPr>
          <w:highlight w:val="yellow"/>
        </w:rPr>
        <w:t>Между исполнением</w:t>
      </w:r>
      <w:r w:rsidR="00387B96" w:rsidRPr="004B641E">
        <w:rPr>
          <w:highlight w:val="yellow"/>
        </w:rPr>
        <w:t xml:space="preserve"> одной</w:t>
      </w:r>
      <w:r w:rsidRPr="004B641E">
        <w:rPr>
          <w:highlight w:val="yellow"/>
        </w:rPr>
        <w:t xml:space="preserve"> и выставлением</w:t>
      </w:r>
      <w:r w:rsidR="00387B96" w:rsidRPr="004B641E">
        <w:rPr>
          <w:highlight w:val="yellow"/>
        </w:rPr>
        <w:t xml:space="preserve"> следующей</w:t>
      </w:r>
      <w:r w:rsidRPr="004B641E">
        <w:rPr>
          <w:highlight w:val="yellow"/>
        </w:rPr>
        <w:t xml:space="preserve"> прошло менее </w:t>
      </w:r>
      <w:r w:rsidRPr="004B641E">
        <w:rPr>
          <w:highlight w:val="yellow"/>
          <w:lang w:val="en-US"/>
        </w:rPr>
        <w:t>N</w:t>
      </w:r>
      <w:r w:rsidRPr="004B641E">
        <w:rPr>
          <w:highlight w:val="yellow"/>
        </w:rPr>
        <w:t xml:space="preserve"> микросекунд;</w:t>
      </w:r>
    </w:p>
    <w:p w:rsidR="0009072E" w:rsidRPr="004B641E" w:rsidRDefault="0009072E" w:rsidP="008F7BC5">
      <w:pPr>
        <w:pStyle w:val="ac"/>
        <w:numPr>
          <w:ilvl w:val="0"/>
          <w:numId w:val="7"/>
        </w:numPr>
        <w:rPr>
          <w:highlight w:val="yellow"/>
        </w:rPr>
      </w:pPr>
      <w:r w:rsidRPr="004B641E">
        <w:rPr>
          <w:highlight w:val="yellow"/>
        </w:rPr>
        <w:t xml:space="preserve">Для выявленных цепочек производится проверка наличия на </w:t>
      </w:r>
      <w:r w:rsidR="00387B96" w:rsidRPr="004B641E">
        <w:rPr>
          <w:highlight w:val="yellow"/>
        </w:rPr>
        <w:t>краях цепочек заявок</w:t>
      </w:r>
      <w:r w:rsidR="00116746" w:rsidRPr="004B641E">
        <w:rPr>
          <w:highlight w:val="yellow"/>
        </w:rPr>
        <w:t xml:space="preserve"> из списка исполненных заявок, которы</w:t>
      </w:r>
      <w:r w:rsidR="009D0C61" w:rsidRPr="004B641E">
        <w:rPr>
          <w:highlight w:val="yellow"/>
        </w:rPr>
        <w:t>е могут считаться частью цепочки айсберга.</w:t>
      </w:r>
      <w:r w:rsidR="00387B96" w:rsidRPr="004B641E">
        <w:rPr>
          <w:highlight w:val="yellow"/>
        </w:rPr>
        <w:t xml:space="preserve"> </w:t>
      </w:r>
      <w:r w:rsidR="00116746" w:rsidRPr="004B641E">
        <w:rPr>
          <w:highlight w:val="yellow"/>
        </w:rPr>
        <w:t>Для этого производится проверка следующих условий</w:t>
      </w:r>
      <w:r w:rsidR="00387B96" w:rsidRPr="004B641E">
        <w:rPr>
          <w:highlight w:val="yellow"/>
        </w:rPr>
        <w:t>:</w:t>
      </w:r>
    </w:p>
    <w:p w:rsidR="00387B96" w:rsidRPr="004B641E" w:rsidRDefault="00387B96" w:rsidP="008F7BC5">
      <w:pPr>
        <w:pStyle w:val="ac"/>
        <w:numPr>
          <w:ilvl w:val="1"/>
          <w:numId w:val="7"/>
        </w:numPr>
        <w:rPr>
          <w:highlight w:val="yellow"/>
        </w:rPr>
      </w:pPr>
      <w:r w:rsidRPr="004B641E">
        <w:rPr>
          <w:highlight w:val="yellow"/>
        </w:rPr>
        <w:lastRenderedPageBreak/>
        <w:t>Совпадает объем видимой части;</w:t>
      </w:r>
    </w:p>
    <w:p w:rsidR="00387B96" w:rsidRPr="004B641E" w:rsidRDefault="00387B96" w:rsidP="008F7BC5">
      <w:pPr>
        <w:pStyle w:val="ac"/>
        <w:numPr>
          <w:ilvl w:val="1"/>
          <w:numId w:val="7"/>
        </w:numPr>
        <w:rPr>
          <w:highlight w:val="yellow"/>
        </w:rPr>
      </w:pPr>
      <w:r w:rsidRPr="004B641E">
        <w:rPr>
          <w:highlight w:val="yellow"/>
        </w:rPr>
        <w:t xml:space="preserve">Совпадает </w:t>
      </w:r>
      <w:r w:rsidR="00702897" w:rsidRPr="004B641E">
        <w:rPr>
          <w:highlight w:val="yellow"/>
        </w:rPr>
        <w:t>уровень цены</w:t>
      </w:r>
      <w:r w:rsidRPr="004B641E">
        <w:rPr>
          <w:highlight w:val="yellow"/>
        </w:rPr>
        <w:t>;</w:t>
      </w:r>
    </w:p>
    <w:p w:rsidR="00387B96" w:rsidRPr="004B641E" w:rsidRDefault="00387B96" w:rsidP="008F7BC5">
      <w:pPr>
        <w:pStyle w:val="ac"/>
        <w:numPr>
          <w:ilvl w:val="1"/>
          <w:numId w:val="7"/>
        </w:numPr>
        <w:rPr>
          <w:highlight w:val="yellow"/>
        </w:rPr>
      </w:pPr>
      <w:r w:rsidRPr="004B641E">
        <w:rPr>
          <w:highlight w:val="yellow"/>
        </w:rPr>
        <w:t>Между исполнением</w:t>
      </w:r>
      <w:r w:rsidR="00F650C8" w:rsidRPr="004B641E">
        <w:rPr>
          <w:highlight w:val="yellow"/>
        </w:rPr>
        <w:t xml:space="preserve"> </w:t>
      </w:r>
      <w:r w:rsidR="009D0C61" w:rsidRPr="004B641E">
        <w:rPr>
          <w:highlight w:val="yellow"/>
        </w:rPr>
        <w:t>последней заявки в цепочке</w:t>
      </w:r>
      <w:r w:rsidRPr="004B641E">
        <w:rPr>
          <w:highlight w:val="yellow"/>
        </w:rPr>
        <w:t xml:space="preserve"> и выставлением</w:t>
      </w:r>
      <w:r w:rsidR="00F650C8" w:rsidRPr="004B641E">
        <w:rPr>
          <w:highlight w:val="yellow"/>
        </w:rPr>
        <w:t xml:space="preserve"> </w:t>
      </w:r>
      <w:r w:rsidR="009D0C61" w:rsidRPr="004B641E">
        <w:rPr>
          <w:highlight w:val="yellow"/>
        </w:rPr>
        <w:t>заявки</w:t>
      </w:r>
      <w:r w:rsidRPr="004B641E">
        <w:rPr>
          <w:highlight w:val="yellow"/>
        </w:rPr>
        <w:t xml:space="preserve"> прошло менее </w:t>
      </w:r>
      <w:r w:rsidRPr="004B641E">
        <w:rPr>
          <w:highlight w:val="yellow"/>
          <w:lang w:val="en-US"/>
        </w:rPr>
        <w:t>N</w:t>
      </w:r>
      <w:r w:rsidRPr="004B641E">
        <w:rPr>
          <w:highlight w:val="yellow"/>
        </w:rPr>
        <w:t xml:space="preserve"> микросекунд;</w:t>
      </w:r>
    </w:p>
    <w:p w:rsidR="00F650C8" w:rsidRPr="004B641E" w:rsidRDefault="00F650C8" w:rsidP="008F7BC5">
      <w:pPr>
        <w:pStyle w:val="ac"/>
        <w:numPr>
          <w:ilvl w:val="0"/>
          <w:numId w:val="7"/>
        </w:numPr>
        <w:rPr>
          <w:highlight w:val="yellow"/>
        </w:rPr>
      </w:pPr>
      <w:r w:rsidRPr="004B641E">
        <w:rPr>
          <w:highlight w:val="yellow"/>
        </w:rPr>
        <w:t>Для вы</w:t>
      </w:r>
      <w:r w:rsidR="00FC42E2" w:rsidRPr="004B641E">
        <w:rPr>
          <w:highlight w:val="yellow"/>
        </w:rPr>
        <w:t>явленных цепочек айсберг-заявок проводится проверка возможности их объединения:</w:t>
      </w:r>
    </w:p>
    <w:p w:rsidR="00FC42E2" w:rsidRPr="004B641E" w:rsidRDefault="00FC42E2" w:rsidP="008F7BC5">
      <w:pPr>
        <w:pStyle w:val="ac"/>
        <w:numPr>
          <w:ilvl w:val="1"/>
          <w:numId w:val="7"/>
        </w:numPr>
        <w:rPr>
          <w:highlight w:val="yellow"/>
        </w:rPr>
      </w:pPr>
      <w:r w:rsidRPr="004B641E">
        <w:rPr>
          <w:highlight w:val="yellow"/>
        </w:rPr>
        <w:t>Совпадает объем видимой части;</w:t>
      </w:r>
    </w:p>
    <w:p w:rsidR="00FC42E2" w:rsidRPr="004B641E" w:rsidRDefault="00FC42E2" w:rsidP="008F7BC5">
      <w:pPr>
        <w:pStyle w:val="ac"/>
        <w:numPr>
          <w:ilvl w:val="1"/>
          <w:numId w:val="7"/>
        </w:numPr>
        <w:rPr>
          <w:highlight w:val="yellow"/>
        </w:rPr>
      </w:pPr>
      <w:r w:rsidRPr="004B641E">
        <w:rPr>
          <w:highlight w:val="yellow"/>
        </w:rPr>
        <w:t xml:space="preserve">Совпадает </w:t>
      </w:r>
      <w:r w:rsidR="00702897" w:rsidRPr="004B641E">
        <w:rPr>
          <w:highlight w:val="yellow"/>
        </w:rPr>
        <w:t>уровень цены</w:t>
      </w:r>
      <w:r w:rsidRPr="004B641E">
        <w:rPr>
          <w:highlight w:val="yellow"/>
        </w:rPr>
        <w:t>;</w:t>
      </w:r>
    </w:p>
    <w:p w:rsidR="00FC42E2" w:rsidRPr="004B641E" w:rsidRDefault="00FC42E2" w:rsidP="008F7BC5">
      <w:pPr>
        <w:pStyle w:val="ac"/>
        <w:numPr>
          <w:ilvl w:val="1"/>
          <w:numId w:val="7"/>
        </w:numPr>
        <w:rPr>
          <w:highlight w:val="yellow"/>
        </w:rPr>
      </w:pPr>
      <w:r w:rsidRPr="004B641E">
        <w:rPr>
          <w:highlight w:val="yellow"/>
        </w:rPr>
        <w:t xml:space="preserve">Между исполнением одной и выставлением следующей прошло менее </w:t>
      </w:r>
      <w:r w:rsidRPr="004B641E">
        <w:rPr>
          <w:highlight w:val="yellow"/>
          <w:lang w:val="en-US"/>
        </w:rPr>
        <w:t>N</w:t>
      </w:r>
      <w:r w:rsidRPr="004B641E">
        <w:rPr>
          <w:highlight w:val="yellow"/>
        </w:rPr>
        <w:t xml:space="preserve"> микросекунд.</w:t>
      </w:r>
    </w:p>
    <w:p w:rsidR="009D0C61" w:rsidRPr="004B641E" w:rsidRDefault="009D0C61" w:rsidP="008F7BC5">
      <w:pPr>
        <w:pStyle w:val="ac"/>
        <w:numPr>
          <w:ilvl w:val="0"/>
          <w:numId w:val="7"/>
        </w:numPr>
        <w:rPr>
          <w:highlight w:val="yellow"/>
        </w:rPr>
      </w:pPr>
      <w:r w:rsidRPr="004B641E">
        <w:rPr>
          <w:highlight w:val="yellow"/>
        </w:rPr>
        <w:t>Запись информации о выявленных цепочках.</w:t>
      </w:r>
    </w:p>
    <w:p w:rsidR="0096214A" w:rsidRDefault="00BD5700" w:rsidP="00D762A6">
      <w:r w:rsidRPr="004B641E">
        <w:rPr>
          <w:highlight w:val="yellow"/>
        </w:rPr>
        <w:t>Недостатком</w:t>
      </w:r>
      <w:r w:rsidR="00FC42E2" w:rsidRPr="004B641E">
        <w:rPr>
          <w:highlight w:val="yellow"/>
        </w:rPr>
        <w:t xml:space="preserve"> тако</w:t>
      </w:r>
      <w:r w:rsidRPr="004B641E">
        <w:rPr>
          <w:highlight w:val="yellow"/>
        </w:rPr>
        <w:t xml:space="preserve">го </w:t>
      </w:r>
      <w:r w:rsidR="00FC42E2" w:rsidRPr="004B641E">
        <w:rPr>
          <w:highlight w:val="yellow"/>
        </w:rPr>
        <w:t>алгоритм</w:t>
      </w:r>
      <w:r w:rsidRPr="004B641E">
        <w:rPr>
          <w:highlight w:val="yellow"/>
        </w:rPr>
        <w:t>а</w:t>
      </w:r>
      <w:r w:rsidR="00FC42E2" w:rsidRPr="004B641E">
        <w:rPr>
          <w:highlight w:val="yellow"/>
        </w:rPr>
        <w:t xml:space="preserve"> восстановления цепочки всплытия айсберга </w:t>
      </w:r>
      <w:r w:rsidR="0043508B" w:rsidRPr="004B641E">
        <w:rPr>
          <w:highlight w:val="yellow"/>
        </w:rPr>
        <w:t>является потеря</w:t>
      </w:r>
      <w:r w:rsidR="00FC42E2" w:rsidRPr="004B641E">
        <w:rPr>
          <w:highlight w:val="yellow"/>
        </w:rPr>
        <w:t xml:space="preserve"> </w:t>
      </w:r>
      <w:r w:rsidRPr="004B641E">
        <w:rPr>
          <w:highlight w:val="yellow"/>
        </w:rPr>
        <w:t>информация о всплытии последней части айсберга, так как ее объем может значительно отличаться от всплытия остальных частей, а значит</w:t>
      </w:r>
      <w:r w:rsidR="009D0C61" w:rsidRPr="004B641E">
        <w:rPr>
          <w:highlight w:val="yellow"/>
        </w:rPr>
        <w:t>,</w:t>
      </w:r>
      <w:r w:rsidRPr="004B641E">
        <w:rPr>
          <w:highlight w:val="yellow"/>
        </w:rPr>
        <w:t xml:space="preserve"> не будет включен в цепочку. </w:t>
      </w:r>
      <w:r w:rsidR="0043508B" w:rsidRPr="004B641E">
        <w:rPr>
          <w:highlight w:val="yellow"/>
        </w:rPr>
        <w:t xml:space="preserve">В данном случае можно пренебречь </w:t>
      </w:r>
      <w:r w:rsidR="009D0C61" w:rsidRPr="004B641E">
        <w:rPr>
          <w:highlight w:val="yellow"/>
        </w:rPr>
        <w:t>последней</w:t>
      </w:r>
      <w:r w:rsidR="0043508B" w:rsidRPr="004B641E">
        <w:rPr>
          <w:highlight w:val="yellow"/>
        </w:rPr>
        <w:t xml:space="preserve"> частью айсберга, так как на нее приходится</w:t>
      </w:r>
      <w:r w:rsidR="009D0C61" w:rsidRPr="004B641E">
        <w:rPr>
          <w:highlight w:val="yellow"/>
        </w:rPr>
        <w:t xml:space="preserve"> объем меньший, чем каждое всплытие айсберга, в масштабах всего айсберга такой объем можно считать незначительным</w:t>
      </w:r>
      <w:r w:rsidR="0043508B" w:rsidRPr="004B641E">
        <w:rPr>
          <w:highlight w:val="yellow"/>
        </w:rPr>
        <w:t>.</w:t>
      </w:r>
    </w:p>
    <w:p w:rsidR="002432A4" w:rsidRDefault="006D7A87" w:rsidP="002432A4">
      <w:pPr>
        <w:pStyle w:val="3"/>
      </w:pPr>
      <w:r>
        <w:t>Формат данных</w:t>
      </w:r>
    </w:p>
    <w:p w:rsidR="006D7A87" w:rsidRDefault="006D7A87" w:rsidP="006D7A87">
      <w:r>
        <w:t xml:space="preserve">В рамках данной работы используются данные об итогах торгов Московской Биржи. Данные представлены множеством </w:t>
      </w:r>
      <w:r>
        <w:rPr>
          <w:lang w:val="en-US"/>
        </w:rPr>
        <w:t>zip</w:t>
      </w:r>
      <w:r w:rsidRPr="003257CB">
        <w:t>-</w:t>
      </w:r>
      <w:r>
        <w:t>файлов (архивов), каждый из которых соответствует отдельному торговому дню. Внутри архива содержатся два файла: файл с заявками и файл со сделками. Ни один из этих файлов не содержит указания на участников торгов, совершивших ту или иную операцию на рынке – данные являются обезличенными.</w:t>
      </w:r>
    </w:p>
    <w:p w:rsidR="006D7A87" w:rsidRDefault="006D7A87" w:rsidP="006D7A87">
      <w:r>
        <w:t xml:space="preserve">В рамках данной работы рассматривается только файл с заявками. Содержимое файла представляет собой </w:t>
      </w:r>
      <w:proofErr w:type="spellStart"/>
      <w:r>
        <w:t>пособытийную</w:t>
      </w:r>
      <w:proofErr w:type="spellEnd"/>
      <w:r>
        <w:t xml:space="preserve"> очередь изменения состояния заявок в разрезе инструментов фондового рынка</w:t>
      </w:r>
      <w:r w:rsidRPr="00A677BC">
        <w:t xml:space="preserve"> </w:t>
      </w:r>
      <w:r>
        <w:t xml:space="preserve">за торговый день с точностью до </w:t>
      </w:r>
      <w:r w:rsidR="004B641E">
        <w:t>микросекунд</w:t>
      </w:r>
      <w:r w:rsidR="00286249">
        <w:t xml:space="preserve"> (6 знаков)</w:t>
      </w:r>
      <w:r>
        <w:t xml:space="preserve"> – классический файл формата </w:t>
      </w:r>
      <w:proofErr w:type="spellStart"/>
      <w:r>
        <w:rPr>
          <w:lang w:val="en-US"/>
        </w:rPr>
        <w:t>Orderlog</w:t>
      </w:r>
      <w:proofErr w:type="spellEnd"/>
      <w:r>
        <w:t>, который использ</w:t>
      </w:r>
      <w:r w:rsidR="00286249">
        <w:t>уется</w:t>
      </w:r>
      <w:r>
        <w:t xml:space="preserve"> на бирже </w:t>
      </w:r>
      <w:r w:rsidR="004B641E">
        <w:t>с</w:t>
      </w:r>
      <w:r>
        <w:t xml:space="preserve"> марта 2016 года. </w:t>
      </w:r>
      <w:r w:rsidR="004B641E">
        <w:t>До</w:t>
      </w:r>
      <w:r>
        <w:t xml:space="preserve"> марта 2016 года </w:t>
      </w:r>
      <w:proofErr w:type="spellStart"/>
      <w:r>
        <w:rPr>
          <w:lang w:val="en-US"/>
        </w:rPr>
        <w:t>Orderlog</w:t>
      </w:r>
      <w:proofErr w:type="spellEnd"/>
      <w:r w:rsidRPr="00AE5A36">
        <w:t xml:space="preserve"> </w:t>
      </w:r>
      <w:r>
        <w:t xml:space="preserve">был </w:t>
      </w:r>
      <w:r w:rsidR="004B641E">
        <w:t>менее точным</w:t>
      </w:r>
      <w:r>
        <w:t xml:space="preserve"> с точки зрения детализации времени изменения состояния заявки – </w:t>
      </w:r>
      <w:r w:rsidR="00286249">
        <w:t>использовались</w:t>
      </w:r>
      <w:r>
        <w:t xml:space="preserve"> миллисекунд</w:t>
      </w:r>
      <w:r w:rsidR="00286249">
        <w:t>ы</w:t>
      </w:r>
      <w:r>
        <w:t xml:space="preserve"> (3 знака)</w:t>
      </w:r>
      <w:r w:rsidRPr="00941BC7">
        <w:t>.</w:t>
      </w:r>
      <w:r>
        <w:t xml:space="preserve"> </w:t>
      </w:r>
      <w:r>
        <w:fldChar w:fldCharType="begin"/>
      </w:r>
      <w:r>
        <w:instrText xml:space="preserve"> REF _Ref18412258 \h </w:instrText>
      </w:r>
      <w:r>
        <w:fldChar w:fldCharType="separate"/>
      </w:r>
      <w:r>
        <w:t xml:space="preserve">Таблица </w:t>
      </w:r>
      <w:r>
        <w:rPr>
          <w:noProof/>
        </w:rPr>
        <w:t>2</w:t>
      </w:r>
      <w:r>
        <w:fldChar w:fldCharType="end"/>
      </w:r>
      <w:r>
        <w:t xml:space="preserve"> содержит характеристики каждого поля данного файла.</w:t>
      </w:r>
    </w:p>
    <w:p w:rsidR="006D7A87" w:rsidRDefault="006D7A87" w:rsidP="006D7A87"/>
    <w:p w:rsidR="006D7A87" w:rsidRDefault="006D7A87" w:rsidP="006D7A87">
      <w:pPr>
        <w:pStyle w:val="ae"/>
        <w:keepNext/>
      </w:pPr>
      <w:r>
        <w:t xml:space="preserve">Таблица </w:t>
      </w:r>
      <w:r>
        <w:fldChar w:fldCharType="begin"/>
      </w:r>
      <w:r>
        <w:instrText xml:space="preserve"> SEQ Таблица \* ARABIC </w:instrText>
      </w:r>
      <w:r>
        <w:fldChar w:fldCharType="separate"/>
      </w:r>
      <w:r w:rsidR="00ED4C37">
        <w:rPr>
          <w:noProof/>
        </w:rPr>
        <w:t>2</w:t>
      </w:r>
      <w:r>
        <w:rPr>
          <w:noProof/>
        </w:rPr>
        <w:fldChar w:fldCharType="end"/>
      </w:r>
    </w:p>
    <w:p w:rsidR="006D7A87" w:rsidRPr="002C1C05" w:rsidRDefault="006D7A87" w:rsidP="006D7A87">
      <w:pPr>
        <w:pStyle w:val="ad"/>
      </w:pPr>
      <w:r>
        <w:t xml:space="preserve">Описание полей файла </w:t>
      </w:r>
      <w:proofErr w:type="spellStart"/>
      <w:r>
        <w:rPr>
          <w:lang w:val="en-US"/>
        </w:rPr>
        <w:t>Orderlog</w:t>
      </w:r>
      <w:proofErr w:type="spellEnd"/>
    </w:p>
    <w:tbl>
      <w:tblPr>
        <w:tblStyle w:val="a9"/>
        <w:tblW w:w="0" w:type="auto"/>
        <w:tblLook w:val="04A0" w:firstRow="1" w:lastRow="0" w:firstColumn="1" w:lastColumn="0" w:noHBand="0" w:noVBand="1"/>
      </w:tblPr>
      <w:tblGrid>
        <w:gridCol w:w="1840"/>
        <w:gridCol w:w="1841"/>
        <w:gridCol w:w="5658"/>
      </w:tblGrid>
      <w:tr w:rsidR="006D7A87" w:rsidTr="00AC31B4">
        <w:tc>
          <w:tcPr>
            <w:tcW w:w="1840" w:type="dxa"/>
          </w:tcPr>
          <w:p w:rsidR="006D7A87" w:rsidRDefault="006D7A87" w:rsidP="00AC31B4">
            <w:pPr>
              <w:pStyle w:val="af"/>
            </w:pPr>
            <w:r>
              <w:t>Название поля</w:t>
            </w:r>
          </w:p>
        </w:tc>
        <w:tc>
          <w:tcPr>
            <w:tcW w:w="1841" w:type="dxa"/>
          </w:tcPr>
          <w:p w:rsidR="006D7A87" w:rsidRDefault="006D7A87" w:rsidP="00AC31B4">
            <w:pPr>
              <w:pStyle w:val="af"/>
            </w:pPr>
            <w:r>
              <w:t>Тип данных</w:t>
            </w:r>
          </w:p>
        </w:tc>
        <w:tc>
          <w:tcPr>
            <w:tcW w:w="5658" w:type="dxa"/>
          </w:tcPr>
          <w:p w:rsidR="006D7A87" w:rsidRDefault="006D7A87" w:rsidP="00AC31B4">
            <w:pPr>
              <w:pStyle w:val="af"/>
            </w:pPr>
            <w:r>
              <w:t>Описание</w:t>
            </w:r>
          </w:p>
        </w:tc>
      </w:tr>
      <w:tr w:rsidR="006D7A87" w:rsidTr="00AC31B4">
        <w:tc>
          <w:tcPr>
            <w:tcW w:w="1840" w:type="dxa"/>
          </w:tcPr>
          <w:p w:rsidR="006D7A87" w:rsidRPr="00DA0FDF" w:rsidRDefault="006D7A87" w:rsidP="00AC31B4">
            <w:pPr>
              <w:pStyle w:val="af"/>
              <w:rPr>
                <w:lang w:val="en-US"/>
              </w:rPr>
            </w:pPr>
            <w:r>
              <w:rPr>
                <w:lang w:val="en-US"/>
              </w:rPr>
              <w:t>NO</w:t>
            </w:r>
          </w:p>
        </w:tc>
        <w:tc>
          <w:tcPr>
            <w:tcW w:w="1841" w:type="dxa"/>
          </w:tcPr>
          <w:p w:rsidR="006D7A87" w:rsidRPr="00DA0FDF" w:rsidRDefault="006D7A87" w:rsidP="00AC31B4">
            <w:pPr>
              <w:pStyle w:val="af"/>
              <w:rPr>
                <w:lang w:val="en-US"/>
              </w:rPr>
            </w:pPr>
            <w:r>
              <w:rPr>
                <w:lang w:val="en-US"/>
              </w:rPr>
              <w:t>Int</w:t>
            </w:r>
          </w:p>
        </w:tc>
        <w:tc>
          <w:tcPr>
            <w:tcW w:w="5658" w:type="dxa"/>
          </w:tcPr>
          <w:p w:rsidR="006D7A87" w:rsidRPr="000F1FD2" w:rsidRDefault="006D7A87" w:rsidP="00AC31B4">
            <w:pPr>
              <w:pStyle w:val="af"/>
            </w:pPr>
            <w:r>
              <w:t>Номер записи</w:t>
            </w:r>
          </w:p>
        </w:tc>
      </w:tr>
      <w:tr w:rsidR="006D7A87" w:rsidTr="00AC31B4">
        <w:tc>
          <w:tcPr>
            <w:tcW w:w="1840" w:type="dxa"/>
          </w:tcPr>
          <w:p w:rsidR="006D7A87" w:rsidRPr="00DA0FDF" w:rsidRDefault="006D7A87" w:rsidP="00AC31B4">
            <w:pPr>
              <w:pStyle w:val="af"/>
              <w:rPr>
                <w:lang w:val="en-US"/>
              </w:rPr>
            </w:pPr>
            <w:r>
              <w:rPr>
                <w:lang w:val="en-US"/>
              </w:rPr>
              <w:t>SECCODE</w:t>
            </w:r>
          </w:p>
        </w:tc>
        <w:tc>
          <w:tcPr>
            <w:tcW w:w="1841" w:type="dxa"/>
          </w:tcPr>
          <w:p w:rsidR="006D7A87" w:rsidRPr="00DA0FDF" w:rsidRDefault="006D7A87" w:rsidP="00AC31B4">
            <w:pPr>
              <w:pStyle w:val="af"/>
              <w:rPr>
                <w:lang w:val="en-US"/>
              </w:rPr>
            </w:pPr>
            <w:r>
              <w:rPr>
                <w:lang w:val="en-US"/>
              </w:rPr>
              <w:t>String</w:t>
            </w:r>
          </w:p>
        </w:tc>
        <w:tc>
          <w:tcPr>
            <w:tcW w:w="5658" w:type="dxa"/>
          </w:tcPr>
          <w:p w:rsidR="006D7A87" w:rsidRDefault="006D7A87" w:rsidP="00AC31B4">
            <w:pPr>
              <w:pStyle w:val="af"/>
            </w:pPr>
            <w:r>
              <w:t>Идентификатор инструмента</w:t>
            </w:r>
          </w:p>
        </w:tc>
      </w:tr>
      <w:tr w:rsidR="006D7A87" w:rsidTr="00AC31B4">
        <w:tc>
          <w:tcPr>
            <w:tcW w:w="1840" w:type="dxa"/>
          </w:tcPr>
          <w:p w:rsidR="006D7A87" w:rsidRPr="00DA0FDF" w:rsidRDefault="006D7A87" w:rsidP="00AC31B4">
            <w:pPr>
              <w:pStyle w:val="af"/>
              <w:rPr>
                <w:lang w:val="en-US"/>
              </w:rPr>
            </w:pPr>
            <w:r>
              <w:rPr>
                <w:lang w:val="en-US"/>
              </w:rPr>
              <w:lastRenderedPageBreak/>
              <w:t>BUYSELL</w:t>
            </w:r>
          </w:p>
        </w:tc>
        <w:tc>
          <w:tcPr>
            <w:tcW w:w="1841" w:type="dxa"/>
          </w:tcPr>
          <w:p w:rsidR="006D7A87" w:rsidRPr="00DA0FDF" w:rsidRDefault="006D7A87" w:rsidP="00AC31B4">
            <w:pPr>
              <w:pStyle w:val="af"/>
              <w:rPr>
                <w:lang w:val="en-US"/>
              </w:rPr>
            </w:pPr>
            <w:r>
              <w:rPr>
                <w:lang w:val="en-US"/>
              </w:rPr>
              <w:t>Char</w:t>
            </w:r>
          </w:p>
        </w:tc>
        <w:tc>
          <w:tcPr>
            <w:tcW w:w="5658" w:type="dxa"/>
          </w:tcPr>
          <w:p w:rsidR="006D7A87" w:rsidRDefault="006D7A87" w:rsidP="00AC31B4">
            <w:pPr>
              <w:pStyle w:val="af"/>
            </w:pPr>
            <w:r>
              <w:t>Направление заявки:</w:t>
            </w:r>
          </w:p>
          <w:p w:rsidR="006D7A87" w:rsidRDefault="006D7A87" w:rsidP="00AC31B4">
            <w:pPr>
              <w:pStyle w:val="af"/>
            </w:pPr>
            <w:r>
              <w:rPr>
                <w:lang w:val="en-US"/>
              </w:rPr>
              <w:t>B</w:t>
            </w:r>
            <w:r w:rsidRPr="00B670CD">
              <w:t xml:space="preserve"> – </w:t>
            </w:r>
            <w:r>
              <w:t>заявка на покупку</w:t>
            </w:r>
          </w:p>
          <w:p w:rsidR="006D7A87" w:rsidRPr="001F15C6" w:rsidRDefault="006D7A87" w:rsidP="00AC31B4">
            <w:pPr>
              <w:pStyle w:val="af"/>
            </w:pPr>
            <w:r>
              <w:rPr>
                <w:lang w:val="en-US"/>
              </w:rPr>
              <w:t xml:space="preserve">S </w:t>
            </w:r>
            <w:r>
              <w:t>– заявка на продажу</w:t>
            </w:r>
          </w:p>
        </w:tc>
      </w:tr>
      <w:tr w:rsidR="006D7A87" w:rsidTr="00AC31B4">
        <w:tc>
          <w:tcPr>
            <w:tcW w:w="1840" w:type="dxa"/>
          </w:tcPr>
          <w:p w:rsidR="006D7A87" w:rsidRPr="00DA0FDF" w:rsidRDefault="006D7A87" w:rsidP="00AC31B4">
            <w:pPr>
              <w:pStyle w:val="af"/>
              <w:rPr>
                <w:lang w:val="en-US"/>
              </w:rPr>
            </w:pPr>
            <w:r>
              <w:rPr>
                <w:lang w:val="en-US"/>
              </w:rPr>
              <w:t>TIME</w:t>
            </w:r>
          </w:p>
        </w:tc>
        <w:tc>
          <w:tcPr>
            <w:tcW w:w="1841" w:type="dxa"/>
          </w:tcPr>
          <w:p w:rsidR="006D7A87" w:rsidRPr="00DA0FDF" w:rsidRDefault="006D7A87" w:rsidP="00AC31B4">
            <w:pPr>
              <w:pStyle w:val="af"/>
              <w:rPr>
                <w:lang w:val="en-US"/>
              </w:rPr>
            </w:pPr>
            <w:r>
              <w:rPr>
                <w:lang w:val="en-US"/>
              </w:rPr>
              <w:t>Int</w:t>
            </w:r>
          </w:p>
        </w:tc>
        <w:tc>
          <w:tcPr>
            <w:tcW w:w="5658" w:type="dxa"/>
          </w:tcPr>
          <w:p w:rsidR="006D7A87" w:rsidRPr="00365E19" w:rsidRDefault="006D7A87" w:rsidP="00AC31B4">
            <w:pPr>
              <w:pStyle w:val="af"/>
            </w:pPr>
            <w:r>
              <w:t xml:space="preserve">Время изменения состояния заявки в формате </w:t>
            </w:r>
            <w:r w:rsidRPr="001F15C6">
              <w:t>HHMMSS</w:t>
            </w:r>
            <w:r>
              <w:rPr>
                <w:lang w:val="en-US"/>
              </w:rPr>
              <w:t>QQQ</w:t>
            </w:r>
            <w:r>
              <w:t xml:space="preserve"> до марта 2016, далее </w:t>
            </w:r>
            <w:r w:rsidRPr="001F15C6">
              <w:t>HHMMSS</w:t>
            </w:r>
            <w:r>
              <w:rPr>
                <w:lang w:val="en-US"/>
              </w:rPr>
              <w:t>QQQZZZ</w:t>
            </w:r>
          </w:p>
        </w:tc>
      </w:tr>
      <w:tr w:rsidR="006D7A87" w:rsidTr="00AC31B4">
        <w:tc>
          <w:tcPr>
            <w:tcW w:w="1840" w:type="dxa"/>
          </w:tcPr>
          <w:p w:rsidR="006D7A87" w:rsidRPr="00DA0FDF" w:rsidRDefault="006D7A87" w:rsidP="00AC31B4">
            <w:pPr>
              <w:pStyle w:val="af"/>
              <w:rPr>
                <w:lang w:val="en-US"/>
              </w:rPr>
            </w:pPr>
            <w:r>
              <w:rPr>
                <w:lang w:val="en-US"/>
              </w:rPr>
              <w:t>ORDERNO</w:t>
            </w:r>
          </w:p>
        </w:tc>
        <w:tc>
          <w:tcPr>
            <w:tcW w:w="1841" w:type="dxa"/>
          </w:tcPr>
          <w:p w:rsidR="006D7A87" w:rsidRPr="00DA0FDF" w:rsidRDefault="006D7A87" w:rsidP="00AC31B4">
            <w:pPr>
              <w:pStyle w:val="af"/>
              <w:rPr>
                <w:lang w:val="en-US"/>
              </w:rPr>
            </w:pPr>
            <w:r>
              <w:rPr>
                <w:lang w:val="en-US"/>
              </w:rPr>
              <w:t>Int</w:t>
            </w:r>
          </w:p>
        </w:tc>
        <w:tc>
          <w:tcPr>
            <w:tcW w:w="5658" w:type="dxa"/>
          </w:tcPr>
          <w:p w:rsidR="006D7A87" w:rsidRPr="001F15C6" w:rsidRDefault="006D7A87" w:rsidP="00AC31B4">
            <w:pPr>
              <w:pStyle w:val="af"/>
            </w:pPr>
            <w:r>
              <w:t>Номер заявки</w:t>
            </w:r>
          </w:p>
        </w:tc>
      </w:tr>
      <w:tr w:rsidR="006D7A87" w:rsidTr="00AC31B4">
        <w:tc>
          <w:tcPr>
            <w:tcW w:w="1840" w:type="dxa"/>
          </w:tcPr>
          <w:p w:rsidR="006D7A87" w:rsidRPr="00DA0FDF" w:rsidRDefault="006D7A87" w:rsidP="00AC31B4">
            <w:pPr>
              <w:pStyle w:val="af"/>
              <w:rPr>
                <w:lang w:val="en-US"/>
              </w:rPr>
            </w:pPr>
            <w:r>
              <w:rPr>
                <w:lang w:val="en-US"/>
              </w:rPr>
              <w:t>ACTION</w:t>
            </w:r>
          </w:p>
        </w:tc>
        <w:tc>
          <w:tcPr>
            <w:tcW w:w="1841" w:type="dxa"/>
          </w:tcPr>
          <w:p w:rsidR="006D7A87" w:rsidRPr="00DA0FDF" w:rsidRDefault="006D7A87" w:rsidP="00AC31B4">
            <w:pPr>
              <w:pStyle w:val="af"/>
              <w:rPr>
                <w:lang w:val="en-US"/>
              </w:rPr>
            </w:pPr>
            <w:r>
              <w:rPr>
                <w:lang w:val="en-US"/>
              </w:rPr>
              <w:t>Int</w:t>
            </w:r>
          </w:p>
        </w:tc>
        <w:tc>
          <w:tcPr>
            <w:tcW w:w="5658" w:type="dxa"/>
          </w:tcPr>
          <w:p w:rsidR="006D7A87" w:rsidRDefault="006D7A87" w:rsidP="00AC31B4">
            <w:pPr>
              <w:pStyle w:val="af"/>
            </w:pPr>
            <w:r>
              <w:t>Идентификатор состояния заявки:</w:t>
            </w:r>
          </w:p>
          <w:p w:rsidR="006D7A87" w:rsidRDefault="006D7A87" w:rsidP="00AC31B4">
            <w:pPr>
              <w:pStyle w:val="af"/>
            </w:pPr>
            <w:r>
              <w:t>0 – снятие заявки</w:t>
            </w:r>
          </w:p>
          <w:p w:rsidR="006D7A87" w:rsidRDefault="006D7A87" w:rsidP="00AC31B4">
            <w:pPr>
              <w:pStyle w:val="af"/>
            </w:pPr>
            <w:r>
              <w:t>1 – выставление заявки</w:t>
            </w:r>
          </w:p>
          <w:p w:rsidR="006D7A87" w:rsidRDefault="006D7A87" w:rsidP="00AC31B4">
            <w:pPr>
              <w:pStyle w:val="af"/>
            </w:pPr>
            <w:r>
              <w:t>2 – исполнение заявки (сделка)</w:t>
            </w:r>
          </w:p>
        </w:tc>
      </w:tr>
      <w:tr w:rsidR="006D7A87" w:rsidTr="00AC31B4">
        <w:tc>
          <w:tcPr>
            <w:tcW w:w="1840" w:type="dxa"/>
          </w:tcPr>
          <w:p w:rsidR="006D7A87" w:rsidRPr="00DA0FDF" w:rsidRDefault="006D7A87" w:rsidP="00AC31B4">
            <w:pPr>
              <w:pStyle w:val="af"/>
              <w:rPr>
                <w:lang w:val="en-US"/>
              </w:rPr>
            </w:pPr>
            <w:r>
              <w:rPr>
                <w:lang w:val="en-US"/>
              </w:rPr>
              <w:t>PRICE</w:t>
            </w:r>
          </w:p>
        </w:tc>
        <w:tc>
          <w:tcPr>
            <w:tcW w:w="1841" w:type="dxa"/>
          </w:tcPr>
          <w:p w:rsidR="006D7A87" w:rsidRPr="00DA0FDF" w:rsidRDefault="006D7A87" w:rsidP="00AC31B4">
            <w:pPr>
              <w:pStyle w:val="af"/>
              <w:rPr>
                <w:lang w:val="en-US"/>
              </w:rPr>
            </w:pPr>
            <w:r>
              <w:rPr>
                <w:lang w:val="en-US"/>
              </w:rPr>
              <w:t>Float</w:t>
            </w:r>
          </w:p>
        </w:tc>
        <w:tc>
          <w:tcPr>
            <w:tcW w:w="5658" w:type="dxa"/>
          </w:tcPr>
          <w:p w:rsidR="006D7A87" w:rsidRDefault="006D7A87" w:rsidP="00AC31B4">
            <w:pPr>
              <w:pStyle w:val="af"/>
            </w:pPr>
            <w:r>
              <w:t xml:space="preserve">Цена, </w:t>
            </w:r>
            <w:proofErr w:type="spellStart"/>
            <w:r>
              <w:t>усл.ед</w:t>
            </w:r>
            <w:proofErr w:type="spellEnd"/>
            <w:r>
              <w:t>.</w:t>
            </w:r>
          </w:p>
        </w:tc>
      </w:tr>
      <w:tr w:rsidR="006D7A87" w:rsidTr="00AC31B4">
        <w:tc>
          <w:tcPr>
            <w:tcW w:w="1840" w:type="dxa"/>
          </w:tcPr>
          <w:p w:rsidR="006D7A87" w:rsidRDefault="006D7A87" w:rsidP="00AC31B4">
            <w:pPr>
              <w:pStyle w:val="af"/>
              <w:rPr>
                <w:lang w:val="en-US"/>
              </w:rPr>
            </w:pPr>
            <w:r>
              <w:rPr>
                <w:lang w:val="en-US"/>
              </w:rPr>
              <w:t>VOLUME</w:t>
            </w:r>
          </w:p>
        </w:tc>
        <w:tc>
          <w:tcPr>
            <w:tcW w:w="1841" w:type="dxa"/>
          </w:tcPr>
          <w:p w:rsidR="006D7A87" w:rsidRPr="00DA0FDF" w:rsidRDefault="006D7A87" w:rsidP="00AC31B4">
            <w:pPr>
              <w:pStyle w:val="af"/>
              <w:rPr>
                <w:lang w:val="en-US"/>
              </w:rPr>
            </w:pPr>
            <w:r>
              <w:rPr>
                <w:lang w:val="en-US"/>
              </w:rPr>
              <w:t>Int</w:t>
            </w:r>
          </w:p>
        </w:tc>
        <w:tc>
          <w:tcPr>
            <w:tcW w:w="5658" w:type="dxa"/>
          </w:tcPr>
          <w:p w:rsidR="006D7A87" w:rsidRDefault="006D7A87" w:rsidP="00AC31B4">
            <w:pPr>
              <w:pStyle w:val="af"/>
            </w:pPr>
            <w:r>
              <w:t>Объем, шт.</w:t>
            </w:r>
          </w:p>
        </w:tc>
      </w:tr>
      <w:tr w:rsidR="006D7A87" w:rsidTr="00AC31B4">
        <w:tc>
          <w:tcPr>
            <w:tcW w:w="1840" w:type="dxa"/>
          </w:tcPr>
          <w:p w:rsidR="006D7A87" w:rsidRDefault="006D7A87" w:rsidP="00AC31B4">
            <w:pPr>
              <w:pStyle w:val="af"/>
              <w:rPr>
                <w:lang w:val="en-US"/>
              </w:rPr>
            </w:pPr>
            <w:r>
              <w:rPr>
                <w:lang w:val="en-US"/>
              </w:rPr>
              <w:t>TRADENO</w:t>
            </w:r>
          </w:p>
        </w:tc>
        <w:tc>
          <w:tcPr>
            <w:tcW w:w="1841" w:type="dxa"/>
          </w:tcPr>
          <w:p w:rsidR="006D7A87" w:rsidRPr="00DA0FDF" w:rsidRDefault="006D7A87" w:rsidP="00AC31B4">
            <w:pPr>
              <w:pStyle w:val="af"/>
              <w:rPr>
                <w:lang w:val="en-US"/>
              </w:rPr>
            </w:pPr>
            <w:r>
              <w:rPr>
                <w:lang w:val="en-US"/>
              </w:rPr>
              <w:t>Int</w:t>
            </w:r>
          </w:p>
        </w:tc>
        <w:tc>
          <w:tcPr>
            <w:tcW w:w="5658" w:type="dxa"/>
          </w:tcPr>
          <w:p w:rsidR="006D7A87" w:rsidRDefault="006D7A87" w:rsidP="00AC31B4">
            <w:pPr>
              <w:pStyle w:val="af"/>
            </w:pPr>
            <w:r>
              <w:t>Номер сделки (заполняется только для заявок в состоянии 2 (сделка))</w:t>
            </w:r>
          </w:p>
        </w:tc>
      </w:tr>
      <w:tr w:rsidR="006D7A87" w:rsidTr="00AC31B4">
        <w:tc>
          <w:tcPr>
            <w:tcW w:w="1840" w:type="dxa"/>
          </w:tcPr>
          <w:p w:rsidR="006D7A87" w:rsidRDefault="006D7A87" w:rsidP="00AC31B4">
            <w:pPr>
              <w:pStyle w:val="af"/>
              <w:rPr>
                <w:lang w:val="en-US"/>
              </w:rPr>
            </w:pPr>
            <w:r>
              <w:rPr>
                <w:lang w:val="en-US"/>
              </w:rPr>
              <w:t>TRADEPRICE</w:t>
            </w:r>
          </w:p>
        </w:tc>
        <w:tc>
          <w:tcPr>
            <w:tcW w:w="1841" w:type="dxa"/>
          </w:tcPr>
          <w:p w:rsidR="006D7A87" w:rsidRPr="00DA0FDF" w:rsidRDefault="006D7A87" w:rsidP="00AC31B4">
            <w:pPr>
              <w:pStyle w:val="af"/>
              <w:rPr>
                <w:lang w:val="en-US"/>
              </w:rPr>
            </w:pPr>
            <w:r>
              <w:rPr>
                <w:lang w:val="en-US"/>
              </w:rPr>
              <w:t>Float</w:t>
            </w:r>
          </w:p>
        </w:tc>
        <w:tc>
          <w:tcPr>
            <w:tcW w:w="5658" w:type="dxa"/>
          </w:tcPr>
          <w:p w:rsidR="006D7A87" w:rsidRDefault="006D7A87" w:rsidP="00AC31B4">
            <w:pPr>
              <w:pStyle w:val="af"/>
            </w:pPr>
            <w:r>
              <w:t xml:space="preserve">Цена сделки, </w:t>
            </w:r>
            <w:proofErr w:type="spellStart"/>
            <w:r>
              <w:t>усл.ед</w:t>
            </w:r>
            <w:proofErr w:type="spellEnd"/>
            <w:r>
              <w:t>. (заполняется только для заявок в состоянии 2 (сделка))</w:t>
            </w:r>
          </w:p>
        </w:tc>
      </w:tr>
    </w:tbl>
    <w:p w:rsidR="006D7A87" w:rsidRDefault="006D7A87" w:rsidP="006D7A87"/>
    <w:p w:rsidR="003F6E02" w:rsidRDefault="00286249" w:rsidP="006D7A87">
      <w:r>
        <w:t>Как уже было отмечено ранее, рассматриваются</w:t>
      </w:r>
      <w:r w:rsidR="006D7A87">
        <w:t xml:space="preserve"> данные по фондовому рынку Московской Биржи за </w:t>
      </w:r>
      <w:r w:rsidR="006D7A87" w:rsidRPr="00762E25">
        <w:t>период 01.03.2019 – 29.03.2019, всего 20 торговых дней</w:t>
      </w:r>
      <w:r w:rsidR="006D7A87">
        <w:t xml:space="preserve">. </w:t>
      </w:r>
      <w:r>
        <w:t>В рамках данного периода были отобраны 15 инструментов, относящихся к списку голубых фише</w:t>
      </w:r>
      <w:r w:rsidR="003F6E02">
        <w:t>к Московской Биржи на момент 01.03.2019:</w:t>
      </w:r>
    </w:p>
    <w:p w:rsidR="003F6E02" w:rsidRDefault="003F6E02" w:rsidP="003F6E02">
      <w:pPr>
        <w:pStyle w:val="ac"/>
        <w:numPr>
          <w:ilvl w:val="0"/>
          <w:numId w:val="19"/>
        </w:numPr>
      </w:pPr>
    </w:p>
    <w:p w:rsidR="006D7A87" w:rsidRDefault="003F6E02" w:rsidP="003F6E02">
      <w:r>
        <w:t>Выбор в пользу данных инструментов был сделан на основании того факта, что все отмеченные инструменты относятся к группе ликвидных инструментов по классификации Московской Биржи</w:t>
      </w:r>
      <w:r w:rsidR="002C1FEA">
        <w:t xml:space="preserve">, а значит гарантируют наличие данных для целей исследования. Но даже при условии наличия у данных инструментов признака ликвидных инструментов, результаты предварительного анализа показывают, что инструменты не являются однородными. </w:t>
      </w:r>
      <w:r w:rsidR="00ED4C37">
        <w:t xml:space="preserve">В </w:t>
      </w:r>
      <w:r w:rsidR="00F36A19">
        <w:fldChar w:fldCharType="begin"/>
      </w:r>
      <w:r w:rsidR="00F36A19">
        <w:instrText xml:space="preserve"> REF _Ref39400881 \h </w:instrText>
      </w:r>
      <w:r w:rsidR="00F36A19">
        <w:fldChar w:fldCharType="separate"/>
      </w:r>
      <w:r w:rsidR="00F36A19">
        <w:t xml:space="preserve">Таблица </w:t>
      </w:r>
      <w:r w:rsidR="00F36A19">
        <w:rPr>
          <w:noProof/>
        </w:rPr>
        <w:t>3</w:t>
      </w:r>
      <w:r w:rsidR="00F36A19">
        <w:fldChar w:fldCharType="end"/>
      </w:r>
      <w:r w:rsidR="00ED4C37">
        <w:t xml:space="preserve"> представлена статистика по среднему количеству выставленных заявок и их среднему объему в разрезе каждого из типов заявок: рыночные, лимитные и </w:t>
      </w:r>
      <w:bookmarkStart w:id="11" w:name="_GoBack"/>
      <w:r w:rsidR="00ED4C37">
        <w:t>айсберг</w:t>
      </w:r>
      <w:bookmarkEnd w:id="11"/>
      <w:r w:rsidR="00F36A19">
        <w:t>-заявки</w:t>
      </w:r>
      <w:r w:rsidR="00ED4C37">
        <w:t>.</w:t>
      </w:r>
    </w:p>
    <w:p w:rsidR="00ED4C37" w:rsidRDefault="00ED4C37" w:rsidP="00ED4C37">
      <w:pPr>
        <w:pStyle w:val="ae"/>
        <w:keepNext/>
      </w:pPr>
      <w:bookmarkStart w:id="12" w:name="_Ref39400881"/>
      <w:r>
        <w:t xml:space="preserve">Таблица </w:t>
      </w:r>
      <w:r>
        <w:fldChar w:fldCharType="begin"/>
      </w:r>
      <w:r>
        <w:instrText xml:space="preserve"> SEQ Таблица \* ARABIC </w:instrText>
      </w:r>
      <w:r>
        <w:fldChar w:fldCharType="separate"/>
      </w:r>
      <w:r>
        <w:rPr>
          <w:noProof/>
        </w:rPr>
        <w:t>3</w:t>
      </w:r>
      <w:r>
        <w:rPr>
          <w:noProof/>
        </w:rPr>
        <w:fldChar w:fldCharType="end"/>
      </w:r>
      <w:bookmarkEnd w:id="12"/>
    </w:p>
    <w:p w:rsidR="00ED4C37" w:rsidRPr="002C1C05" w:rsidRDefault="002814B0" w:rsidP="00ED4C37">
      <w:pPr>
        <w:pStyle w:val="ad"/>
      </w:pPr>
      <w:r>
        <w:t>Среднее количество и средний объем заявок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4"/>
        <w:gridCol w:w="1334"/>
        <w:gridCol w:w="1334"/>
        <w:gridCol w:w="1334"/>
        <w:gridCol w:w="1334"/>
        <w:gridCol w:w="1334"/>
        <w:gridCol w:w="1335"/>
      </w:tblGrid>
      <w:tr w:rsidR="00D762A6" w:rsidTr="00D762A6">
        <w:trPr>
          <w:tblHeader/>
        </w:trPr>
        <w:tc>
          <w:tcPr>
            <w:tcW w:w="714" w:type="pct"/>
            <w:vMerge w:val="restart"/>
            <w:shd w:val="clear" w:color="auto" w:fill="auto"/>
            <w:tcMar>
              <w:top w:w="120" w:type="dxa"/>
              <w:left w:w="120" w:type="dxa"/>
              <w:bottom w:w="120" w:type="dxa"/>
              <w:right w:w="120" w:type="dxa"/>
            </w:tcMar>
            <w:vAlign w:val="center"/>
            <w:hideMark/>
          </w:tcPr>
          <w:p w:rsidR="00D762A6" w:rsidRDefault="00D762A6" w:rsidP="00062264">
            <w:pPr>
              <w:pStyle w:val="af"/>
            </w:pPr>
            <w:r>
              <w:t>Инструмент</w:t>
            </w:r>
          </w:p>
        </w:tc>
        <w:tc>
          <w:tcPr>
            <w:tcW w:w="1428" w:type="pct"/>
            <w:gridSpan w:val="2"/>
            <w:shd w:val="clear" w:color="auto" w:fill="auto"/>
            <w:tcMar>
              <w:top w:w="120" w:type="dxa"/>
              <w:left w:w="120" w:type="dxa"/>
              <w:bottom w:w="120" w:type="dxa"/>
              <w:right w:w="120" w:type="dxa"/>
            </w:tcMar>
            <w:vAlign w:val="center"/>
            <w:hideMark/>
          </w:tcPr>
          <w:p w:rsidR="00D762A6" w:rsidRDefault="00D762A6" w:rsidP="00062264">
            <w:pPr>
              <w:pStyle w:val="af"/>
              <w:rPr>
                <w:szCs w:val="20"/>
              </w:rPr>
            </w:pPr>
            <w:r>
              <w:rPr>
                <w:szCs w:val="20"/>
              </w:rPr>
              <w:t>Айсберг-заявки</w:t>
            </w:r>
          </w:p>
        </w:tc>
        <w:tc>
          <w:tcPr>
            <w:tcW w:w="1428" w:type="pct"/>
            <w:gridSpan w:val="2"/>
            <w:shd w:val="clear" w:color="auto" w:fill="auto"/>
            <w:tcMar>
              <w:top w:w="120" w:type="dxa"/>
              <w:left w:w="120" w:type="dxa"/>
              <w:bottom w:w="120" w:type="dxa"/>
              <w:right w:w="120" w:type="dxa"/>
            </w:tcMar>
            <w:vAlign w:val="center"/>
            <w:hideMark/>
          </w:tcPr>
          <w:p w:rsidR="00D762A6" w:rsidRDefault="00D762A6" w:rsidP="00062264">
            <w:pPr>
              <w:pStyle w:val="af"/>
              <w:rPr>
                <w:szCs w:val="20"/>
              </w:rPr>
            </w:pPr>
            <w:r>
              <w:rPr>
                <w:szCs w:val="20"/>
              </w:rPr>
              <w:t>Лимитные заявки</w:t>
            </w:r>
          </w:p>
        </w:tc>
        <w:tc>
          <w:tcPr>
            <w:tcW w:w="1429" w:type="pct"/>
            <w:gridSpan w:val="2"/>
            <w:shd w:val="clear" w:color="auto" w:fill="auto"/>
            <w:tcMar>
              <w:top w:w="120" w:type="dxa"/>
              <w:left w:w="120" w:type="dxa"/>
              <w:bottom w:w="120" w:type="dxa"/>
              <w:right w:w="120" w:type="dxa"/>
            </w:tcMar>
            <w:vAlign w:val="center"/>
            <w:hideMark/>
          </w:tcPr>
          <w:p w:rsidR="00D762A6" w:rsidRDefault="00D762A6" w:rsidP="00062264">
            <w:pPr>
              <w:pStyle w:val="af"/>
              <w:rPr>
                <w:szCs w:val="20"/>
              </w:rPr>
            </w:pPr>
            <w:r>
              <w:rPr>
                <w:szCs w:val="20"/>
              </w:rPr>
              <w:t>Рыночные заявки</w:t>
            </w:r>
          </w:p>
        </w:tc>
      </w:tr>
      <w:tr w:rsidR="00D762A6" w:rsidTr="00D762A6">
        <w:trPr>
          <w:tblHeader/>
        </w:trPr>
        <w:tc>
          <w:tcPr>
            <w:tcW w:w="714" w:type="pct"/>
            <w:vMerge/>
            <w:shd w:val="clear" w:color="auto" w:fill="auto"/>
            <w:tcMar>
              <w:top w:w="120" w:type="dxa"/>
              <w:left w:w="120" w:type="dxa"/>
              <w:bottom w:w="120" w:type="dxa"/>
              <w:right w:w="120" w:type="dxa"/>
            </w:tcMar>
            <w:vAlign w:val="center"/>
          </w:tcPr>
          <w:p w:rsidR="00D762A6" w:rsidRDefault="00D762A6" w:rsidP="0050328B">
            <w:pPr>
              <w:pStyle w:val="af"/>
            </w:pPr>
          </w:p>
        </w:tc>
        <w:tc>
          <w:tcPr>
            <w:tcW w:w="714" w:type="pct"/>
            <w:shd w:val="clear" w:color="auto" w:fill="auto"/>
            <w:tcMar>
              <w:top w:w="120" w:type="dxa"/>
              <w:left w:w="120" w:type="dxa"/>
              <w:bottom w:w="120" w:type="dxa"/>
              <w:right w:w="120" w:type="dxa"/>
            </w:tcMar>
            <w:vAlign w:val="center"/>
          </w:tcPr>
          <w:p w:rsidR="00D762A6" w:rsidRDefault="00D762A6" w:rsidP="0050328B">
            <w:pPr>
              <w:pStyle w:val="af"/>
            </w:pPr>
            <w:r>
              <w:t>Количество, шт.</w:t>
            </w:r>
          </w:p>
        </w:tc>
        <w:tc>
          <w:tcPr>
            <w:tcW w:w="714" w:type="pct"/>
            <w:shd w:val="clear" w:color="auto" w:fill="auto"/>
            <w:tcMar>
              <w:top w:w="120" w:type="dxa"/>
              <w:left w:w="120" w:type="dxa"/>
              <w:bottom w:w="120" w:type="dxa"/>
              <w:right w:w="120" w:type="dxa"/>
            </w:tcMar>
            <w:vAlign w:val="center"/>
          </w:tcPr>
          <w:p w:rsidR="00D762A6" w:rsidRDefault="00D762A6" w:rsidP="0050328B">
            <w:pPr>
              <w:pStyle w:val="af"/>
              <w:rPr>
                <w:szCs w:val="20"/>
              </w:rPr>
            </w:pPr>
            <w:r>
              <w:rPr>
                <w:szCs w:val="20"/>
              </w:rPr>
              <w:t>Объем, шт.</w:t>
            </w:r>
          </w:p>
        </w:tc>
        <w:tc>
          <w:tcPr>
            <w:tcW w:w="714" w:type="pct"/>
            <w:shd w:val="clear" w:color="auto" w:fill="auto"/>
            <w:tcMar>
              <w:top w:w="120" w:type="dxa"/>
              <w:left w:w="120" w:type="dxa"/>
              <w:bottom w:w="120" w:type="dxa"/>
              <w:right w:w="120" w:type="dxa"/>
            </w:tcMar>
            <w:vAlign w:val="center"/>
          </w:tcPr>
          <w:p w:rsidR="00D762A6" w:rsidRDefault="00D762A6" w:rsidP="0050328B">
            <w:pPr>
              <w:pStyle w:val="af"/>
            </w:pPr>
            <w:r>
              <w:t>Количество, шт.</w:t>
            </w:r>
          </w:p>
        </w:tc>
        <w:tc>
          <w:tcPr>
            <w:tcW w:w="714" w:type="pct"/>
            <w:shd w:val="clear" w:color="auto" w:fill="auto"/>
            <w:tcMar>
              <w:top w:w="120" w:type="dxa"/>
              <w:left w:w="120" w:type="dxa"/>
              <w:bottom w:w="120" w:type="dxa"/>
              <w:right w:w="120" w:type="dxa"/>
            </w:tcMar>
            <w:vAlign w:val="center"/>
          </w:tcPr>
          <w:p w:rsidR="00D762A6" w:rsidRDefault="00D762A6" w:rsidP="0050328B">
            <w:pPr>
              <w:pStyle w:val="af"/>
              <w:rPr>
                <w:szCs w:val="20"/>
              </w:rPr>
            </w:pPr>
            <w:r>
              <w:rPr>
                <w:szCs w:val="20"/>
              </w:rPr>
              <w:t>Объем, шт.</w:t>
            </w:r>
          </w:p>
        </w:tc>
        <w:tc>
          <w:tcPr>
            <w:tcW w:w="714" w:type="pct"/>
            <w:shd w:val="clear" w:color="auto" w:fill="auto"/>
            <w:tcMar>
              <w:top w:w="120" w:type="dxa"/>
              <w:left w:w="120" w:type="dxa"/>
              <w:bottom w:w="120" w:type="dxa"/>
              <w:right w:w="120" w:type="dxa"/>
            </w:tcMar>
            <w:vAlign w:val="center"/>
          </w:tcPr>
          <w:p w:rsidR="00D762A6" w:rsidRDefault="00D762A6" w:rsidP="0050328B">
            <w:pPr>
              <w:pStyle w:val="af"/>
            </w:pPr>
            <w:r>
              <w:t>Количество, шт.</w:t>
            </w:r>
          </w:p>
        </w:tc>
        <w:tc>
          <w:tcPr>
            <w:tcW w:w="715" w:type="pct"/>
            <w:shd w:val="clear" w:color="auto" w:fill="auto"/>
            <w:tcMar>
              <w:top w:w="120" w:type="dxa"/>
              <w:left w:w="120" w:type="dxa"/>
              <w:bottom w:w="120" w:type="dxa"/>
              <w:right w:w="120" w:type="dxa"/>
            </w:tcMar>
            <w:vAlign w:val="center"/>
          </w:tcPr>
          <w:p w:rsidR="00D762A6" w:rsidRDefault="00D762A6" w:rsidP="0050328B">
            <w:pPr>
              <w:pStyle w:val="af"/>
              <w:rPr>
                <w:szCs w:val="20"/>
              </w:rPr>
            </w:pPr>
            <w:r>
              <w:rPr>
                <w:szCs w:val="20"/>
              </w:rPr>
              <w:t>Объем, шт.</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ALRS</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307.95</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1.330669e+06</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171519.74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4.259073e+08</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2836.84</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1.183252e+06</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CHMF</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15.89</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2.754842e+04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103343.58</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2.217241e+07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1006.95</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7.606316e+04</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FIVE</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56.16</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1.675089e+04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113251.74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2.674378e+07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608.79</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1.360453e+04</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GAZP</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345.32</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1.514132e+06</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406852.68</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1.047982e+09</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5191.58</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3.348828e+06</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lastRenderedPageBreak/>
              <w:t>GMKN</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400.74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6.180768e+04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267028.47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7.776945e+06</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4186.53</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3.965768e+04</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LKOH</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198.00</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5.443711e+04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288237.37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2.292297e+07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2713.74</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6.664284e+04</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MGNT</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110.16</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1.835095e+04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206898.89</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6.308106e+06</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2502.95</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3.975074e+04</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MTSS</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72.32</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2.425179e+05</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107248.79</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8.678809e+07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1631.68</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3.194421e+05</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NVTK</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38.11</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4.759105e+04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121437.47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5.442696e+07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911.84</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9.153895e+04</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ROSN</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85.42</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2.059484e+05</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166007.05</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9.274861e+07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1827.32</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3.874042e+05</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SBER</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1016.63</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5.927933e+06</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757533.74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1.261094e+09</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14306.68</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1.386974e+07</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SNGS</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32.21</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6.226474e+05</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120351.21</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1.228389e+09</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1270.00</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2.872758e+06</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TATN</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13.53</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2.693263e+04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153614.26</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4.707190e+07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955.74</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9.646737e+04</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VTBR</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124.32</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1.632119e+09</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156366.00</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3.160191e+11</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2875.42</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3.239425e+09</w:t>
            </w:r>
          </w:p>
        </w:tc>
      </w:tr>
      <w:tr w:rsidR="00D762A6" w:rsidTr="00D762A6">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YNDX</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52.00</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1.293937e+04</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163836.79</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3.344690e+07</w:t>
            </w:r>
          </w:p>
        </w:tc>
        <w:tc>
          <w:tcPr>
            <w:tcW w:w="714" w:type="pct"/>
            <w:shd w:val="clear" w:color="auto" w:fill="auto"/>
            <w:tcMar>
              <w:top w:w="120" w:type="dxa"/>
              <w:left w:w="120" w:type="dxa"/>
              <w:bottom w:w="120" w:type="dxa"/>
              <w:right w:w="120" w:type="dxa"/>
            </w:tcMar>
            <w:vAlign w:val="center"/>
            <w:hideMark/>
          </w:tcPr>
          <w:p w:rsidR="00D762A6" w:rsidRDefault="00D762A6" w:rsidP="00D762A6">
            <w:pPr>
              <w:pStyle w:val="af"/>
            </w:pPr>
            <w:r>
              <w:t>1747.11</w:t>
            </w:r>
          </w:p>
        </w:tc>
        <w:tc>
          <w:tcPr>
            <w:tcW w:w="715" w:type="pct"/>
            <w:shd w:val="clear" w:color="auto" w:fill="auto"/>
            <w:tcMar>
              <w:top w:w="120" w:type="dxa"/>
              <w:left w:w="120" w:type="dxa"/>
              <w:bottom w:w="120" w:type="dxa"/>
              <w:right w:w="120" w:type="dxa"/>
            </w:tcMar>
            <w:vAlign w:val="center"/>
            <w:hideMark/>
          </w:tcPr>
          <w:p w:rsidR="00D762A6" w:rsidRDefault="00D762A6" w:rsidP="00D762A6">
            <w:pPr>
              <w:pStyle w:val="af"/>
            </w:pPr>
            <w:r>
              <w:t>3.758705e+04</w:t>
            </w:r>
          </w:p>
        </w:tc>
      </w:tr>
    </w:tbl>
    <w:p w:rsidR="00D762A6" w:rsidRPr="003F6E02" w:rsidRDefault="00D762A6" w:rsidP="002814B0">
      <w:pPr>
        <w:ind w:firstLine="0"/>
      </w:pPr>
    </w:p>
    <w:p w:rsidR="0096214A" w:rsidRDefault="002432A4" w:rsidP="00ED3D50">
      <w:r>
        <w:rPr>
          <w:noProof/>
        </w:rPr>
        <w:drawing>
          <wp:inline distT="0" distB="0" distL="0" distR="0" wp14:anchorId="37EB1DDE" wp14:editId="51E59820">
            <wp:extent cx="5936615" cy="2630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 экрана 2020-04-26 в 16.14.34.png"/>
                    <pic:cNvPicPr/>
                  </pic:nvPicPr>
                  <pic:blipFill>
                    <a:blip r:embed="rId8">
                      <a:extLst>
                        <a:ext uri="{28A0092B-C50C-407E-A947-70E740481C1C}">
                          <a14:useLocalDpi xmlns:a14="http://schemas.microsoft.com/office/drawing/2010/main" val="0"/>
                        </a:ext>
                      </a:extLst>
                    </a:blip>
                    <a:stretch>
                      <a:fillRect/>
                    </a:stretch>
                  </pic:blipFill>
                  <pic:spPr>
                    <a:xfrm>
                      <a:off x="0" y="0"/>
                      <a:ext cx="5936615" cy="2630170"/>
                    </a:xfrm>
                    <a:prstGeom prst="rect">
                      <a:avLst/>
                    </a:prstGeom>
                  </pic:spPr>
                </pic:pic>
              </a:graphicData>
            </a:graphic>
          </wp:inline>
        </w:drawing>
      </w:r>
    </w:p>
    <w:p w:rsidR="00283B18" w:rsidRPr="002524B5" w:rsidRDefault="00283B18" w:rsidP="00ED3D50">
      <w:r>
        <w:br w:type="page"/>
      </w:r>
    </w:p>
    <w:p w:rsidR="00ED3D50" w:rsidRPr="00283B18" w:rsidRDefault="00ED3D50" w:rsidP="00ED3D50">
      <w:pPr>
        <w:pStyle w:val="1"/>
      </w:pPr>
      <w:bookmarkStart w:id="13" w:name="_Toc38914814"/>
      <w:r>
        <w:lastRenderedPageBreak/>
        <w:t>Результаты</w:t>
      </w:r>
      <w:bookmarkEnd w:id="13"/>
    </w:p>
    <w:p w:rsidR="00ED3D50" w:rsidRDefault="00ED3D50" w:rsidP="00ED3D50"/>
    <w:p w:rsidR="00ED3D50" w:rsidRDefault="00ED3D50">
      <w:pPr>
        <w:spacing w:line="240" w:lineRule="auto"/>
        <w:ind w:firstLine="0"/>
        <w:jc w:val="left"/>
        <w:rPr>
          <w:rFonts w:eastAsiaTheme="majorEastAsia" w:cstheme="majorBidi"/>
          <w:color w:val="000000" w:themeColor="text1"/>
          <w:sz w:val="32"/>
          <w:szCs w:val="32"/>
        </w:rPr>
      </w:pPr>
      <w:r>
        <w:br w:type="page"/>
      </w:r>
    </w:p>
    <w:p w:rsidR="000A4561" w:rsidRDefault="00991E26" w:rsidP="000843EF">
      <w:pPr>
        <w:pStyle w:val="14"/>
      </w:pPr>
      <w:bookmarkStart w:id="14" w:name="_Toc38914815"/>
      <w:r>
        <w:lastRenderedPageBreak/>
        <w:t>Заключение</w:t>
      </w:r>
      <w:bookmarkEnd w:id="14"/>
    </w:p>
    <w:p w:rsidR="00991E26" w:rsidRDefault="00991E26">
      <w:pPr>
        <w:spacing w:line="240" w:lineRule="auto"/>
        <w:ind w:firstLine="0"/>
        <w:jc w:val="left"/>
        <w:rPr>
          <w:rFonts w:eastAsiaTheme="majorEastAsia" w:cstheme="majorBidi"/>
          <w:color w:val="000000" w:themeColor="text1"/>
          <w:sz w:val="32"/>
          <w:szCs w:val="32"/>
        </w:rPr>
      </w:pPr>
      <w:r>
        <w:br w:type="page"/>
      </w:r>
    </w:p>
    <w:p w:rsidR="00A34DF6" w:rsidRPr="00A34DF6" w:rsidRDefault="00A34DF6" w:rsidP="009B3007">
      <w:pPr>
        <w:pStyle w:val="14"/>
      </w:pPr>
      <w:bookmarkStart w:id="15" w:name="_Toc38914816"/>
      <w:r>
        <w:lastRenderedPageBreak/>
        <w:t>Список литературы</w:t>
      </w:r>
      <w:bookmarkEnd w:id="15"/>
    </w:p>
    <w:p w:rsidR="003A00DB" w:rsidRPr="003A00DB" w:rsidRDefault="003A00DB" w:rsidP="003A00DB">
      <w:pPr>
        <w:widowControl w:val="0"/>
        <w:autoSpaceDE w:val="0"/>
        <w:autoSpaceDN w:val="0"/>
        <w:adjustRightInd w:val="0"/>
        <w:rPr>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3A00DB">
        <w:rPr>
          <w:lang w:val="en-US"/>
        </w:rPr>
        <w:t>Amihud, Y., 2002. Illiquidity and stock returns: cross-section and time-series e</w:t>
      </w:r>
      <w:r w:rsidRPr="003A00DB">
        <w:t>ﬀ</w:t>
      </w:r>
      <w:r w:rsidRPr="003A00DB">
        <w:rPr>
          <w:lang w:val="en-US"/>
        </w:rPr>
        <w:t>ects. Journal of Financial Markets 31–56.</w:t>
      </w:r>
    </w:p>
    <w:p w:rsidR="003A00DB" w:rsidRPr="00023351" w:rsidRDefault="003A00DB" w:rsidP="003A00DB">
      <w:pPr>
        <w:widowControl w:val="0"/>
        <w:autoSpaceDE w:val="0"/>
        <w:autoSpaceDN w:val="0"/>
        <w:adjustRightInd w:val="0"/>
        <w:rPr>
          <w:lang w:val="en-US"/>
        </w:rPr>
      </w:pPr>
      <w:r w:rsidRPr="003A00DB">
        <w:rPr>
          <w:lang w:val="en-US"/>
        </w:rPr>
        <w:t xml:space="preserve">Amihud, Y., Mendelson, H., 1991. Liquidity, Maturity, and the Yields on U.S. Treasury Securities. </w:t>
      </w:r>
      <w:r w:rsidRPr="00023351">
        <w:rPr>
          <w:lang w:val="en-US"/>
        </w:rPr>
        <w:t>The Journal of Finance 46, 1411–1425.</w:t>
      </w:r>
    </w:p>
    <w:p w:rsidR="003A00DB" w:rsidRPr="00023351" w:rsidRDefault="003A00DB" w:rsidP="003A00DB">
      <w:pPr>
        <w:widowControl w:val="0"/>
        <w:autoSpaceDE w:val="0"/>
        <w:autoSpaceDN w:val="0"/>
        <w:adjustRightInd w:val="0"/>
        <w:rPr>
          <w:lang w:val="en-US"/>
        </w:rPr>
      </w:pPr>
      <w:r w:rsidRPr="00023351">
        <w:rPr>
          <w:lang w:val="en-US"/>
        </w:rPr>
        <w:t>Bernstein, P.L., 1987. Liquidity, Stock Markets, and Market Makers. Financial Management 16, 54.</w:t>
      </w:r>
    </w:p>
    <w:p w:rsidR="003A00DB" w:rsidRPr="00023351" w:rsidRDefault="003A00DB" w:rsidP="003A00DB">
      <w:pPr>
        <w:widowControl w:val="0"/>
        <w:autoSpaceDE w:val="0"/>
        <w:autoSpaceDN w:val="0"/>
        <w:adjustRightInd w:val="0"/>
        <w:rPr>
          <w:lang w:val="en-US"/>
        </w:rPr>
      </w:pPr>
      <w:r w:rsidRPr="00023351">
        <w:rPr>
          <w:lang w:val="en-US"/>
        </w:rPr>
        <w:t>Bessembinder, H., Panayides, M., Venkataraman, K., 2009. Hidden liquidity: An analysis of order exposure strategies in electronic stock markets. Journal of Financial Economics 94, 361–383.</w:t>
      </w:r>
    </w:p>
    <w:p w:rsidR="003A00DB" w:rsidRPr="00023351" w:rsidRDefault="003A00DB" w:rsidP="003A00DB">
      <w:pPr>
        <w:widowControl w:val="0"/>
        <w:autoSpaceDE w:val="0"/>
        <w:autoSpaceDN w:val="0"/>
        <w:adjustRightInd w:val="0"/>
        <w:rPr>
          <w:lang w:val="en-US"/>
        </w:rPr>
      </w:pPr>
      <w:r w:rsidRPr="00023351">
        <w:rPr>
          <w:lang w:val="en-US"/>
        </w:rPr>
        <w:t>Bloomfield, R., O’Hara, M., Saar, G., 2015. Hidden Liquidity: Some new light on dark trading. The Journal of Finance 70, 2227–2273.</w:t>
      </w:r>
    </w:p>
    <w:p w:rsidR="003A00DB" w:rsidRPr="00023351" w:rsidRDefault="003A00DB" w:rsidP="003A00DB">
      <w:pPr>
        <w:widowControl w:val="0"/>
        <w:autoSpaceDE w:val="0"/>
        <w:autoSpaceDN w:val="0"/>
        <w:adjustRightInd w:val="0"/>
        <w:rPr>
          <w:lang w:val="en-US"/>
        </w:rPr>
      </w:pPr>
      <w:r w:rsidRPr="00023351">
        <w:rPr>
          <w:lang w:val="en-US"/>
        </w:rPr>
        <w:t>Bollen, N.P.B., Whaley, R.E., 1998. Are “Teenies” Better? Journal of Portfolio Management 25, 10–24.</w:t>
      </w:r>
    </w:p>
    <w:p w:rsidR="003A00DB" w:rsidRPr="00023351" w:rsidRDefault="003A00DB" w:rsidP="003A00DB">
      <w:pPr>
        <w:widowControl w:val="0"/>
        <w:autoSpaceDE w:val="0"/>
        <w:autoSpaceDN w:val="0"/>
        <w:adjustRightInd w:val="0"/>
        <w:rPr>
          <w:lang w:val="en-US"/>
        </w:rPr>
      </w:pPr>
      <w:r w:rsidRPr="00023351">
        <w:rPr>
          <w:lang w:val="en-US"/>
        </w:rPr>
        <w:t>Cooper, Dr.S.K., Groth, Dr.J.C., Avera, Dr.W.E., 1985. Liquidity Exchange Listing and Common Stock Performance. Journal of Economics and Business 37, 19–33.</w:t>
      </w:r>
    </w:p>
    <w:p w:rsidR="003A00DB" w:rsidRPr="00023351" w:rsidRDefault="003A00DB" w:rsidP="003A00DB">
      <w:pPr>
        <w:widowControl w:val="0"/>
        <w:autoSpaceDE w:val="0"/>
        <w:autoSpaceDN w:val="0"/>
        <w:adjustRightInd w:val="0"/>
        <w:rPr>
          <w:lang w:val="en-US"/>
        </w:rPr>
      </w:pPr>
      <w:r w:rsidRPr="00023351">
        <w:rPr>
          <w:lang w:val="en-US"/>
        </w:rPr>
        <w:t>De Winne, R., D’hondt, C., 2007. Hide-and-Seek in the Market: Placing and Detecting Hidden Orders. Review of Finance 11, 663–692.</w:t>
      </w:r>
    </w:p>
    <w:p w:rsidR="003A00DB" w:rsidRPr="00023351" w:rsidRDefault="003A00DB" w:rsidP="003A00DB">
      <w:pPr>
        <w:widowControl w:val="0"/>
        <w:autoSpaceDE w:val="0"/>
        <w:autoSpaceDN w:val="0"/>
        <w:adjustRightInd w:val="0"/>
        <w:rPr>
          <w:lang w:val="en-US"/>
        </w:rPr>
      </w:pPr>
      <w:r w:rsidRPr="00023351">
        <w:rPr>
          <w:lang w:val="en-US"/>
        </w:rPr>
        <w:t>Diamond, D.W., Verrecchia, R.E., 1991. Disclosure, Liquidity, and the Cost of Capital. The Journal of Finance 46, 1325–1359.</w:t>
      </w:r>
    </w:p>
    <w:p w:rsidR="003A00DB" w:rsidRPr="00023351" w:rsidRDefault="003A00DB" w:rsidP="003A00DB">
      <w:pPr>
        <w:widowControl w:val="0"/>
        <w:autoSpaceDE w:val="0"/>
        <w:autoSpaceDN w:val="0"/>
        <w:adjustRightInd w:val="0"/>
        <w:rPr>
          <w:lang w:val="en-US"/>
        </w:rPr>
      </w:pPr>
      <w:r w:rsidRPr="00023351">
        <w:rPr>
          <w:lang w:val="en-US"/>
        </w:rPr>
        <w:t>Dr Hofmaier, M., 2019. Dark Pools – Advantages and Disadvantages Over Traditional Exchange Markets From a Consumer`s Perspective. British Open Journal of Finance &amp; Banking 1, 1–14.</w:t>
      </w:r>
    </w:p>
    <w:p w:rsidR="003A00DB" w:rsidRPr="00023351" w:rsidRDefault="003A00DB" w:rsidP="003A00DB">
      <w:pPr>
        <w:widowControl w:val="0"/>
        <w:autoSpaceDE w:val="0"/>
        <w:autoSpaceDN w:val="0"/>
        <w:adjustRightInd w:val="0"/>
        <w:rPr>
          <w:lang w:val="en-US"/>
        </w:rPr>
      </w:pPr>
      <w:r w:rsidRPr="00023351">
        <w:rPr>
          <w:lang w:val="en-US"/>
        </w:rPr>
        <w:t>Esser, A., Monch, B., 2004. The Navigation of an Iceberg: The Optimal Use of Hidden Orders. The Finance Research Letters 4, 68–81.</w:t>
      </w:r>
    </w:p>
    <w:p w:rsidR="003A00DB" w:rsidRPr="00023351" w:rsidRDefault="003A00DB" w:rsidP="003A00DB">
      <w:pPr>
        <w:widowControl w:val="0"/>
        <w:autoSpaceDE w:val="0"/>
        <w:autoSpaceDN w:val="0"/>
        <w:adjustRightInd w:val="0"/>
        <w:rPr>
          <w:lang w:val="en-US"/>
        </w:rPr>
      </w:pPr>
      <w:r w:rsidRPr="00023351">
        <w:rPr>
          <w:lang w:val="en-US"/>
        </w:rPr>
        <w:t>James, C., Edmister, R.O., 1983. The Relation Between Common Stock Returns Trading Activity and Market Value. The Journal of Finance 38, 13.</w:t>
      </w:r>
    </w:p>
    <w:p w:rsidR="003A00DB" w:rsidRPr="00023351" w:rsidRDefault="003A00DB" w:rsidP="003A00DB">
      <w:pPr>
        <w:widowControl w:val="0"/>
        <w:autoSpaceDE w:val="0"/>
        <w:autoSpaceDN w:val="0"/>
        <w:adjustRightInd w:val="0"/>
        <w:rPr>
          <w:lang w:val="en-US"/>
        </w:rPr>
      </w:pPr>
      <w:r w:rsidRPr="00023351">
        <w:rPr>
          <w:lang w:val="en-US"/>
        </w:rPr>
        <w:t>Karnaukh, N., Ranaldo, A., Söderlind, P., 2015. Understanding FX Liquidity. Review of Financial Studies 28, 3073–3108.</w:t>
      </w:r>
    </w:p>
    <w:p w:rsidR="003A00DB" w:rsidRPr="00023351" w:rsidRDefault="003A00DB" w:rsidP="003A00DB">
      <w:pPr>
        <w:widowControl w:val="0"/>
        <w:autoSpaceDE w:val="0"/>
        <w:autoSpaceDN w:val="0"/>
        <w:adjustRightInd w:val="0"/>
        <w:rPr>
          <w:lang w:val="en-US"/>
        </w:rPr>
      </w:pPr>
      <w:r w:rsidRPr="00023351">
        <w:rPr>
          <w:lang w:val="en-US"/>
        </w:rPr>
        <w:t>Kyle, A.S., 1985. Continuous Auctions and Insider Trading. Econometrica 53, 1315.</w:t>
      </w:r>
    </w:p>
    <w:p w:rsidR="003A00DB" w:rsidRPr="00023351" w:rsidRDefault="003A00DB" w:rsidP="003A00DB">
      <w:pPr>
        <w:widowControl w:val="0"/>
        <w:autoSpaceDE w:val="0"/>
        <w:autoSpaceDN w:val="0"/>
        <w:adjustRightInd w:val="0"/>
        <w:rPr>
          <w:lang w:val="en-US"/>
        </w:rPr>
      </w:pPr>
      <w:r w:rsidRPr="00023351">
        <w:rPr>
          <w:lang w:val="en-US"/>
        </w:rPr>
        <w:t>Naumenko, V., 2015. Raising Issues About Impact of High Frequency Trading on Market Liquidity, in: Bera, A.K., Ivliev, S., Lillo, F. (Eds.), Financial Econometrics and Empirical Market Microstructure. Springer International Publishing, Cham, pp. 215–223.</w:t>
      </w:r>
    </w:p>
    <w:p w:rsidR="003A00DB" w:rsidRPr="00023351" w:rsidRDefault="003A00DB" w:rsidP="003A00DB">
      <w:pPr>
        <w:widowControl w:val="0"/>
        <w:autoSpaceDE w:val="0"/>
        <w:autoSpaceDN w:val="0"/>
        <w:adjustRightInd w:val="0"/>
        <w:rPr>
          <w:lang w:val="en-US"/>
        </w:rPr>
      </w:pPr>
      <w:r w:rsidRPr="00023351">
        <w:rPr>
          <w:lang w:val="en-US"/>
        </w:rPr>
        <w:t>Ranaldo, A., 2001. Intraday market liquidity on the Swiss Stock Exchange. Financial Markets and Portfolio Management 15, 309–327.</w:t>
      </w:r>
    </w:p>
    <w:p w:rsidR="003A00DB" w:rsidRPr="003A00DB" w:rsidRDefault="003A00DB" w:rsidP="003A00DB">
      <w:pPr>
        <w:widowControl w:val="0"/>
        <w:autoSpaceDE w:val="0"/>
        <w:autoSpaceDN w:val="0"/>
        <w:adjustRightInd w:val="0"/>
      </w:pPr>
      <w:r w:rsidRPr="00023351">
        <w:rPr>
          <w:lang w:val="en-US"/>
        </w:rPr>
        <w:lastRenderedPageBreak/>
        <w:t xml:space="preserve">Tsuchida, N., Watanabe, T., Yoshiba, T., 2016. The Intraday Market Liquidity of Japanese Government Bond Futures, in: 2016-E-7. </w:t>
      </w:r>
      <w:r w:rsidRPr="003A00DB">
        <w:t>Bank of Japan, Japan, p. 43.</w:t>
      </w:r>
    </w:p>
    <w:p w:rsidR="003A00DB" w:rsidRPr="003A00DB" w:rsidRDefault="003A00DB" w:rsidP="003A00DB">
      <w:pPr>
        <w:widowControl w:val="0"/>
        <w:autoSpaceDE w:val="0"/>
        <w:autoSpaceDN w:val="0"/>
        <w:adjustRightInd w:val="0"/>
      </w:pPr>
      <w:r w:rsidRPr="003A00DB">
        <w:t>Блог компании Московская Биржа, 2019. Эволюция архитектуры торгово-клиринговой системы Московской биржи. Часть 1 [WWW Document]. Хабр. URL https://habr.com/ru/company/moex/blog/444300/</w:t>
      </w:r>
    </w:p>
    <w:p w:rsidR="003A00DB" w:rsidRPr="003A00DB" w:rsidRDefault="003A00DB" w:rsidP="003A00DB">
      <w:pPr>
        <w:widowControl w:val="0"/>
        <w:autoSpaceDE w:val="0"/>
        <w:autoSpaceDN w:val="0"/>
        <w:adjustRightInd w:val="0"/>
      </w:pPr>
      <w:r w:rsidRPr="003A00DB">
        <w:t>Московская Биржа, 2020a. Рейтинг участников торгов по количеству зарегистрированных Индивидуальных инвестиционных счетов [WWW Document]. Московская Биржа. URL https://www.moex.com/ru/spot/members-rating.aspx?rid=125</w:t>
      </w:r>
    </w:p>
    <w:p w:rsidR="003A00DB" w:rsidRPr="003A00DB" w:rsidRDefault="003A00DB" w:rsidP="003A00DB">
      <w:pPr>
        <w:widowControl w:val="0"/>
        <w:autoSpaceDE w:val="0"/>
        <w:autoSpaceDN w:val="0"/>
        <w:adjustRightInd w:val="0"/>
      </w:pPr>
      <w:r w:rsidRPr="003A00DB">
        <w:t>Московская Биржа, 2020b. Список торгуемых инструментов [WWW Document]. Московская Биржа. URL https://www.moex.com/a1600 (accessed 4.1.20).</w:t>
      </w:r>
    </w:p>
    <w:p w:rsidR="003A00DB" w:rsidRPr="003A00DB" w:rsidRDefault="003A00DB" w:rsidP="003A00DB">
      <w:pPr>
        <w:widowControl w:val="0"/>
        <w:autoSpaceDE w:val="0"/>
        <w:autoSpaceDN w:val="0"/>
        <w:adjustRightInd w:val="0"/>
      </w:pPr>
      <w:r w:rsidRPr="003A00DB">
        <w:t>Московская Биржа, 2019. Московская биржа объявляет финансовые результаты за первый квартал 2019 года [WWW Document]. Московская Биржа. URL https://www.moex.com/n23633/?nt=106 (accessed 4.1.20).</w:t>
      </w:r>
    </w:p>
    <w:p w:rsidR="003A00DB" w:rsidRPr="003A00DB" w:rsidRDefault="003A00DB" w:rsidP="003A00DB">
      <w:pPr>
        <w:widowControl w:val="0"/>
        <w:autoSpaceDE w:val="0"/>
        <w:autoSpaceDN w:val="0"/>
        <w:adjustRightInd w:val="0"/>
      </w:pPr>
      <w:r w:rsidRPr="003A00DB">
        <w:t>Московская Биржа, 2016. Правила проведения торгов в Закрытом акционерном обществе “Фондовая биржа ММВБ”. Часть 2. Секция фондового рынка.</w:t>
      </w:r>
    </w:p>
    <w:p w:rsidR="003A00DB" w:rsidRPr="003A00DB" w:rsidRDefault="003A00DB" w:rsidP="003A00DB">
      <w:pPr>
        <w:widowControl w:val="0"/>
        <w:autoSpaceDE w:val="0"/>
        <w:autoSpaceDN w:val="0"/>
        <w:adjustRightInd w:val="0"/>
      </w:pPr>
      <w:r w:rsidRPr="003A00DB">
        <w:t>Науменко, В.В., 2007. Моделирование риска рыночной ликвидности с учетом глубины рынка (Препринт). ГУ ВШЭ, Москва.</w:t>
      </w:r>
    </w:p>
    <w:p w:rsidR="003A00DB" w:rsidRPr="003A00DB" w:rsidRDefault="003A00DB" w:rsidP="003A00DB">
      <w:pPr>
        <w:widowControl w:val="0"/>
        <w:autoSpaceDE w:val="0"/>
        <w:autoSpaceDN w:val="0"/>
        <w:adjustRightInd w:val="0"/>
      </w:pPr>
      <w:r w:rsidRPr="003A00DB">
        <w:t>Правительство Российской Федерации, 2008. Стратегия развития финансового рынка Российской Федерации на период до 2020 года.</w:t>
      </w:r>
    </w:p>
    <w:p w:rsidR="006B0C83" w:rsidRPr="00F1472B" w:rsidRDefault="003A00DB" w:rsidP="00274BFD">
      <w:pPr>
        <w:widowControl w:val="0"/>
        <w:autoSpaceDE w:val="0"/>
        <w:autoSpaceDN w:val="0"/>
        <w:adjustRightInd w:val="0"/>
        <w:rPr>
          <w:lang w:val="en-US"/>
        </w:rPr>
      </w:pPr>
      <w:r>
        <w:rPr>
          <w:lang w:val="en-US"/>
        </w:rPr>
        <w:fldChar w:fldCharType="end"/>
      </w:r>
    </w:p>
    <w:sectPr w:rsidR="006B0C83" w:rsidRPr="00F1472B" w:rsidSect="00D2551C">
      <w:footerReference w:type="even" r:id="rId9"/>
      <w:footerReference w:type="default" r:id="rId10"/>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376" w:rsidRDefault="00BA5376" w:rsidP="00D2551C">
      <w:pPr>
        <w:spacing w:line="240" w:lineRule="auto"/>
      </w:pPr>
      <w:r>
        <w:separator/>
      </w:r>
    </w:p>
  </w:endnote>
  <w:endnote w:type="continuationSeparator" w:id="0">
    <w:p w:rsidR="00BA5376" w:rsidRDefault="00BA5376" w:rsidP="00D255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869028464"/>
      <w:docPartObj>
        <w:docPartGallery w:val="Page Numbers (Bottom of Page)"/>
        <w:docPartUnique/>
      </w:docPartObj>
    </w:sdtPr>
    <w:sdtContent>
      <w:p w:rsidR="009A6400" w:rsidRDefault="009A6400" w:rsidP="00590D1F">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9A6400" w:rsidRDefault="009A6400" w:rsidP="00D2551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904187886"/>
      <w:docPartObj>
        <w:docPartGallery w:val="Page Numbers (Bottom of Page)"/>
        <w:docPartUnique/>
      </w:docPartObj>
    </w:sdtPr>
    <w:sdtContent>
      <w:p w:rsidR="009A6400" w:rsidRDefault="009A6400" w:rsidP="00590D1F">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25</w:t>
        </w:r>
        <w:r>
          <w:rPr>
            <w:rStyle w:val="a5"/>
          </w:rPr>
          <w:fldChar w:fldCharType="end"/>
        </w:r>
      </w:p>
    </w:sdtContent>
  </w:sdt>
  <w:p w:rsidR="009A6400" w:rsidRDefault="009A6400" w:rsidP="00D2551C">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376" w:rsidRDefault="00BA5376" w:rsidP="00D2551C">
      <w:pPr>
        <w:spacing w:line="240" w:lineRule="auto"/>
      </w:pPr>
      <w:r>
        <w:separator/>
      </w:r>
    </w:p>
  </w:footnote>
  <w:footnote w:type="continuationSeparator" w:id="0">
    <w:p w:rsidR="00BA5376" w:rsidRDefault="00BA5376" w:rsidP="00D255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D54"/>
    <w:multiLevelType w:val="hybridMultilevel"/>
    <w:tmpl w:val="C73A7330"/>
    <w:lvl w:ilvl="0" w:tplc="7ED2D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FF43447"/>
    <w:multiLevelType w:val="hybridMultilevel"/>
    <w:tmpl w:val="F23203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5F155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322A45"/>
    <w:multiLevelType w:val="hybridMultilevel"/>
    <w:tmpl w:val="199278B6"/>
    <w:lvl w:ilvl="0" w:tplc="160C09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2D03382"/>
    <w:multiLevelType w:val="hybridMultilevel"/>
    <w:tmpl w:val="189C9FAC"/>
    <w:lvl w:ilvl="0" w:tplc="EB8A9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7663F27"/>
    <w:multiLevelType w:val="hybridMultilevel"/>
    <w:tmpl w:val="D93EA460"/>
    <w:lvl w:ilvl="0" w:tplc="7ED2D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4D346BE"/>
    <w:multiLevelType w:val="hybridMultilevel"/>
    <w:tmpl w:val="554A660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5537C2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B805D8D"/>
    <w:multiLevelType w:val="hybridMultilevel"/>
    <w:tmpl w:val="646862BC"/>
    <w:lvl w:ilvl="0" w:tplc="7ED2D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E333626"/>
    <w:multiLevelType w:val="multilevel"/>
    <w:tmpl w:val="58C88840"/>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877D9C"/>
    <w:multiLevelType w:val="hybridMultilevel"/>
    <w:tmpl w:val="646862BC"/>
    <w:lvl w:ilvl="0" w:tplc="7ED2D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4F6207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B4523A"/>
    <w:multiLevelType w:val="hybridMultilevel"/>
    <w:tmpl w:val="9BF451FC"/>
    <w:lvl w:ilvl="0" w:tplc="04FCA6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51A54D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00422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468C2"/>
    <w:multiLevelType w:val="hybridMultilevel"/>
    <w:tmpl w:val="FC62C0D2"/>
    <w:lvl w:ilvl="0" w:tplc="160C09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6AF808BB"/>
    <w:multiLevelType w:val="hybridMultilevel"/>
    <w:tmpl w:val="FC62C0D2"/>
    <w:lvl w:ilvl="0" w:tplc="160C09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BF97124"/>
    <w:multiLevelType w:val="hybridMultilevel"/>
    <w:tmpl w:val="D01AEFC2"/>
    <w:lvl w:ilvl="0" w:tplc="F17A58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CAC51E1"/>
    <w:multiLevelType w:val="hybridMultilevel"/>
    <w:tmpl w:val="C77C8DA4"/>
    <w:lvl w:ilvl="0" w:tplc="776E57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18"/>
  </w:num>
  <w:num w:numId="3">
    <w:abstractNumId w:val="9"/>
  </w:num>
  <w:num w:numId="4">
    <w:abstractNumId w:val="7"/>
  </w:num>
  <w:num w:numId="5">
    <w:abstractNumId w:val="14"/>
  </w:num>
  <w:num w:numId="6">
    <w:abstractNumId w:val="13"/>
  </w:num>
  <w:num w:numId="7">
    <w:abstractNumId w:val="2"/>
  </w:num>
  <w:num w:numId="8">
    <w:abstractNumId w:val="10"/>
  </w:num>
  <w:num w:numId="9">
    <w:abstractNumId w:val="8"/>
  </w:num>
  <w:num w:numId="10">
    <w:abstractNumId w:val="6"/>
  </w:num>
  <w:num w:numId="11">
    <w:abstractNumId w:val="0"/>
  </w:num>
  <w:num w:numId="12">
    <w:abstractNumId w:val="5"/>
  </w:num>
  <w:num w:numId="13">
    <w:abstractNumId w:val="12"/>
  </w:num>
  <w:num w:numId="14">
    <w:abstractNumId w:val="16"/>
  </w:num>
  <w:num w:numId="15">
    <w:abstractNumId w:val="11"/>
  </w:num>
  <w:num w:numId="16">
    <w:abstractNumId w:val="1"/>
  </w:num>
  <w:num w:numId="17">
    <w:abstractNumId w:val="17"/>
  </w:num>
  <w:num w:numId="18">
    <w:abstractNumId w:val="15"/>
  </w:num>
  <w:num w:numId="1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51C"/>
    <w:rsid w:val="00001C1E"/>
    <w:rsid w:val="00001CDF"/>
    <w:rsid w:val="00003EB7"/>
    <w:rsid w:val="000055F3"/>
    <w:rsid w:val="00005BD4"/>
    <w:rsid w:val="00012E66"/>
    <w:rsid w:val="00013BFC"/>
    <w:rsid w:val="00013D01"/>
    <w:rsid w:val="00016008"/>
    <w:rsid w:val="00017B23"/>
    <w:rsid w:val="00020C3E"/>
    <w:rsid w:val="00023351"/>
    <w:rsid w:val="0003080A"/>
    <w:rsid w:val="00032535"/>
    <w:rsid w:val="00034F0B"/>
    <w:rsid w:val="00037EAF"/>
    <w:rsid w:val="00040035"/>
    <w:rsid w:val="00041363"/>
    <w:rsid w:val="00042269"/>
    <w:rsid w:val="00042BBC"/>
    <w:rsid w:val="00046DCC"/>
    <w:rsid w:val="000509FD"/>
    <w:rsid w:val="0005739F"/>
    <w:rsid w:val="00062264"/>
    <w:rsid w:val="00062C06"/>
    <w:rsid w:val="000631D2"/>
    <w:rsid w:val="000642D6"/>
    <w:rsid w:val="0006564D"/>
    <w:rsid w:val="000668BC"/>
    <w:rsid w:val="000674E4"/>
    <w:rsid w:val="00067A26"/>
    <w:rsid w:val="00070A2B"/>
    <w:rsid w:val="00070AF3"/>
    <w:rsid w:val="00071C06"/>
    <w:rsid w:val="0007508F"/>
    <w:rsid w:val="00077920"/>
    <w:rsid w:val="000802D4"/>
    <w:rsid w:val="00082F5A"/>
    <w:rsid w:val="000843ED"/>
    <w:rsid w:val="000843EF"/>
    <w:rsid w:val="00084604"/>
    <w:rsid w:val="00086317"/>
    <w:rsid w:val="00086536"/>
    <w:rsid w:val="00086E0A"/>
    <w:rsid w:val="000873E7"/>
    <w:rsid w:val="0009072E"/>
    <w:rsid w:val="00092221"/>
    <w:rsid w:val="000929D1"/>
    <w:rsid w:val="00094037"/>
    <w:rsid w:val="00095B54"/>
    <w:rsid w:val="000A0A13"/>
    <w:rsid w:val="000A1B7A"/>
    <w:rsid w:val="000A4561"/>
    <w:rsid w:val="000A5D43"/>
    <w:rsid w:val="000A6E31"/>
    <w:rsid w:val="000A7784"/>
    <w:rsid w:val="000B3803"/>
    <w:rsid w:val="000B4CED"/>
    <w:rsid w:val="000B4E43"/>
    <w:rsid w:val="000B5FCA"/>
    <w:rsid w:val="000C02B0"/>
    <w:rsid w:val="000C2B65"/>
    <w:rsid w:val="000C302F"/>
    <w:rsid w:val="000C33C0"/>
    <w:rsid w:val="000C494E"/>
    <w:rsid w:val="000C6BC9"/>
    <w:rsid w:val="000D02D0"/>
    <w:rsid w:val="000D2834"/>
    <w:rsid w:val="000D6CE8"/>
    <w:rsid w:val="000D7138"/>
    <w:rsid w:val="000E1884"/>
    <w:rsid w:val="000E1889"/>
    <w:rsid w:val="000E4D6C"/>
    <w:rsid w:val="000E7E5D"/>
    <w:rsid w:val="000F17A5"/>
    <w:rsid w:val="000F1FD2"/>
    <w:rsid w:val="000F2535"/>
    <w:rsid w:val="000F36E5"/>
    <w:rsid w:val="000F576F"/>
    <w:rsid w:val="00101293"/>
    <w:rsid w:val="00103369"/>
    <w:rsid w:val="00103F5E"/>
    <w:rsid w:val="00115A9B"/>
    <w:rsid w:val="00116254"/>
    <w:rsid w:val="00116746"/>
    <w:rsid w:val="00116982"/>
    <w:rsid w:val="00120037"/>
    <w:rsid w:val="00125531"/>
    <w:rsid w:val="0012593E"/>
    <w:rsid w:val="00127804"/>
    <w:rsid w:val="00131176"/>
    <w:rsid w:val="00132AA9"/>
    <w:rsid w:val="00134900"/>
    <w:rsid w:val="0013754E"/>
    <w:rsid w:val="00137FEB"/>
    <w:rsid w:val="00140CF5"/>
    <w:rsid w:val="001412DA"/>
    <w:rsid w:val="00141F0E"/>
    <w:rsid w:val="00143603"/>
    <w:rsid w:val="001444B6"/>
    <w:rsid w:val="00145145"/>
    <w:rsid w:val="001459C1"/>
    <w:rsid w:val="00153605"/>
    <w:rsid w:val="00154241"/>
    <w:rsid w:val="00156879"/>
    <w:rsid w:val="00161413"/>
    <w:rsid w:val="00163619"/>
    <w:rsid w:val="00163F49"/>
    <w:rsid w:val="00164BA6"/>
    <w:rsid w:val="00165E6B"/>
    <w:rsid w:val="00165E7C"/>
    <w:rsid w:val="00173AB8"/>
    <w:rsid w:val="00176B7C"/>
    <w:rsid w:val="00177518"/>
    <w:rsid w:val="00180428"/>
    <w:rsid w:val="001807C7"/>
    <w:rsid w:val="00183020"/>
    <w:rsid w:val="0018319D"/>
    <w:rsid w:val="00185179"/>
    <w:rsid w:val="001853C2"/>
    <w:rsid w:val="001866BA"/>
    <w:rsid w:val="00186C86"/>
    <w:rsid w:val="00187881"/>
    <w:rsid w:val="001900B9"/>
    <w:rsid w:val="0019013D"/>
    <w:rsid w:val="001958F9"/>
    <w:rsid w:val="001962E9"/>
    <w:rsid w:val="001A0A65"/>
    <w:rsid w:val="001A16D7"/>
    <w:rsid w:val="001A1F78"/>
    <w:rsid w:val="001A2DF1"/>
    <w:rsid w:val="001A3A34"/>
    <w:rsid w:val="001A414C"/>
    <w:rsid w:val="001A5A6A"/>
    <w:rsid w:val="001A610E"/>
    <w:rsid w:val="001A66C2"/>
    <w:rsid w:val="001A7201"/>
    <w:rsid w:val="001B1E1C"/>
    <w:rsid w:val="001B2598"/>
    <w:rsid w:val="001B433B"/>
    <w:rsid w:val="001B50A5"/>
    <w:rsid w:val="001B609B"/>
    <w:rsid w:val="001B6DDB"/>
    <w:rsid w:val="001B6E4E"/>
    <w:rsid w:val="001C0D5D"/>
    <w:rsid w:val="001C0E44"/>
    <w:rsid w:val="001C28EC"/>
    <w:rsid w:val="001D0651"/>
    <w:rsid w:val="001D4A11"/>
    <w:rsid w:val="001D4EBB"/>
    <w:rsid w:val="001D5711"/>
    <w:rsid w:val="001D5E4F"/>
    <w:rsid w:val="001D71EF"/>
    <w:rsid w:val="001E30A2"/>
    <w:rsid w:val="001E3602"/>
    <w:rsid w:val="001E4A3A"/>
    <w:rsid w:val="001E7892"/>
    <w:rsid w:val="001E7CC5"/>
    <w:rsid w:val="001F15C6"/>
    <w:rsid w:val="001F70C7"/>
    <w:rsid w:val="001F70FB"/>
    <w:rsid w:val="00200BD5"/>
    <w:rsid w:val="00203523"/>
    <w:rsid w:val="00207012"/>
    <w:rsid w:val="00207924"/>
    <w:rsid w:val="0021102A"/>
    <w:rsid w:val="00212FB0"/>
    <w:rsid w:val="00214585"/>
    <w:rsid w:val="00214724"/>
    <w:rsid w:val="00214E25"/>
    <w:rsid w:val="00214EC2"/>
    <w:rsid w:val="00214F46"/>
    <w:rsid w:val="002173AA"/>
    <w:rsid w:val="002211C8"/>
    <w:rsid w:val="0022433D"/>
    <w:rsid w:val="00224CED"/>
    <w:rsid w:val="002250D5"/>
    <w:rsid w:val="00227872"/>
    <w:rsid w:val="0023257B"/>
    <w:rsid w:val="002354BB"/>
    <w:rsid w:val="002403AF"/>
    <w:rsid w:val="00241B97"/>
    <w:rsid w:val="002426FC"/>
    <w:rsid w:val="0024298F"/>
    <w:rsid w:val="00242BAA"/>
    <w:rsid w:val="002432A4"/>
    <w:rsid w:val="00243B91"/>
    <w:rsid w:val="00244398"/>
    <w:rsid w:val="00245190"/>
    <w:rsid w:val="00246828"/>
    <w:rsid w:val="00247260"/>
    <w:rsid w:val="00247608"/>
    <w:rsid w:val="002524B5"/>
    <w:rsid w:val="00253697"/>
    <w:rsid w:val="00254AB6"/>
    <w:rsid w:val="002609B0"/>
    <w:rsid w:val="002651C0"/>
    <w:rsid w:val="00267738"/>
    <w:rsid w:val="00270DFD"/>
    <w:rsid w:val="00271B1F"/>
    <w:rsid w:val="00273CB8"/>
    <w:rsid w:val="00273F50"/>
    <w:rsid w:val="00274BFD"/>
    <w:rsid w:val="00276BA0"/>
    <w:rsid w:val="002770C3"/>
    <w:rsid w:val="002814B0"/>
    <w:rsid w:val="00282AE5"/>
    <w:rsid w:val="00283B18"/>
    <w:rsid w:val="00286249"/>
    <w:rsid w:val="0028625E"/>
    <w:rsid w:val="00286477"/>
    <w:rsid w:val="002904B5"/>
    <w:rsid w:val="0029240A"/>
    <w:rsid w:val="00294AF8"/>
    <w:rsid w:val="002A0221"/>
    <w:rsid w:val="002A0CA6"/>
    <w:rsid w:val="002A5AED"/>
    <w:rsid w:val="002A774B"/>
    <w:rsid w:val="002B02D1"/>
    <w:rsid w:val="002B03F8"/>
    <w:rsid w:val="002B0A02"/>
    <w:rsid w:val="002B10C1"/>
    <w:rsid w:val="002B2164"/>
    <w:rsid w:val="002B2B97"/>
    <w:rsid w:val="002B2E13"/>
    <w:rsid w:val="002B423F"/>
    <w:rsid w:val="002B4811"/>
    <w:rsid w:val="002B5971"/>
    <w:rsid w:val="002C073B"/>
    <w:rsid w:val="002C0B50"/>
    <w:rsid w:val="002C15C9"/>
    <w:rsid w:val="002C1C05"/>
    <w:rsid w:val="002C1FEA"/>
    <w:rsid w:val="002C3A05"/>
    <w:rsid w:val="002C4B83"/>
    <w:rsid w:val="002C77B7"/>
    <w:rsid w:val="002C79B2"/>
    <w:rsid w:val="002C7C0D"/>
    <w:rsid w:val="002D02BD"/>
    <w:rsid w:val="002D0530"/>
    <w:rsid w:val="002D184D"/>
    <w:rsid w:val="002E119B"/>
    <w:rsid w:val="002E1C8C"/>
    <w:rsid w:val="002E23D1"/>
    <w:rsid w:val="002E2907"/>
    <w:rsid w:val="002E4EF0"/>
    <w:rsid w:val="002E5233"/>
    <w:rsid w:val="002E6025"/>
    <w:rsid w:val="002F2F57"/>
    <w:rsid w:val="002F3473"/>
    <w:rsid w:val="002F3714"/>
    <w:rsid w:val="002F75AF"/>
    <w:rsid w:val="003015A4"/>
    <w:rsid w:val="00305829"/>
    <w:rsid w:val="00310420"/>
    <w:rsid w:val="00310CC8"/>
    <w:rsid w:val="00313C7C"/>
    <w:rsid w:val="00317F60"/>
    <w:rsid w:val="00322261"/>
    <w:rsid w:val="00323926"/>
    <w:rsid w:val="00325183"/>
    <w:rsid w:val="003257CB"/>
    <w:rsid w:val="00326015"/>
    <w:rsid w:val="00326E0E"/>
    <w:rsid w:val="003329F4"/>
    <w:rsid w:val="00332FDD"/>
    <w:rsid w:val="00334563"/>
    <w:rsid w:val="00336DB4"/>
    <w:rsid w:val="00345DE6"/>
    <w:rsid w:val="003461D0"/>
    <w:rsid w:val="00346D1D"/>
    <w:rsid w:val="0035068A"/>
    <w:rsid w:val="00353A69"/>
    <w:rsid w:val="00356C66"/>
    <w:rsid w:val="00360C95"/>
    <w:rsid w:val="00360C96"/>
    <w:rsid w:val="003623A1"/>
    <w:rsid w:val="00363C3F"/>
    <w:rsid w:val="003644D2"/>
    <w:rsid w:val="00365E19"/>
    <w:rsid w:val="00370C10"/>
    <w:rsid w:val="00372299"/>
    <w:rsid w:val="0037385D"/>
    <w:rsid w:val="00374A57"/>
    <w:rsid w:val="00376668"/>
    <w:rsid w:val="00376A12"/>
    <w:rsid w:val="00376C85"/>
    <w:rsid w:val="003771DE"/>
    <w:rsid w:val="00380702"/>
    <w:rsid w:val="003815FF"/>
    <w:rsid w:val="003853AB"/>
    <w:rsid w:val="003866BD"/>
    <w:rsid w:val="003868C4"/>
    <w:rsid w:val="00387A24"/>
    <w:rsid w:val="00387B96"/>
    <w:rsid w:val="003920A4"/>
    <w:rsid w:val="0039446C"/>
    <w:rsid w:val="00395891"/>
    <w:rsid w:val="00395935"/>
    <w:rsid w:val="003A00DB"/>
    <w:rsid w:val="003A12EB"/>
    <w:rsid w:val="003A1D9F"/>
    <w:rsid w:val="003A2D06"/>
    <w:rsid w:val="003A4198"/>
    <w:rsid w:val="003A4890"/>
    <w:rsid w:val="003A6CB5"/>
    <w:rsid w:val="003A764D"/>
    <w:rsid w:val="003B2DD4"/>
    <w:rsid w:val="003B5491"/>
    <w:rsid w:val="003C0021"/>
    <w:rsid w:val="003C1873"/>
    <w:rsid w:val="003C257A"/>
    <w:rsid w:val="003C2730"/>
    <w:rsid w:val="003C320D"/>
    <w:rsid w:val="003C4ABC"/>
    <w:rsid w:val="003D1158"/>
    <w:rsid w:val="003D46FE"/>
    <w:rsid w:val="003D7062"/>
    <w:rsid w:val="003D7128"/>
    <w:rsid w:val="003E1418"/>
    <w:rsid w:val="003E1770"/>
    <w:rsid w:val="003E1ACF"/>
    <w:rsid w:val="003E44EC"/>
    <w:rsid w:val="003F01DF"/>
    <w:rsid w:val="003F0202"/>
    <w:rsid w:val="003F0593"/>
    <w:rsid w:val="003F1EA0"/>
    <w:rsid w:val="003F3F15"/>
    <w:rsid w:val="003F618A"/>
    <w:rsid w:val="003F6E02"/>
    <w:rsid w:val="0040317C"/>
    <w:rsid w:val="0040447E"/>
    <w:rsid w:val="00404543"/>
    <w:rsid w:val="00404746"/>
    <w:rsid w:val="00404C4D"/>
    <w:rsid w:val="00404DED"/>
    <w:rsid w:val="0040743C"/>
    <w:rsid w:val="0040797A"/>
    <w:rsid w:val="00410B68"/>
    <w:rsid w:val="00413A9C"/>
    <w:rsid w:val="00415026"/>
    <w:rsid w:val="004157D6"/>
    <w:rsid w:val="00415879"/>
    <w:rsid w:val="004158E0"/>
    <w:rsid w:val="0042094F"/>
    <w:rsid w:val="00425746"/>
    <w:rsid w:val="00425A02"/>
    <w:rsid w:val="00426049"/>
    <w:rsid w:val="00426771"/>
    <w:rsid w:val="00427666"/>
    <w:rsid w:val="004319E0"/>
    <w:rsid w:val="0043508B"/>
    <w:rsid w:val="00440DD3"/>
    <w:rsid w:val="00443644"/>
    <w:rsid w:val="00443769"/>
    <w:rsid w:val="00443905"/>
    <w:rsid w:val="00445B59"/>
    <w:rsid w:val="00446CEA"/>
    <w:rsid w:val="00447BC7"/>
    <w:rsid w:val="004504DE"/>
    <w:rsid w:val="0045072A"/>
    <w:rsid w:val="00452523"/>
    <w:rsid w:val="004566EA"/>
    <w:rsid w:val="00456BB0"/>
    <w:rsid w:val="00456EA2"/>
    <w:rsid w:val="00457108"/>
    <w:rsid w:val="00460350"/>
    <w:rsid w:val="00460BB2"/>
    <w:rsid w:val="00473786"/>
    <w:rsid w:val="00475C02"/>
    <w:rsid w:val="00476498"/>
    <w:rsid w:val="004777E3"/>
    <w:rsid w:val="004833AA"/>
    <w:rsid w:val="00484219"/>
    <w:rsid w:val="004848F9"/>
    <w:rsid w:val="00484AEF"/>
    <w:rsid w:val="00485D11"/>
    <w:rsid w:val="004875BD"/>
    <w:rsid w:val="00490337"/>
    <w:rsid w:val="004966A1"/>
    <w:rsid w:val="004A051A"/>
    <w:rsid w:val="004A1D50"/>
    <w:rsid w:val="004A4F8C"/>
    <w:rsid w:val="004A571D"/>
    <w:rsid w:val="004B0EC5"/>
    <w:rsid w:val="004B16D6"/>
    <w:rsid w:val="004B2DE6"/>
    <w:rsid w:val="004B3A9D"/>
    <w:rsid w:val="004B52C4"/>
    <w:rsid w:val="004B574E"/>
    <w:rsid w:val="004B641E"/>
    <w:rsid w:val="004B6E77"/>
    <w:rsid w:val="004B7728"/>
    <w:rsid w:val="004B7AC5"/>
    <w:rsid w:val="004C0123"/>
    <w:rsid w:val="004C24F7"/>
    <w:rsid w:val="004C32C0"/>
    <w:rsid w:val="004C3465"/>
    <w:rsid w:val="004C686E"/>
    <w:rsid w:val="004C7F71"/>
    <w:rsid w:val="004D16CE"/>
    <w:rsid w:val="004D20EA"/>
    <w:rsid w:val="004D2ECD"/>
    <w:rsid w:val="004D2F65"/>
    <w:rsid w:val="004D5B97"/>
    <w:rsid w:val="004E0959"/>
    <w:rsid w:val="004E1F14"/>
    <w:rsid w:val="004E4CBE"/>
    <w:rsid w:val="004E5E6B"/>
    <w:rsid w:val="0050077C"/>
    <w:rsid w:val="00500C84"/>
    <w:rsid w:val="005019A5"/>
    <w:rsid w:val="00502864"/>
    <w:rsid w:val="0050328B"/>
    <w:rsid w:val="00504200"/>
    <w:rsid w:val="0050435A"/>
    <w:rsid w:val="00504761"/>
    <w:rsid w:val="00511E39"/>
    <w:rsid w:val="00512743"/>
    <w:rsid w:val="0051347A"/>
    <w:rsid w:val="00513EE1"/>
    <w:rsid w:val="005147A0"/>
    <w:rsid w:val="0051505F"/>
    <w:rsid w:val="0051722B"/>
    <w:rsid w:val="00522531"/>
    <w:rsid w:val="005235A0"/>
    <w:rsid w:val="00527BBE"/>
    <w:rsid w:val="00531426"/>
    <w:rsid w:val="00531844"/>
    <w:rsid w:val="005348B1"/>
    <w:rsid w:val="0053499F"/>
    <w:rsid w:val="005377F9"/>
    <w:rsid w:val="0054294F"/>
    <w:rsid w:val="005455DC"/>
    <w:rsid w:val="00545AC3"/>
    <w:rsid w:val="00546FE4"/>
    <w:rsid w:val="005508BF"/>
    <w:rsid w:val="0055275F"/>
    <w:rsid w:val="00552CC2"/>
    <w:rsid w:val="00553106"/>
    <w:rsid w:val="0055373F"/>
    <w:rsid w:val="00561AD3"/>
    <w:rsid w:val="005669D6"/>
    <w:rsid w:val="00570D11"/>
    <w:rsid w:val="00570E73"/>
    <w:rsid w:val="005715E6"/>
    <w:rsid w:val="0057164D"/>
    <w:rsid w:val="00576BD0"/>
    <w:rsid w:val="005811ED"/>
    <w:rsid w:val="00581CC9"/>
    <w:rsid w:val="00585715"/>
    <w:rsid w:val="005868D1"/>
    <w:rsid w:val="00586CAB"/>
    <w:rsid w:val="00590D1F"/>
    <w:rsid w:val="005972E2"/>
    <w:rsid w:val="005A05F7"/>
    <w:rsid w:val="005B1C9A"/>
    <w:rsid w:val="005B2495"/>
    <w:rsid w:val="005B3E94"/>
    <w:rsid w:val="005B4162"/>
    <w:rsid w:val="005B4EF1"/>
    <w:rsid w:val="005B6485"/>
    <w:rsid w:val="005B6A72"/>
    <w:rsid w:val="005C403B"/>
    <w:rsid w:val="005C5E86"/>
    <w:rsid w:val="005C7998"/>
    <w:rsid w:val="005D0B14"/>
    <w:rsid w:val="005D5DF8"/>
    <w:rsid w:val="005D6C7D"/>
    <w:rsid w:val="005D727F"/>
    <w:rsid w:val="005E18D7"/>
    <w:rsid w:val="005E3DBC"/>
    <w:rsid w:val="005E42FF"/>
    <w:rsid w:val="005E4DFB"/>
    <w:rsid w:val="005F1C70"/>
    <w:rsid w:val="005F465C"/>
    <w:rsid w:val="005F68E2"/>
    <w:rsid w:val="00601F4D"/>
    <w:rsid w:val="006062E9"/>
    <w:rsid w:val="00611BCA"/>
    <w:rsid w:val="006137BD"/>
    <w:rsid w:val="00620850"/>
    <w:rsid w:val="006226E5"/>
    <w:rsid w:val="0062348C"/>
    <w:rsid w:val="00625A66"/>
    <w:rsid w:val="0062644A"/>
    <w:rsid w:val="00626FAA"/>
    <w:rsid w:val="00627659"/>
    <w:rsid w:val="00630449"/>
    <w:rsid w:val="00634BC3"/>
    <w:rsid w:val="0064176D"/>
    <w:rsid w:val="00647C8D"/>
    <w:rsid w:val="00647ED9"/>
    <w:rsid w:val="006506C8"/>
    <w:rsid w:val="00651361"/>
    <w:rsid w:val="00651EA5"/>
    <w:rsid w:val="006532BC"/>
    <w:rsid w:val="00654166"/>
    <w:rsid w:val="00656388"/>
    <w:rsid w:val="00660C30"/>
    <w:rsid w:val="006611B2"/>
    <w:rsid w:val="006618FD"/>
    <w:rsid w:val="0066440A"/>
    <w:rsid w:val="00664D98"/>
    <w:rsid w:val="006672F4"/>
    <w:rsid w:val="00670EF2"/>
    <w:rsid w:val="0067206F"/>
    <w:rsid w:val="00677668"/>
    <w:rsid w:val="006806EE"/>
    <w:rsid w:val="00680987"/>
    <w:rsid w:val="00680C4E"/>
    <w:rsid w:val="00685801"/>
    <w:rsid w:val="006870F1"/>
    <w:rsid w:val="006876F5"/>
    <w:rsid w:val="00687FF5"/>
    <w:rsid w:val="00693272"/>
    <w:rsid w:val="00695B14"/>
    <w:rsid w:val="006A2575"/>
    <w:rsid w:val="006A53B1"/>
    <w:rsid w:val="006A647D"/>
    <w:rsid w:val="006A72EC"/>
    <w:rsid w:val="006A798E"/>
    <w:rsid w:val="006B0BA1"/>
    <w:rsid w:val="006B0C83"/>
    <w:rsid w:val="006B32D8"/>
    <w:rsid w:val="006C2A8A"/>
    <w:rsid w:val="006C4884"/>
    <w:rsid w:val="006C4F79"/>
    <w:rsid w:val="006C7ED7"/>
    <w:rsid w:val="006D12D8"/>
    <w:rsid w:val="006D321A"/>
    <w:rsid w:val="006D330F"/>
    <w:rsid w:val="006D61D8"/>
    <w:rsid w:val="006D74A2"/>
    <w:rsid w:val="006D783D"/>
    <w:rsid w:val="006D7A87"/>
    <w:rsid w:val="006E0B83"/>
    <w:rsid w:val="006E406B"/>
    <w:rsid w:val="006E64B7"/>
    <w:rsid w:val="006E6984"/>
    <w:rsid w:val="006F3BE8"/>
    <w:rsid w:val="006F3FBD"/>
    <w:rsid w:val="006F44C8"/>
    <w:rsid w:val="006F4CE6"/>
    <w:rsid w:val="0070092A"/>
    <w:rsid w:val="00701FBC"/>
    <w:rsid w:val="007027A4"/>
    <w:rsid w:val="00702897"/>
    <w:rsid w:val="00702E84"/>
    <w:rsid w:val="007065AA"/>
    <w:rsid w:val="00707778"/>
    <w:rsid w:val="00710FE1"/>
    <w:rsid w:val="00712C2A"/>
    <w:rsid w:val="00713CB6"/>
    <w:rsid w:val="00716ECA"/>
    <w:rsid w:val="00717E3B"/>
    <w:rsid w:val="00726BD9"/>
    <w:rsid w:val="0073047A"/>
    <w:rsid w:val="00732E12"/>
    <w:rsid w:val="00733356"/>
    <w:rsid w:val="00733AD4"/>
    <w:rsid w:val="00734740"/>
    <w:rsid w:val="00734CEC"/>
    <w:rsid w:val="00747A3B"/>
    <w:rsid w:val="00751478"/>
    <w:rsid w:val="00756064"/>
    <w:rsid w:val="007576F9"/>
    <w:rsid w:val="00762E25"/>
    <w:rsid w:val="00764665"/>
    <w:rsid w:val="0076660A"/>
    <w:rsid w:val="00767023"/>
    <w:rsid w:val="00771510"/>
    <w:rsid w:val="00771827"/>
    <w:rsid w:val="00771913"/>
    <w:rsid w:val="00771D65"/>
    <w:rsid w:val="00773464"/>
    <w:rsid w:val="00774E85"/>
    <w:rsid w:val="00775CD7"/>
    <w:rsid w:val="007762EA"/>
    <w:rsid w:val="007764E2"/>
    <w:rsid w:val="00776B68"/>
    <w:rsid w:val="0077722F"/>
    <w:rsid w:val="0078028E"/>
    <w:rsid w:val="00781333"/>
    <w:rsid w:val="0078285C"/>
    <w:rsid w:val="00783242"/>
    <w:rsid w:val="0078339C"/>
    <w:rsid w:val="0078359D"/>
    <w:rsid w:val="0078510D"/>
    <w:rsid w:val="00785727"/>
    <w:rsid w:val="00785B88"/>
    <w:rsid w:val="007923B6"/>
    <w:rsid w:val="00792F3E"/>
    <w:rsid w:val="0079663B"/>
    <w:rsid w:val="00796FC5"/>
    <w:rsid w:val="00797EC4"/>
    <w:rsid w:val="007A1D92"/>
    <w:rsid w:val="007A1F49"/>
    <w:rsid w:val="007A2C99"/>
    <w:rsid w:val="007A71EB"/>
    <w:rsid w:val="007B00B5"/>
    <w:rsid w:val="007B60B3"/>
    <w:rsid w:val="007B7CCB"/>
    <w:rsid w:val="007C4240"/>
    <w:rsid w:val="007C5E7F"/>
    <w:rsid w:val="007C6264"/>
    <w:rsid w:val="007C68CF"/>
    <w:rsid w:val="007D22C3"/>
    <w:rsid w:val="007D5A8A"/>
    <w:rsid w:val="007D6981"/>
    <w:rsid w:val="007D73ED"/>
    <w:rsid w:val="007E13D2"/>
    <w:rsid w:val="007E1D32"/>
    <w:rsid w:val="007E2E30"/>
    <w:rsid w:val="007E42A6"/>
    <w:rsid w:val="007E7664"/>
    <w:rsid w:val="007F2240"/>
    <w:rsid w:val="007F2DD6"/>
    <w:rsid w:val="007F3CB8"/>
    <w:rsid w:val="007F627C"/>
    <w:rsid w:val="00802F86"/>
    <w:rsid w:val="008031A7"/>
    <w:rsid w:val="00804FCD"/>
    <w:rsid w:val="00810EF5"/>
    <w:rsid w:val="008138DC"/>
    <w:rsid w:val="00815075"/>
    <w:rsid w:val="008167A1"/>
    <w:rsid w:val="00820C0F"/>
    <w:rsid w:val="00826543"/>
    <w:rsid w:val="00826E3E"/>
    <w:rsid w:val="00827A45"/>
    <w:rsid w:val="0083093D"/>
    <w:rsid w:val="00832FCD"/>
    <w:rsid w:val="008330F8"/>
    <w:rsid w:val="008361AB"/>
    <w:rsid w:val="00841B28"/>
    <w:rsid w:val="00842C87"/>
    <w:rsid w:val="00843D77"/>
    <w:rsid w:val="00843E97"/>
    <w:rsid w:val="008440E5"/>
    <w:rsid w:val="00845A93"/>
    <w:rsid w:val="0084703A"/>
    <w:rsid w:val="00847CC6"/>
    <w:rsid w:val="008507D7"/>
    <w:rsid w:val="008541E3"/>
    <w:rsid w:val="00856244"/>
    <w:rsid w:val="00857CCC"/>
    <w:rsid w:val="008621B9"/>
    <w:rsid w:val="0086302C"/>
    <w:rsid w:val="0086673B"/>
    <w:rsid w:val="00866799"/>
    <w:rsid w:val="0087043D"/>
    <w:rsid w:val="008755DE"/>
    <w:rsid w:val="0087562A"/>
    <w:rsid w:val="00881FBE"/>
    <w:rsid w:val="0088326F"/>
    <w:rsid w:val="00884AB2"/>
    <w:rsid w:val="00886E5E"/>
    <w:rsid w:val="00887D9E"/>
    <w:rsid w:val="008962C1"/>
    <w:rsid w:val="00897263"/>
    <w:rsid w:val="00897546"/>
    <w:rsid w:val="00897A9E"/>
    <w:rsid w:val="00897CD5"/>
    <w:rsid w:val="008A162B"/>
    <w:rsid w:val="008A22F8"/>
    <w:rsid w:val="008A4326"/>
    <w:rsid w:val="008A4571"/>
    <w:rsid w:val="008A6BF8"/>
    <w:rsid w:val="008A736F"/>
    <w:rsid w:val="008B105E"/>
    <w:rsid w:val="008B6783"/>
    <w:rsid w:val="008B788B"/>
    <w:rsid w:val="008B7B9A"/>
    <w:rsid w:val="008C44A1"/>
    <w:rsid w:val="008C5E53"/>
    <w:rsid w:val="008D0930"/>
    <w:rsid w:val="008D2F69"/>
    <w:rsid w:val="008D5B44"/>
    <w:rsid w:val="008E276D"/>
    <w:rsid w:val="008E2EDB"/>
    <w:rsid w:val="008E4014"/>
    <w:rsid w:val="008E51BD"/>
    <w:rsid w:val="008E6201"/>
    <w:rsid w:val="008E6D7B"/>
    <w:rsid w:val="008F0853"/>
    <w:rsid w:val="008F158A"/>
    <w:rsid w:val="008F756B"/>
    <w:rsid w:val="008F7BC5"/>
    <w:rsid w:val="00902233"/>
    <w:rsid w:val="0090259D"/>
    <w:rsid w:val="00902BC0"/>
    <w:rsid w:val="00903CA3"/>
    <w:rsid w:val="009125D5"/>
    <w:rsid w:val="0091382E"/>
    <w:rsid w:val="00914DD8"/>
    <w:rsid w:val="009157CC"/>
    <w:rsid w:val="009157EC"/>
    <w:rsid w:val="00916F15"/>
    <w:rsid w:val="00921549"/>
    <w:rsid w:val="00921B8C"/>
    <w:rsid w:val="00922609"/>
    <w:rsid w:val="00932902"/>
    <w:rsid w:val="0093490D"/>
    <w:rsid w:val="00934EF9"/>
    <w:rsid w:val="00940DD0"/>
    <w:rsid w:val="00941BC7"/>
    <w:rsid w:val="00943022"/>
    <w:rsid w:val="00943FCA"/>
    <w:rsid w:val="00944B26"/>
    <w:rsid w:val="00947AC0"/>
    <w:rsid w:val="00950CB5"/>
    <w:rsid w:val="009515EC"/>
    <w:rsid w:val="0095190C"/>
    <w:rsid w:val="00952F30"/>
    <w:rsid w:val="00953A60"/>
    <w:rsid w:val="00955FB5"/>
    <w:rsid w:val="009568EA"/>
    <w:rsid w:val="0096214A"/>
    <w:rsid w:val="00964443"/>
    <w:rsid w:val="0096471B"/>
    <w:rsid w:val="00966469"/>
    <w:rsid w:val="009745FA"/>
    <w:rsid w:val="00975DC5"/>
    <w:rsid w:val="00983079"/>
    <w:rsid w:val="00984A52"/>
    <w:rsid w:val="00986632"/>
    <w:rsid w:val="0098712C"/>
    <w:rsid w:val="00990ECF"/>
    <w:rsid w:val="00991E26"/>
    <w:rsid w:val="009A1452"/>
    <w:rsid w:val="009A49F9"/>
    <w:rsid w:val="009A5DCE"/>
    <w:rsid w:val="009A6400"/>
    <w:rsid w:val="009A7E85"/>
    <w:rsid w:val="009B1236"/>
    <w:rsid w:val="009B12D4"/>
    <w:rsid w:val="009B3007"/>
    <w:rsid w:val="009B336D"/>
    <w:rsid w:val="009B3552"/>
    <w:rsid w:val="009B46AA"/>
    <w:rsid w:val="009B626A"/>
    <w:rsid w:val="009B6CC5"/>
    <w:rsid w:val="009B6FC8"/>
    <w:rsid w:val="009B7130"/>
    <w:rsid w:val="009B776B"/>
    <w:rsid w:val="009C1D32"/>
    <w:rsid w:val="009D0C61"/>
    <w:rsid w:val="009D0D40"/>
    <w:rsid w:val="009D7A7E"/>
    <w:rsid w:val="009E1608"/>
    <w:rsid w:val="009E18D8"/>
    <w:rsid w:val="009E46B2"/>
    <w:rsid w:val="009E68A6"/>
    <w:rsid w:val="009E7BB5"/>
    <w:rsid w:val="009F1FE3"/>
    <w:rsid w:val="009F2241"/>
    <w:rsid w:val="009F2CBF"/>
    <w:rsid w:val="00A023E9"/>
    <w:rsid w:val="00A02E6F"/>
    <w:rsid w:val="00A04A19"/>
    <w:rsid w:val="00A0582C"/>
    <w:rsid w:val="00A05C09"/>
    <w:rsid w:val="00A069B0"/>
    <w:rsid w:val="00A0707D"/>
    <w:rsid w:val="00A072BC"/>
    <w:rsid w:val="00A07E99"/>
    <w:rsid w:val="00A10997"/>
    <w:rsid w:val="00A11B8D"/>
    <w:rsid w:val="00A15B6B"/>
    <w:rsid w:val="00A20689"/>
    <w:rsid w:val="00A21695"/>
    <w:rsid w:val="00A21B1D"/>
    <w:rsid w:val="00A21E18"/>
    <w:rsid w:val="00A22CED"/>
    <w:rsid w:val="00A23CC9"/>
    <w:rsid w:val="00A23DE5"/>
    <w:rsid w:val="00A240D9"/>
    <w:rsid w:val="00A25AB2"/>
    <w:rsid w:val="00A3051E"/>
    <w:rsid w:val="00A318A1"/>
    <w:rsid w:val="00A31D45"/>
    <w:rsid w:val="00A32EDF"/>
    <w:rsid w:val="00A3304B"/>
    <w:rsid w:val="00A34DF6"/>
    <w:rsid w:val="00A350A2"/>
    <w:rsid w:val="00A35174"/>
    <w:rsid w:val="00A35543"/>
    <w:rsid w:val="00A35862"/>
    <w:rsid w:val="00A4117B"/>
    <w:rsid w:val="00A43529"/>
    <w:rsid w:val="00A4423B"/>
    <w:rsid w:val="00A45681"/>
    <w:rsid w:val="00A4597D"/>
    <w:rsid w:val="00A51178"/>
    <w:rsid w:val="00A558C3"/>
    <w:rsid w:val="00A55BFA"/>
    <w:rsid w:val="00A61CAF"/>
    <w:rsid w:val="00A625FC"/>
    <w:rsid w:val="00A62F20"/>
    <w:rsid w:val="00A64E99"/>
    <w:rsid w:val="00A65BB4"/>
    <w:rsid w:val="00A65E43"/>
    <w:rsid w:val="00A67683"/>
    <w:rsid w:val="00A677BC"/>
    <w:rsid w:val="00A677D9"/>
    <w:rsid w:val="00A7090E"/>
    <w:rsid w:val="00A73F76"/>
    <w:rsid w:val="00A779F3"/>
    <w:rsid w:val="00A831E7"/>
    <w:rsid w:val="00A832DF"/>
    <w:rsid w:val="00A8332F"/>
    <w:rsid w:val="00A84E85"/>
    <w:rsid w:val="00A91B7C"/>
    <w:rsid w:val="00A97394"/>
    <w:rsid w:val="00AA26D6"/>
    <w:rsid w:val="00AA2B08"/>
    <w:rsid w:val="00AA3BDD"/>
    <w:rsid w:val="00AA4C14"/>
    <w:rsid w:val="00AA7D58"/>
    <w:rsid w:val="00AB2E7B"/>
    <w:rsid w:val="00AB391F"/>
    <w:rsid w:val="00AB4223"/>
    <w:rsid w:val="00AB4A7B"/>
    <w:rsid w:val="00AB5DBF"/>
    <w:rsid w:val="00AB63DA"/>
    <w:rsid w:val="00AC22A1"/>
    <w:rsid w:val="00AC44B0"/>
    <w:rsid w:val="00AD1D5B"/>
    <w:rsid w:val="00AD6F63"/>
    <w:rsid w:val="00AE0818"/>
    <w:rsid w:val="00AE41BB"/>
    <w:rsid w:val="00AE4370"/>
    <w:rsid w:val="00AE5A36"/>
    <w:rsid w:val="00AF0240"/>
    <w:rsid w:val="00AF0BE5"/>
    <w:rsid w:val="00AF65A1"/>
    <w:rsid w:val="00B00574"/>
    <w:rsid w:val="00B00686"/>
    <w:rsid w:val="00B02977"/>
    <w:rsid w:val="00B02B9C"/>
    <w:rsid w:val="00B0308F"/>
    <w:rsid w:val="00B04005"/>
    <w:rsid w:val="00B047AC"/>
    <w:rsid w:val="00B05B8A"/>
    <w:rsid w:val="00B05CE1"/>
    <w:rsid w:val="00B06385"/>
    <w:rsid w:val="00B107ED"/>
    <w:rsid w:val="00B14184"/>
    <w:rsid w:val="00B1582E"/>
    <w:rsid w:val="00B160FB"/>
    <w:rsid w:val="00B2000E"/>
    <w:rsid w:val="00B21788"/>
    <w:rsid w:val="00B21E90"/>
    <w:rsid w:val="00B22069"/>
    <w:rsid w:val="00B237D3"/>
    <w:rsid w:val="00B25695"/>
    <w:rsid w:val="00B25D99"/>
    <w:rsid w:val="00B266E8"/>
    <w:rsid w:val="00B27234"/>
    <w:rsid w:val="00B27957"/>
    <w:rsid w:val="00B33662"/>
    <w:rsid w:val="00B34225"/>
    <w:rsid w:val="00B343C1"/>
    <w:rsid w:val="00B35D9F"/>
    <w:rsid w:val="00B51C33"/>
    <w:rsid w:val="00B525BD"/>
    <w:rsid w:val="00B66244"/>
    <w:rsid w:val="00B670CD"/>
    <w:rsid w:val="00B73941"/>
    <w:rsid w:val="00B752A3"/>
    <w:rsid w:val="00B75C1E"/>
    <w:rsid w:val="00B765D6"/>
    <w:rsid w:val="00B830D1"/>
    <w:rsid w:val="00B9044A"/>
    <w:rsid w:val="00B904D8"/>
    <w:rsid w:val="00B92207"/>
    <w:rsid w:val="00B94860"/>
    <w:rsid w:val="00B960B8"/>
    <w:rsid w:val="00BA22AA"/>
    <w:rsid w:val="00BA2400"/>
    <w:rsid w:val="00BA44AD"/>
    <w:rsid w:val="00BA45F1"/>
    <w:rsid w:val="00BA4CCE"/>
    <w:rsid w:val="00BA5376"/>
    <w:rsid w:val="00BA582D"/>
    <w:rsid w:val="00BA5A88"/>
    <w:rsid w:val="00BB0D43"/>
    <w:rsid w:val="00BB3197"/>
    <w:rsid w:val="00BB5DC1"/>
    <w:rsid w:val="00BB63EB"/>
    <w:rsid w:val="00BB6439"/>
    <w:rsid w:val="00BB6F20"/>
    <w:rsid w:val="00BB75D0"/>
    <w:rsid w:val="00BC27DE"/>
    <w:rsid w:val="00BC3D34"/>
    <w:rsid w:val="00BC4E89"/>
    <w:rsid w:val="00BC51A9"/>
    <w:rsid w:val="00BC541D"/>
    <w:rsid w:val="00BC5F27"/>
    <w:rsid w:val="00BC6637"/>
    <w:rsid w:val="00BD23A0"/>
    <w:rsid w:val="00BD4542"/>
    <w:rsid w:val="00BD5700"/>
    <w:rsid w:val="00BD72D7"/>
    <w:rsid w:val="00BE30A7"/>
    <w:rsid w:val="00BE4D1E"/>
    <w:rsid w:val="00BE69B5"/>
    <w:rsid w:val="00BF176C"/>
    <w:rsid w:val="00BF2099"/>
    <w:rsid w:val="00C00F87"/>
    <w:rsid w:val="00C01C77"/>
    <w:rsid w:val="00C02F1D"/>
    <w:rsid w:val="00C067B1"/>
    <w:rsid w:val="00C10BD4"/>
    <w:rsid w:val="00C11194"/>
    <w:rsid w:val="00C11B22"/>
    <w:rsid w:val="00C20CC1"/>
    <w:rsid w:val="00C2173A"/>
    <w:rsid w:val="00C245A4"/>
    <w:rsid w:val="00C275B8"/>
    <w:rsid w:val="00C27659"/>
    <w:rsid w:val="00C33959"/>
    <w:rsid w:val="00C34C73"/>
    <w:rsid w:val="00C376B4"/>
    <w:rsid w:val="00C41155"/>
    <w:rsid w:val="00C4406D"/>
    <w:rsid w:val="00C446E7"/>
    <w:rsid w:val="00C44CD4"/>
    <w:rsid w:val="00C46CEF"/>
    <w:rsid w:val="00C46D6B"/>
    <w:rsid w:val="00C60344"/>
    <w:rsid w:val="00C6041A"/>
    <w:rsid w:val="00C64811"/>
    <w:rsid w:val="00C6636E"/>
    <w:rsid w:val="00C67677"/>
    <w:rsid w:val="00C67F19"/>
    <w:rsid w:val="00C70029"/>
    <w:rsid w:val="00C72BBF"/>
    <w:rsid w:val="00C735BB"/>
    <w:rsid w:val="00C758AD"/>
    <w:rsid w:val="00C75A19"/>
    <w:rsid w:val="00C77DDD"/>
    <w:rsid w:val="00C8166C"/>
    <w:rsid w:val="00C81FAD"/>
    <w:rsid w:val="00C835B6"/>
    <w:rsid w:val="00C8425E"/>
    <w:rsid w:val="00C8602B"/>
    <w:rsid w:val="00C8780D"/>
    <w:rsid w:val="00C90470"/>
    <w:rsid w:val="00C9223A"/>
    <w:rsid w:val="00C93BFE"/>
    <w:rsid w:val="00C976EC"/>
    <w:rsid w:val="00CA2480"/>
    <w:rsid w:val="00CA494C"/>
    <w:rsid w:val="00CA55E3"/>
    <w:rsid w:val="00CA59BE"/>
    <w:rsid w:val="00CA764D"/>
    <w:rsid w:val="00CB0232"/>
    <w:rsid w:val="00CB44E1"/>
    <w:rsid w:val="00CB7685"/>
    <w:rsid w:val="00CB77A6"/>
    <w:rsid w:val="00CC1A32"/>
    <w:rsid w:val="00CC303F"/>
    <w:rsid w:val="00CC5070"/>
    <w:rsid w:val="00CC50C7"/>
    <w:rsid w:val="00CC5C0C"/>
    <w:rsid w:val="00CD1F47"/>
    <w:rsid w:val="00CD319A"/>
    <w:rsid w:val="00CE7003"/>
    <w:rsid w:val="00CE7D12"/>
    <w:rsid w:val="00CF0394"/>
    <w:rsid w:val="00CF2A6E"/>
    <w:rsid w:val="00CF3116"/>
    <w:rsid w:val="00CF59C3"/>
    <w:rsid w:val="00CF61E9"/>
    <w:rsid w:val="00CF7F71"/>
    <w:rsid w:val="00D001DE"/>
    <w:rsid w:val="00D00979"/>
    <w:rsid w:val="00D0198D"/>
    <w:rsid w:val="00D0249A"/>
    <w:rsid w:val="00D049C8"/>
    <w:rsid w:val="00D06252"/>
    <w:rsid w:val="00D0639A"/>
    <w:rsid w:val="00D066CC"/>
    <w:rsid w:val="00D12725"/>
    <w:rsid w:val="00D1286D"/>
    <w:rsid w:val="00D14F35"/>
    <w:rsid w:val="00D216C5"/>
    <w:rsid w:val="00D2207A"/>
    <w:rsid w:val="00D22CAC"/>
    <w:rsid w:val="00D2551C"/>
    <w:rsid w:val="00D27063"/>
    <w:rsid w:val="00D34779"/>
    <w:rsid w:val="00D36C7E"/>
    <w:rsid w:val="00D3701D"/>
    <w:rsid w:val="00D42015"/>
    <w:rsid w:val="00D4483F"/>
    <w:rsid w:val="00D46879"/>
    <w:rsid w:val="00D4710F"/>
    <w:rsid w:val="00D47CEA"/>
    <w:rsid w:val="00D513CB"/>
    <w:rsid w:val="00D51F3B"/>
    <w:rsid w:val="00D520C6"/>
    <w:rsid w:val="00D52B0E"/>
    <w:rsid w:val="00D54AF5"/>
    <w:rsid w:val="00D60D30"/>
    <w:rsid w:val="00D61F42"/>
    <w:rsid w:val="00D65964"/>
    <w:rsid w:val="00D67499"/>
    <w:rsid w:val="00D714D0"/>
    <w:rsid w:val="00D729AB"/>
    <w:rsid w:val="00D72DB1"/>
    <w:rsid w:val="00D753E6"/>
    <w:rsid w:val="00D762A6"/>
    <w:rsid w:val="00D771D7"/>
    <w:rsid w:val="00D80360"/>
    <w:rsid w:val="00D8183A"/>
    <w:rsid w:val="00D847B6"/>
    <w:rsid w:val="00D84B33"/>
    <w:rsid w:val="00D84F83"/>
    <w:rsid w:val="00D8553E"/>
    <w:rsid w:val="00D95C06"/>
    <w:rsid w:val="00DA0FDF"/>
    <w:rsid w:val="00DA4F51"/>
    <w:rsid w:val="00DA7466"/>
    <w:rsid w:val="00DB01BE"/>
    <w:rsid w:val="00DB1B4D"/>
    <w:rsid w:val="00DB346E"/>
    <w:rsid w:val="00DB4535"/>
    <w:rsid w:val="00DB6B02"/>
    <w:rsid w:val="00DC1265"/>
    <w:rsid w:val="00DC16B6"/>
    <w:rsid w:val="00DC1778"/>
    <w:rsid w:val="00DC55E6"/>
    <w:rsid w:val="00DC6844"/>
    <w:rsid w:val="00DD03E3"/>
    <w:rsid w:val="00DD5320"/>
    <w:rsid w:val="00DE1113"/>
    <w:rsid w:val="00DE2C0A"/>
    <w:rsid w:val="00DE44FF"/>
    <w:rsid w:val="00DE4C16"/>
    <w:rsid w:val="00DE5108"/>
    <w:rsid w:val="00DE563D"/>
    <w:rsid w:val="00DE5CF4"/>
    <w:rsid w:val="00DE6FEA"/>
    <w:rsid w:val="00DE752A"/>
    <w:rsid w:val="00DE796F"/>
    <w:rsid w:val="00DF59FA"/>
    <w:rsid w:val="00DF5D06"/>
    <w:rsid w:val="00DF5DAE"/>
    <w:rsid w:val="00DF7CAB"/>
    <w:rsid w:val="00E00BC7"/>
    <w:rsid w:val="00E0204D"/>
    <w:rsid w:val="00E04528"/>
    <w:rsid w:val="00E0515F"/>
    <w:rsid w:val="00E11C31"/>
    <w:rsid w:val="00E12EF9"/>
    <w:rsid w:val="00E14317"/>
    <w:rsid w:val="00E15C1F"/>
    <w:rsid w:val="00E213A5"/>
    <w:rsid w:val="00E21E7D"/>
    <w:rsid w:val="00E22779"/>
    <w:rsid w:val="00E236A0"/>
    <w:rsid w:val="00E23AD7"/>
    <w:rsid w:val="00E23B66"/>
    <w:rsid w:val="00E24F3D"/>
    <w:rsid w:val="00E2581C"/>
    <w:rsid w:val="00E2752D"/>
    <w:rsid w:val="00E27BE2"/>
    <w:rsid w:val="00E31E73"/>
    <w:rsid w:val="00E33596"/>
    <w:rsid w:val="00E33B29"/>
    <w:rsid w:val="00E405E0"/>
    <w:rsid w:val="00E45AC1"/>
    <w:rsid w:val="00E51B0C"/>
    <w:rsid w:val="00E52150"/>
    <w:rsid w:val="00E54644"/>
    <w:rsid w:val="00E54B41"/>
    <w:rsid w:val="00E55C12"/>
    <w:rsid w:val="00E60337"/>
    <w:rsid w:val="00E739B4"/>
    <w:rsid w:val="00E74E3C"/>
    <w:rsid w:val="00E7693F"/>
    <w:rsid w:val="00E778F8"/>
    <w:rsid w:val="00E81EFD"/>
    <w:rsid w:val="00E84322"/>
    <w:rsid w:val="00E84ED0"/>
    <w:rsid w:val="00E85C4E"/>
    <w:rsid w:val="00E86AA8"/>
    <w:rsid w:val="00E903B8"/>
    <w:rsid w:val="00E93FDF"/>
    <w:rsid w:val="00E94FEC"/>
    <w:rsid w:val="00E958A2"/>
    <w:rsid w:val="00E96448"/>
    <w:rsid w:val="00E96846"/>
    <w:rsid w:val="00E97DC6"/>
    <w:rsid w:val="00EA049A"/>
    <w:rsid w:val="00EA0E78"/>
    <w:rsid w:val="00EA457B"/>
    <w:rsid w:val="00EA7B36"/>
    <w:rsid w:val="00EB1FD5"/>
    <w:rsid w:val="00EB4AAB"/>
    <w:rsid w:val="00EB563B"/>
    <w:rsid w:val="00EB6BEF"/>
    <w:rsid w:val="00EB6C8F"/>
    <w:rsid w:val="00EC2ABA"/>
    <w:rsid w:val="00EC3D0C"/>
    <w:rsid w:val="00EC443A"/>
    <w:rsid w:val="00EC4F0F"/>
    <w:rsid w:val="00EC6EB3"/>
    <w:rsid w:val="00EC6EF6"/>
    <w:rsid w:val="00EC745D"/>
    <w:rsid w:val="00ED0ADA"/>
    <w:rsid w:val="00ED0CAB"/>
    <w:rsid w:val="00ED3D50"/>
    <w:rsid w:val="00ED430D"/>
    <w:rsid w:val="00ED4780"/>
    <w:rsid w:val="00ED4C37"/>
    <w:rsid w:val="00ED68E1"/>
    <w:rsid w:val="00EE5909"/>
    <w:rsid w:val="00EF3181"/>
    <w:rsid w:val="00EF34D6"/>
    <w:rsid w:val="00EF42CC"/>
    <w:rsid w:val="00EF4F60"/>
    <w:rsid w:val="00EF5806"/>
    <w:rsid w:val="00F01236"/>
    <w:rsid w:val="00F01629"/>
    <w:rsid w:val="00F02C8F"/>
    <w:rsid w:val="00F04148"/>
    <w:rsid w:val="00F107D6"/>
    <w:rsid w:val="00F109F9"/>
    <w:rsid w:val="00F10C64"/>
    <w:rsid w:val="00F11BB9"/>
    <w:rsid w:val="00F126A1"/>
    <w:rsid w:val="00F13CEE"/>
    <w:rsid w:val="00F143C4"/>
    <w:rsid w:val="00F1472B"/>
    <w:rsid w:val="00F1606A"/>
    <w:rsid w:val="00F17075"/>
    <w:rsid w:val="00F20BBE"/>
    <w:rsid w:val="00F21A34"/>
    <w:rsid w:val="00F22640"/>
    <w:rsid w:val="00F22CAD"/>
    <w:rsid w:val="00F24641"/>
    <w:rsid w:val="00F266AB"/>
    <w:rsid w:val="00F2781F"/>
    <w:rsid w:val="00F34C8A"/>
    <w:rsid w:val="00F359B1"/>
    <w:rsid w:val="00F36345"/>
    <w:rsid w:val="00F36A19"/>
    <w:rsid w:val="00F42A16"/>
    <w:rsid w:val="00F440E2"/>
    <w:rsid w:val="00F44A29"/>
    <w:rsid w:val="00F44F2A"/>
    <w:rsid w:val="00F46AA2"/>
    <w:rsid w:val="00F47177"/>
    <w:rsid w:val="00F53073"/>
    <w:rsid w:val="00F536C8"/>
    <w:rsid w:val="00F55508"/>
    <w:rsid w:val="00F60779"/>
    <w:rsid w:val="00F61A54"/>
    <w:rsid w:val="00F650C8"/>
    <w:rsid w:val="00F73802"/>
    <w:rsid w:val="00F74B7F"/>
    <w:rsid w:val="00F76094"/>
    <w:rsid w:val="00F76E8D"/>
    <w:rsid w:val="00F778F3"/>
    <w:rsid w:val="00F818F0"/>
    <w:rsid w:val="00F8526D"/>
    <w:rsid w:val="00F865B3"/>
    <w:rsid w:val="00F87E6A"/>
    <w:rsid w:val="00F90607"/>
    <w:rsid w:val="00F961A4"/>
    <w:rsid w:val="00F961B5"/>
    <w:rsid w:val="00F96714"/>
    <w:rsid w:val="00F97F00"/>
    <w:rsid w:val="00FA121B"/>
    <w:rsid w:val="00FA2B9E"/>
    <w:rsid w:val="00FA6AB9"/>
    <w:rsid w:val="00FA6B82"/>
    <w:rsid w:val="00FB18B0"/>
    <w:rsid w:val="00FB36D6"/>
    <w:rsid w:val="00FB5E9B"/>
    <w:rsid w:val="00FB5FD2"/>
    <w:rsid w:val="00FB6C4E"/>
    <w:rsid w:val="00FC0DAB"/>
    <w:rsid w:val="00FC3473"/>
    <w:rsid w:val="00FC42E2"/>
    <w:rsid w:val="00FC45EF"/>
    <w:rsid w:val="00FC5108"/>
    <w:rsid w:val="00FC5CB1"/>
    <w:rsid w:val="00FC6569"/>
    <w:rsid w:val="00FD601D"/>
    <w:rsid w:val="00FE0E44"/>
    <w:rsid w:val="00FE5F24"/>
    <w:rsid w:val="00FF0D87"/>
    <w:rsid w:val="00FF27A4"/>
    <w:rsid w:val="00FF75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E1BBF"/>
  <w14:defaultImageDpi w14:val="32767"/>
  <w15:chartTrackingRefBased/>
  <w15:docId w15:val="{B1DDFFE6-8640-1D46-A3FA-1BC01B8E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2A6"/>
    <w:pPr>
      <w:spacing w:line="360" w:lineRule="auto"/>
      <w:ind w:firstLine="709"/>
      <w:jc w:val="both"/>
    </w:pPr>
    <w:rPr>
      <w:rFonts w:ascii="Times New Roman" w:eastAsia="Times New Roman" w:hAnsi="Times New Roman" w:cs="Times New Roman"/>
      <w:lang w:eastAsia="ru-RU"/>
    </w:rPr>
  </w:style>
  <w:style w:type="paragraph" w:styleId="1">
    <w:name w:val="heading 1"/>
    <w:basedOn w:val="a"/>
    <w:next w:val="a"/>
    <w:link w:val="10"/>
    <w:uiPriority w:val="9"/>
    <w:qFormat/>
    <w:rsid w:val="00F21A34"/>
    <w:pPr>
      <w:keepNext/>
      <w:keepLines/>
      <w:numPr>
        <w:numId w:val="3"/>
      </w:numPr>
      <w:spacing w:before="240"/>
      <w:ind w:left="709" w:hanging="709"/>
      <w:jc w:val="left"/>
      <w:outlineLvl w:val="0"/>
    </w:pPr>
    <w:rPr>
      <w:rFonts w:eastAsiaTheme="majorEastAsia" w:cstheme="majorBidi"/>
      <w:color w:val="000000" w:themeColor="text1"/>
      <w:sz w:val="32"/>
      <w:szCs w:val="32"/>
    </w:rPr>
  </w:style>
  <w:style w:type="paragraph" w:styleId="2">
    <w:name w:val="heading 2"/>
    <w:basedOn w:val="a"/>
    <w:next w:val="a"/>
    <w:link w:val="20"/>
    <w:uiPriority w:val="9"/>
    <w:unhideWhenUsed/>
    <w:qFormat/>
    <w:rsid w:val="009B626A"/>
    <w:pPr>
      <w:keepNext/>
      <w:keepLines/>
      <w:spacing w:before="40"/>
      <w:outlineLvl w:val="1"/>
    </w:pPr>
    <w:rPr>
      <w:rFonts w:eastAsiaTheme="majorEastAsia" w:cstheme="majorBidi"/>
      <w:color w:val="000000" w:themeColor="text1"/>
      <w:sz w:val="26"/>
      <w:szCs w:val="26"/>
    </w:rPr>
  </w:style>
  <w:style w:type="paragraph" w:styleId="3">
    <w:name w:val="heading 3"/>
    <w:basedOn w:val="a"/>
    <w:next w:val="a"/>
    <w:link w:val="30"/>
    <w:uiPriority w:val="9"/>
    <w:unhideWhenUsed/>
    <w:qFormat/>
    <w:rsid w:val="00313C7C"/>
    <w:pPr>
      <w:keepNext/>
      <w:keepLines/>
      <w:spacing w:before="40"/>
      <w:outlineLvl w:val="2"/>
    </w:pPr>
    <w:rPr>
      <w:rFonts w:eastAsiaTheme="majorEastAsia" w:cstheme="majorBidi"/>
      <w:color w:val="000000" w:themeColor="text1"/>
    </w:rPr>
  </w:style>
  <w:style w:type="paragraph" w:styleId="4">
    <w:name w:val="heading 4"/>
    <w:basedOn w:val="a"/>
    <w:next w:val="a"/>
    <w:link w:val="40"/>
    <w:uiPriority w:val="9"/>
    <w:semiHidden/>
    <w:unhideWhenUsed/>
    <w:qFormat/>
    <w:rsid w:val="009B46AA"/>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75DC5"/>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A34"/>
    <w:rPr>
      <w:rFonts w:ascii="Times New Roman" w:eastAsiaTheme="majorEastAsia" w:hAnsi="Times New Roman" w:cstheme="majorBidi"/>
      <w:color w:val="000000" w:themeColor="text1"/>
      <w:sz w:val="32"/>
      <w:szCs w:val="32"/>
    </w:rPr>
  </w:style>
  <w:style w:type="paragraph" w:styleId="a3">
    <w:name w:val="footer"/>
    <w:basedOn w:val="a"/>
    <w:link w:val="a4"/>
    <w:uiPriority w:val="99"/>
    <w:unhideWhenUsed/>
    <w:rsid w:val="00D2551C"/>
    <w:pPr>
      <w:tabs>
        <w:tab w:val="center" w:pos="4677"/>
        <w:tab w:val="right" w:pos="9355"/>
      </w:tabs>
      <w:spacing w:line="240" w:lineRule="auto"/>
    </w:pPr>
  </w:style>
  <w:style w:type="character" w:customStyle="1" w:styleId="a4">
    <w:name w:val="Нижний колонтитул Знак"/>
    <w:basedOn w:val="a0"/>
    <w:link w:val="a3"/>
    <w:uiPriority w:val="99"/>
    <w:rsid w:val="00D2551C"/>
    <w:rPr>
      <w:rFonts w:ascii="Times New Roman" w:hAnsi="Times New Roman"/>
    </w:rPr>
  </w:style>
  <w:style w:type="character" w:styleId="a5">
    <w:name w:val="page number"/>
    <w:basedOn w:val="a0"/>
    <w:uiPriority w:val="99"/>
    <w:semiHidden/>
    <w:unhideWhenUsed/>
    <w:rsid w:val="00D2551C"/>
  </w:style>
  <w:style w:type="character" w:styleId="a6">
    <w:name w:val="Hyperlink"/>
    <w:basedOn w:val="a0"/>
    <w:uiPriority w:val="99"/>
    <w:unhideWhenUsed/>
    <w:rsid w:val="00D847B6"/>
    <w:rPr>
      <w:color w:val="0563C1" w:themeColor="hyperlink"/>
      <w:u w:val="single"/>
    </w:rPr>
  </w:style>
  <w:style w:type="character" w:customStyle="1" w:styleId="11">
    <w:name w:val="Неразрешенное упоминание1"/>
    <w:basedOn w:val="a0"/>
    <w:uiPriority w:val="99"/>
    <w:rsid w:val="00D847B6"/>
    <w:rPr>
      <w:color w:val="605E5C"/>
      <w:shd w:val="clear" w:color="auto" w:fill="E1DFDD"/>
    </w:rPr>
  </w:style>
  <w:style w:type="character" w:customStyle="1" w:styleId="20">
    <w:name w:val="Заголовок 2 Знак"/>
    <w:basedOn w:val="a0"/>
    <w:link w:val="2"/>
    <w:uiPriority w:val="9"/>
    <w:rsid w:val="009B626A"/>
    <w:rPr>
      <w:rFonts w:ascii="Times New Roman" w:eastAsiaTheme="majorEastAsia" w:hAnsi="Times New Roman" w:cstheme="majorBidi"/>
      <w:color w:val="000000" w:themeColor="text1"/>
      <w:sz w:val="26"/>
      <w:szCs w:val="26"/>
    </w:rPr>
  </w:style>
  <w:style w:type="character" w:customStyle="1" w:styleId="apple-converted-space">
    <w:name w:val="apple-converted-space"/>
    <w:basedOn w:val="a0"/>
    <w:rsid w:val="00B33662"/>
  </w:style>
  <w:style w:type="character" w:styleId="a7">
    <w:name w:val="FollowedHyperlink"/>
    <w:basedOn w:val="a0"/>
    <w:uiPriority w:val="99"/>
    <w:semiHidden/>
    <w:unhideWhenUsed/>
    <w:rsid w:val="003868C4"/>
    <w:rPr>
      <w:color w:val="954F72" w:themeColor="followedHyperlink"/>
      <w:u w:val="single"/>
    </w:rPr>
  </w:style>
  <w:style w:type="character" w:styleId="a8">
    <w:name w:val="Placeholder Text"/>
    <w:basedOn w:val="a0"/>
    <w:uiPriority w:val="99"/>
    <w:semiHidden/>
    <w:rsid w:val="00F961B5"/>
    <w:rPr>
      <w:color w:val="808080"/>
    </w:rPr>
  </w:style>
  <w:style w:type="paragraph" w:customStyle="1" w:styleId="12">
    <w:name w:val="Список литературы1"/>
    <w:basedOn w:val="a"/>
    <w:link w:val="Bibliography"/>
    <w:rsid w:val="00F47177"/>
    <w:pPr>
      <w:spacing w:line="240" w:lineRule="auto"/>
      <w:ind w:left="720" w:hanging="720"/>
    </w:pPr>
  </w:style>
  <w:style w:type="character" w:customStyle="1" w:styleId="Bibliography">
    <w:name w:val="Bibliography Знак"/>
    <w:basedOn w:val="a0"/>
    <w:link w:val="12"/>
    <w:rsid w:val="00F47177"/>
    <w:rPr>
      <w:rFonts w:ascii="Times New Roman" w:hAnsi="Times New Roman" w:cs="Times New Roman"/>
    </w:rPr>
  </w:style>
  <w:style w:type="table" w:styleId="a9">
    <w:name w:val="Table Grid"/>
    <w:basedOn w:val="a1"/>
    <w:uiPriority w:val="59"/>
    <w:rsid w:val="00AB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6F4CE6"/>
    <w:pPr>
      <w:spacing w:before="100" w:beforeAutospacing="1" w:after="100" w:afterAutospacing="1" w:line="240" w:lineRule="auto"/>
      <w:ind w:firstLine="0"/>
      <w:jc w:val="left"/>
    </w:pPr>
  </w:style>
  <w:style w:type="character" w:customStyle="1" w:styleId="50">
    <w:name w:val="Заголовок 5 Знак"/>
    <w:basedOn w:val="a0"/>
    <w:link w:val="5"/>
    <w:uiPriority w:val="9"/>
    <w:semiHidden/>
    <w:rsid w:val="00975DC5"/>
    <w:rPr>
      <w:rFonts w:asciiTheme="majorHAnsi" w:eastAsiaTheme="majorEastAsia" w:hAnsiTheme="majorHAnsi" w:cstheme="majorBidi"/>
      <w:color w:val="2F5496" w:themeColor="accent1" w:themeShade="BF"/>
    </w:rPr>
  </w:style>
  <w:style w:type="paragraph" w:styleId="ab">
    <w:name w:val="TOC Heading"/>
    <w:basedOn w:val="1"/>
    <w:next w:val="a"/>
    <w:uiPriority w:val="39"/>
    <w:unhideWhenUsed/>
    <w:qFormat/>
    <w:rsid w:val="009B46AA"/>
    <w:pPr>
      <w:spacing w:before="480" w:line="276" w:lineRule="auto"/>
      <w:outlineLvl w:val="9"/>
    </w:pPr>
    <w:rPr>
      <w:rFonts w:asciiTheme="majorHAnsi" w:hAnsiTheme="majorHAnsi"/>
      <w:b/>
      <w:bCs/>
      <w:color w:val="2F5496" w:themeColor="accent1" w:themeShade="BF"/>
      <w:sz w:val="28"/>
      <w:szCs w:val="28"/>
    </w:rPr>
  </w:style>
  <w:style w:type="paragraph" w:styleId="13">
    <w:name w:val="toc 1"/>
    <w:basedOn w:val="a"/>
    <w:next w:val="a"/>
    <w:autoRedefine/>
    <w:uiPriority w:val="39"/>
    <w:unhideWhenUsed/>
    <w:rsid w:val="008A22F8"/>
    <w:pPr>
      <w:tabs>
        <w:tab w:val="right" w:leader="dot" w:pos="9339"/>
      </w:tabs>
      <w:spacing w:before="120" w:after="120" w:line="240" w:lineRule="auto"/>
      <w:jc w:val="left"/>
    </w:pPr>
    <w:rPr>
      <w:bCs/>
      <w:sz w:val="20"/>
      <w:szCs w:val="20"/>
    </w:rPr>
  </w:style>
  <w:style w:type="paragraph" w:styleId="21">
    <w:name w:val="toc 2"/>
    <w:basedOn w:val="a"/>
    <w:next w:val="a"/>
    <w:autoRedefine/>
    <w:uiPriority w:val="39"/>
    <w:unhideWhenUsed/>
    <w:rsid w:val="008A22F8"/>
    <w:pPr>
      <w:tabs>
        <w:tab w:val="right" w:leader="dot" w:pos="9339"/>
      </w:tabs>
      <w:spacing w:line="240" w:lineRule="auto"/>
      <w:jc w:val="left"/>
    </w:pPr>
    <w:rPr>
      <w:sz w:val="20"/>
      <w:szCs w:val="20"/>
    </w:rPr>
  </w:style>
  <w:style w:type="paragraph" w:styleId="31">
    <w:name w:val="toc 3"/>
    <w:basedOn w:val="a"/>
    <w:next w:val="a"/>
    <w:autoRedefine/>
    <w:uiPriority w:val="39"/>
    <w:unhideWhenUsed/>
    <w:rsid w:val="008A22F8"/>
    <w:pPr>
      <w:spacing w:line="240" w:lineRule="auto"/>
      <w:ind w:firstLine="851"/>
      <w:jc w:val="left"/>
    </w:pPr>
    <w:rPr>
      <w:iCs/>
      <w:sz w:val="20"/>
      <w:szCs w:val="20"/>
    </w:rPr>
  </w:style>
  <w:style w:type="paragraph" w:styleId="41">
    <w:name w:val="toc 4"/>
    <w:basedOn w:val="a"/>
    <w:next w:val="a"/>
    <w:autoRedefine/>
    <w:uiPriority w:val="39"/>
    <w:semiHidden/>
    <w:unhideWhenUsed/>
    <w:rsid w:val="009B46AA"/>
    <w:pPr>
      <w:ind w:left="720"/>
      <w:jc w:val="left"/>
    </w:pPr>
    <w:rPr>
      <w:rFonts w:asciiTheme="minorHAnsi" w:hAnsiTheme="minorHAnsi"/>
      <w:sz w:val="18"/>
      <w:szCs w:val="18"/>
    </w:rPr>
  </w:style>
  <w:style w:type="paragraph" w:styleId="51">
    <w:name w:val="toc 5"/>
    <w:basedOn w:val="a"/>
    <w:next w:val="a"/>
    <w:autoRedefine/>
    <w:uiPriority w:val="39"/>
    <w:semiHidden/>
    <w:unhideWhenUsed/>
    <w:rsid w:val="009B46AA"/>
    <w:pPr>
      <w:ind w:left="960"/>
      <w:jc w:val="left"/>
    </w:pPr>
    <w:rPr>
      <w:rFonts w:asciiTheme="minorHAnsi" w:hAnsiTheme="minorHAnsi"/>
      <w:sz w:val="18"/>
      <w:szCs w:val="18"/>
    </w:rPr>
  </w:style>
  <w:style w:type="paragraph" w:styleId="6">
    <w:name w:val="toc 6"/>
    <w:basedOn w:val="a"/>
    <w:next w:val="a"/>
    <w:autoRedefine/>
    <w:uiPriority w:val="39"/>
    <w:semiHidden/>
    <w:unhideWhenUsed/>
    <w:rsid w:val="009B46AA"/>
    <w:pPr>
      <w:ind w:left="1200"/>
      <w:jc w:val="left"/>
    </w:pPr>
    <w:rPr>
      <w:rFonts w:asciiTheme="minorHAnsi" w:hAnsiTheme="minorHAnsi"/>
      <w:sz w:val="18"/>
      <w:szCs w:val="18"/>
    </w:rPr>
  </w:style>
  <w:style w:type="paragraph" w:styleId="7">
    <w:name w:val="toc 7"/>
    <w:basedOn w:val="a"/>
    <w:next w:val="a"/>
    <w:autoRedefine/>
    <w:uiPriority w:val="39"/>
    <w:semiHidden/>
    <w:unhideWhenUsed/>
    <w:rsid w:val="009B46AA"/>
    <w:pPr>
      <w:ind w:left="1440"/>
      <w:jc w:val="left"/>
    </w:pPr>
    <w:rPr>
      <w:rFonts w:asciiTheme="minorHAnsi" w:hAnsiTheme="minorHAnsi"/>
      <w:sz w:val="18"/>
      <w:szCs w:val="18"/>
    </w:rPr>
  </w:style>
  <w:style w:type="paragraph" w:styleId="8">
    <w:name w:val="toc 8"/>
    <w:basedOn w:val="a"/>
    <w:next w:val="a"/>
    <w:autoRedefine/>
    <w:uiPriority w:val="39"/>
    <w:semiHidden/>
    <w:unhideWhenUsed/>
    <w:rsid w:val="009B46AA"/>
    <w:pPr>
      <w:ind w:left="1680"/>
      <w:jc w:val="left"/>
    </w:pPr>
    <w:rPr>
      <w:rFonts w:asciiTheme="minorHAnsi" w:hAnsiTheme="minorHAnsi"/>
      <w:sz w:val="18"/>
      <w:szCs w:val="18"/>
    </w:rPr>
  </w:style>
  <w:style w:type="paragraph" w:styleId="9">
    <w:name w:val="toc 9"/>
    <w:basedOn w:val="a"/>
    <w:next w:val="a"/>
    <w:autoRedefine/>
    <w:uiPriority w:val="39"/>
    <w:semiHidden/>
    <w:unhideWhenUsed/>
    <w:rsid w:val="009B46AA"/>
    <w:pPr>
      <w:ind w:left="1920"/>
      <w:jc w:val="left"/>
    </w:pPr>
    <w:rPr>
      <w:rFonts w:asciiTheme="minorHAnsi" w:hAnsiTheme="minorHAnsi"/>
      <w:sz w:val="18"/>
      <w:szCs w:val="18"/>
    </w:rPr>
  </w:style>
  <w:style w:type="character" w:customStyle="1" w:styleId="30">
    <w:name w:val="Заголовок 3 Знак"/>
    <w:basedOn w:val="a0"/>
    <w:link w:val="3"/>
    <w:uiPriority w:val="9"/>
    <w:rsid w:val="00313C7C"/>
    <w:rPr>
      <w:rFonts w:ascii="Times New Roman" w:eastAsiaTheme="majorEastAsia" w:hAnsi="Times New Roman" w:cstheme="majorBidi"/>
      <w:color w:val="000000" w:themeColor="text1"/>
    </w:rPr>
  </w:style>
  <w:style w:type="character" w:customStyle="1" w:styleId="40">
    <w:name w:val="Заголовок 4 Знак"/>
    <w:basedOn w:val="a0"/>
    <w:link w:val="4"/>
    <w:uiPriority w:val="9"/>
    <w:semiHidden/>
    <w:rsid w:val="009B46AA"/>
    <w:rPr>
      <w:rFonts w:asciiTheme="majorHAnsi" w:eastAsiaTheme="majorEastAsia" w:hAnsiTheme="majorHAnsi" w:cstheme="majorBidi"/>
      <w:i/>
      <w:iCs/>
      <w:color w:val="2F5496" w:themeColor="accent1" w:themeShade="BF"/>
    </w:rPr>
  </w:style>
  <w:style w:type="paragraph" w:styleId="ac">
    <w:name w:val="List Paragraph"/>
    <w:basedOn w:val="a"/>
    <w:uiPriority w:val="34"/>
    <w:qFormat/>
    <w:rsid w:val="003A2D06"/>
    <w:pPr>
      <w:ind w:left="720"/>
      <w:contextualSpacing/>
    </w:pPr>
  </w:style>
  <w:style w:type="paragraph" w:customStyle="1" w:styleId="14">
    <w:name w:val="Заголовок 1 (ненумерованный)"/>
    <w:basedOn w:val="1"/>
    <w:qFormat/>
    <w:rsid w:val="00F21A34"/>
    <w:pPr>
      <w:numPr>
        <w:numId w:val="0"/>
      </w:numPr>
      <w:jc w:val="center"/>
    </w:pPr>
  </w:style>
  <w:style w:type="paragraph" w:customStyle="1" w:styleId="ad">
    <w:name w:val="Заголовки таблиц"/>
    <w:basedOn w:val="a"/>
    <w:qFormat/>
    <w:rsid w:val="0076660A"/>
    <w:pPr>
      <w:jc w:val="right"/>
    </w:pPr>
    <w:rPr>
      <w:color w:val="000000" w:themeColor="text1"/>
    </w:rPr>
  </w:style>
  <w:style w:type="paragraph" w:styleId="ae">
    <w:name w:val="caption"/>
    <w:basedOn w:val="a"/>
    <w:next w:val="a"/>
    <w:uiPriority w:val="35"/>
    <w:unhideWhenUsed/>
    <w:qFormat/>
    <w:rsid w:val="006F3BE8"/>
    <w:pPr>
      <w:spacing w:after="200" w:line="240" w:lineRule="auto"/>
      <w:ind w:firstLine="0"/>
      <w:jc w:val="right"/>
    </w:pPr>
    <w:rPr>
      <w:iCs/>
      <w:color w:val="000000" w:themeColor="text1"/>
      <w:szCs w:val="18"/>
    </w:rPr>
  </w:style>
  <w:style w:type="paragraph" w:customStyle="1" w:styleId="af">
    <w:name w:val="Большие таблицы"/>
    <w:basedOn w:val="af0"/>
    <w:qFormat/>
    <w:rsid w:val="00BB3197"/>
    <w:pPr>
      <w:ind w:firstLine="0"/>
    </w:pPr>
    <w:rPr>
      <w:sz w:val="20"/>
    </w:rPr>
  </w:style>
  <w:style w:type="paragraph" w:styleId="af0">
    <w:name w:val="No Spacing"/>
    <w:uiPriority w:val="1"/>
    <w:qFormat/>
    <w:rsid w:val="000F1FD2"/>
    <w:pPr>
      <w:ind w:firstLine="709"/>
      <w:jc w:val="both"/>
    </w:pPr>
    <w:rPr>
      <w:rFonts w:ascii="Times New Roman" w:hAnsi="Times New Roman"/>
    </w:rPr>
  </w:style>
  <w:style w:type="paragraph" w:customStyle="1" w:styleId="af1">
    <w:name w:val="Рисунки"/>
    <w:basedOn w:val="af"/>
    <w:qFormat/>
    <w:rsid w:val="00086E0A"/>
    <w:pPr>
      <w:spacing w:line="360" w:lineRule="auto"/>
      <w:jc w:val="center"/>
    </w:pPr>
    <w:rPr>
      <w:noProof/>
      <w:sz w:val="24"/>
    </w:rPr>
  </w:style>
  <w:style w:type="paragraph" w:styleId="HTML">
    <w:name w:val="HTML Preformatted"/>
    <w:basedOn w:val="a"/>
    <w:link w:val="HTML0"/>
    <w:uiPriority w:val="99"/>
    <w:semiHidden/>
    <w:unhideWhenUsed/>
    <w:rsid w:val="00EA0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EA0E78"/>
    <w:rPr>
      <w:rFonts w:ascii="Courier New" w:eastAsia="Times New Roman" w:hAnsi="Courier New" w:cs="Courier New"/>
      <w:sz w:val="20"/>
      <w:szCs w:val="20"/>
      <w:lang w:eastAsia="ru-RU"/>
    </w:rPr>
  </w:style>
  <w:style w:type="paragraph" w:styleId="af2">
    <w:name w:val="Balloon Text"/>
    <w:basedOn w:val="a"/>
    <w:link w:val="af3"/>
    <w:uiPriority w:val="99"/>
    <w:semiHidden/>
    <w:unhideWhenUsed/>
    <w:rsid w:val="009515EC"/>
    <w:pPr>
      <w:spacing w:line="240" w:lineRule="auto"/>
    </w:pPr>
    <w:rPr>
      <w:sz w:val="18"/>
      <w:szCs w:val="18"/>
    </w:rPr>
  </w:style>
  <w:style w:type="character" w:customStyle="1" w:styleId="af3">
    <w:name w:val="Текст выноски Знак"/>
    <w:basedOn w:val="a0"/>
    <w:link w:val="af2"/>
    <w:uiPriority w:val="99"/>
    <w:semiHidden/>
    <w:rsid w:val="009515EC"/>
    <w:rPr>
      <w:rFonts w:ascii="Times New Roman" w:hAnsi="Times New Roman" w:cs="Times New Roman"/>
      <w:sz w:val="18"/>
      <w:szCs w:val="18"/>
    </w:rPr>
  </w:style>
  <w:style w:type="paragraph" w:customStyle="1" w:styleId="15">
    <w:name w:val="Стиль1"/>
    <w:basedOn w:val="af"/>
    <w:qFormat/>
    <w:rsid w:val="00AD1D5B"/>
  </w:style>
  <w:style w:type="paragraph" w:customStyle="1" w:styleId="af4">
    <w:name w:val="Маленькие таблицы"/>
    <w:basedOn w:val="af"/>
    <w:qFormat/>
    <w:rsid w:val="00AD1D5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2047">
      <w:bodyDiv w:val="1"/>
      <w:marLeft w:val="0"/>
      <w:marRight w:val="0"/>
      <w:marTop w:val="0"/>
      <w:marBottom w:val="0"/>
      <w:divBdr>
        <w:top w:val="none" w:sz="0" w:space="0" w:color="auto"/>
        <w:left w:val="none" w:sz="0" w:space="0" w:color="auto"/>
        <w:bottom w:val="none" w:sz="0" w:space="0" w:color="auto"/>
        <w:right w:val="none" w:sz="0" w:space="0" w:color="auto"/>
      </w:divBdr>
    </w:div>
    <w:div w:id="20134189">
      <w:bodyDiv w:val="1"/>
      <w:marLeft w:val="0"/>
      <w:marRight w:val="0"/>
      <w:marTop w:val="0"/>
      <w:marBottom w:val="0"/>
      <w:divBdr>
        <w:top w:val="none" w:sz="0" w:space="0" w:color="auto"/>
        <w:left w:val="none" w:sz="0" w:space="0" w:color="auto"/>
        <w:bottom w:val="none" w:sz="0" w:space="0" w:color="auto"/>
        <w:right w:val="none" w:sz="0" w:space="0" w:color="auto"/>
      </w:divBdr>
    </w:div>
    <w:div w:id="69817949">
      <w:bodyDiv w:val="1"/>
      <w:marLeft w:val="0"/>
      <w:marRight w:val="0"/>
      <w:marTop w:val="0"/>
      <w:marBottom w:val="0"/>
      <w:divBdr>
        <w:top w:val="none" w:sz="0" w:space="0" w:color="auto"/>
        <w:left w:val="none" w:sz="0" w:space="0" w:color="auto"/>
        <w:bottom w:val="none" w:sz="0" w:space="0" w:color="auto"/>
        <w:right w:val="none" w:sz="0" w:space="0" w:color="auto"/>
      </w:divBdr>
    </w:div>
    <w:div w:id="91170355">
      <w:bodyDiv w:val="1"/>
      <w:marLeft w:val="0"/>
      <w:marRight w:val="0"/>
      <w:marTop w:val="0"/>
      <w:marBottom w:val="0"/>
      <w:divBdr>
        <w:top w:val="none" w:sz="0" w:space="0" w:color="auto"/>
        <w:left w:val="none" w:sz="0" w:space="0" w:color="auto"/>
        <w:bottom w:val="none" w:sz="0" w:space="0" w:color="auto"/>
        <w:right w:val="none" w:sz="0" w:space="0" w:color="auto"/>
      </w:divBdr>
    </w:div>
    <w:div w:id="96102429">
      <w:bodyDiv w:val="1"/>
      <w:marLeft w:val="0"/>
      <w:marRight w:val="0"/>
      <w:marTop w:val="0"/>
      <w:marBottom w:val="0"/>
      <w:divBdr>
        <w:top w:val="none" w:sz="0" w:space="0" w:color="auto"/>
        <w:left w:val="none" w:sz="0" w:space="0" w:color="auto"/>
        <w:bottom w:val="none" w:sz="0" w:space="0" w:color="auto"/>
        <w:right w:val="none" w:sz="0" w:space="0" w:color="auto"/>
      </w:divBdr>
    </w:div>
    <w:div w:id="96563872">
      <w:bodyDiv w:val="1"/>
      <w:marLeft w:val="0"/>
      <w:marRight w:val="0"/>
      <w:marTop w:val="0"/>
      <w:marBottom w:val="0"/>
      <w:divBdr>
        <w:top w:val="none" w:sz="0" w:space="0" w:color="auto"/>
        <w:left w:val="none" w:sz="0" w:space="0" w:color="auto"/>
        <w:bottom w:val="none" w:sz="0" w:space="0" w:color="auto"/>
        <w:right w:val="none" w:sz="0" w:space="0" w:color="auto"/>
      </w:divBdr>
    </w:div>
    <w:div w:id="132988363">
      <w:bodyDiv w:val="1"/>
      <w:marLeft w:val="0"/>
      <w:marRight w:val="0"/>
      <w:marTop w:val="0"/>
      <w:marBottom w:val="0"/>
      <w:divBdr>
        <w:top w:val="none" w:sz="0" w:space="0" w:color="auto"/>
        <w:left w:val="none" w:sz="0" w:space="0" w:color="auto"/>
        <w:bottom w:val="none" w:sz="0" w:space="0" w:color="auto"/>
        <w:right w:val="none" w:sz="0" w:space="0" w:color="auto"/>
      </w:divBdr>
    </w:div>
    <w:div w:id="174928868">
      <w:bodyDiv w:val="1"/>
      <w:marLeft w:val="0"/>
      <w:marRight w:val="0"/>
      <w:marTop w:val="0"/>
      <w:marBottom w:val="0"/>
      <w:divBdr>
        <w:top w:val="none" w:sz="0" w:space="0" w:color="auto"/>
        <w:left w:val="none" w:sz="0" w:space="0" w:color="auto"/>
        <w:bottom w:val="none" w:sz="0" w:space="0" w:color="auto"/>
        <w:right w:val="none" w:sz="0" w:space="0" w:color="auto"/>
      </w:divBdr>
    </w:div>
    <w:div w:id="238909336">
      <w:bodyDiv w:val="1"/>
      <w:marLeft w:val="0"/>
      <w:marRight w:val="0"/>
      <w:marTop w:val="0"/>
      <w:marBottom w:val="0"/>
      <w:divBdr>
        <w:top w:val="none" w:sz="0" w:space="0" w:color="auto"/>
        <w:left w:val="none" w:sz="0" w:space="0" w:color="auto"/>
        <w:bottom w:val="none" w:sz="0" w:space="0" w:color="auto"/>
        <w:right w:val="none" w:sz="0" w:space="0" w:color="auto"/>
      </w:divBdr>
      <w:divsChild>
        <w:div w:id="1188328596">
          <w:marLeft w:val="0"/>
          <w:marRight w:val="0"/>
          <w:marTop w:val="0"/>
          <w:marBottom w:val="0"/>
          <w:divBdr>
            <w:top w:val="none" w:sz="0" w:space="0" w:color="auto"/>
            <w:left w:val="none" w:sz="0" w:space="0" w:color="auto"/>
            <w:bottom w:val="none" w:sz="0" w:space="0" w:color="auto"/>
            <w:right w:val="none" w:sz="0" w:space="0" w:color="auto"/>
          </w:divBdr>
          <w:divsChild>
            <w:div w:id="617758222">
              <w:marLeft w:val="0"/>
              <w:marRight w:val="0"/>
              <w:marTop w:val="0"/>
              <w:marBottom w:val="0"/>
              <w:divBdr>
                <w:top w:val="none" w:sz="0" w:space="0" w:color="auto"/>
                <w:left w:val="none" w:sz="0" w:space="0" w:color="auto"/>
                <w:bottom w:val="none" w:sz="0" w:space="0" w:color="auto"/>
                <w:right w:val="none" w:sz="0" w:space="0" w:color="auto"/>
              </w:divBdr>
              <w:divsChild>
                <w:div w:id="17239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237">
      <w:bodyDiv w:val="1"/>
      <w:marLeft w:val="0"/>
      <w:marRight w:val="0"/>
      <w:marTop w:val="0"/>
      <w:marBottom w:val="0"/>
      <w:divBdr>
        <w:top w:val="none" w:sz="0" w:space="0" w:color="auto"/>
        <w:left w:val="none" w:sz="0" w:space="0" w:color="auto"/>
        <w:bottom w:val="none" w:sz="0" w:space="0" w:color="auto"/>
        <w:right w:val="none" w:sz="0" w:space="0" w:color="auto"/>
      </w:divBdr>
      <w:divsChild>
        <w:div w:id="591939752">
          <w:marLeft w:val="0"/>
          <w:marRight w:val="0"/>
          <w:marTop w:val="0"/>
          <w:marBottom w:val="0"/>
          <w:divBdr>
            <w:top w:val="none" w:sz="0" w:space="0" w:color="auto"/>
            <w:left w:val="none" w:sz="0" w:space="0" w:color="auto"/>
            <w:bottom w:val="none" w:sz="0" w:space="0" w:color="auto"/>
            <w:right w:val="none" w:sz="0" w:space="0" w:color="auto"/>
          </w:divBdr>
        </w:div>
        <w:div w:id="1823697387">
          <w:marLeft w:val="0"/>
          <w:marRight w:val="0"/>
          <w:marTop w:val="0"/>
          <w:marBottom w:val="0"/>
          <w:divBdr>
            <w:top w:val="none" w:sz="0" w:space="0" w:color="auto"/>
            <w:left w:val="none" w:sz="0" w:space="0" w:color="auto"/>
            <w:bottom w:val="none" w:sz="0" w:space="0" w:color="auto"/>
            <w:right w:val="none" w:sz="0" w:space="0" w:color="auto"/>
          </w:divBdr>
        </w:div>
        <w:div w:id="2053456165">
          <w:marLeft w:val="0"/>
          <w:marRight w:val="0"/>
          <w:marTop w:val="0"/>
          <w:marBottom w:val="0"/>
          <w:divBdr>
            <w:top w:val="none" w:sz="0" w:space="0" w:color="auto"/>
            <w:left w:val="none" w:sz="0" w:space="0" w:color="auto"/>
            <w:bottom w:val="none" w:sz="0" w:space="0" w:color="auto"/>
            <w:right w:val="none" w:sz="0" w:space="0" w:color="auto"/>
          </w:divBdr>
        </w:div>
        <w:div w:id="1233783234">
          <w:marLeft w:val="0"/>
          <w:marRight w:val="0"/>
          <w:marTop w:val="0"/>
          <w:marBottom w:val="0"/>
          <w:divBdr>
            <w:top w:val="none" w:sz="0" w:space="0" w:color="auto"/>
            <w:left w:val="none" w:sz="0" w:space="0" w:color="auto"/>
            <w:bottom w:val="none" w:sz="0" w:space="0" w:color="auto"/>
            <w:right w:val="none" w:sz="0" w:space="0" w:color="auto"/>
          </w:divBdr>
        </w:div>
        <w:div w:id="1337027918">
          <w:marLeft w:val="0"/>
          <w:marRight w:val="0"/>
          <w:marTop w:val="0"/>
          <w:marBottom w:val="0"/>
          <w:divBdr>
            <w:top w:val="none" w:sz="0" w:space="0" w:color="auto"/>
            <w:left w:val="none" w:sz="0" w:space="0" w:color="auto"/>
            <w:bottom w:val="none" w:sz="0" w:space="0" w:color="auto"/>
            <w:right w:val="none" w:sz="0" w:space="0" w:color="auto"/>
          </w:divBdr>
        </w:div>
        <w:div w:id="2113041720">
          <w:marLeft w:val="0"/>
          <w:marRight w:val="0"/>
          <w:marTop w:val="0"/>
          <w:marBottom w:val="0"/>
          <w:divBdr>
            <w:top w:val="none" w:sz="0" w:space="0" w:color="auto"/>
            <w:left w:val="none" w:sz="0" w:space="0" w:color="auto"/>
            <w:bottom w:val="none" w:sz="0" w:space="0" w:color="auto"/>
            <w:right w:val="none" w:sz="0" w:space="0" w:color="auto"/>
          </w:divBdr>
        </w:div>
        <w:div w:id="579213803">
          <w:marLeft w:val="0"/>
          <w:marRight w:val="0"/>
          <w:marTop w:val="0"/>
          <w:marBottom w:val="0"/>
          <w:divBdr>
            <w:top w:val="none" w:sz="0" w:space="0" w:color="auto"/>
            <w:left w:val="none" w:sz="0" w:space="0" w:color="auto"/>
            <w:bottom w:val="none" w:sz="0" w:space="0" w:color="auto"/>
            <w:right w:val="none" w:sz="0" w:space="0" w:color="auto"/>
          </w:divBdr>
        </w:div>
        <w:div w:id="1325667587">
          <w:marLeft w:val="0"/>
          <w:marRight w:val="0"/>
          <w:marTop w:val="0"/>
          <w:marBottom w:val="0"/>
          <w:divBdr>
            <w:top w:val="none" w:sz="0" w:space="0" w:color="auto"/>
            <w:left w:val="none" w:sz="0" w:space="0" w:color="auto"/>
            <w:bottom w:val="none" w:sz="0" w:space="0" w:color="auto"/>
            <w:right w:val="none" w:sz="0" w:space="0" w:color="auto"/>
          </w:divBdr>
        </w:div>
        <w:div w:id="281963450">
          <w:marLeft w:val="0"/>
          <w:marRight w:val="0"/>
          <w:marTop w:val="0"/>
          <w:marBottom w:val="0"/>
          <w:divBdr>
            <w:top w:val="none" w:sz="0" w:space="0" w:color="auto"/>
            <w:left w:val="none" w:sz="0" w:space="0" w:color="auto"/>
            <w:bottom w:val="none" w:sz="0" w:space="0" w:color="auto"/>
            <w:right w:val="none" w:sz="0" w:space="0" w:color="auto"/>
          </w:divBdr>
        </w:div>
        <w:div w:id="1854293835">
          <w:marLeft w:val="0"/>
          <w:marRight w:val="0"/>
          <w:marTop w:val="0"/>
          <w:marBottom w:val="0"/>
          <w:divBdr>
            <w:top w:val="none" w:sz="0" w:space="0" w:color="auto"/>
            <w:left w:val="none" w:sz="0" w:space="0" w:color="auto"/>
            <w:bottom w:val="none" w:sz="0" w:space="0" w:color="auto"/>
            <w:right w:val="none" w:sz="0" w:space="0" w:color="auto"/>
          </w:divBdr>
        </w:div>
        <w:div w:id="1164977469">
          <w:marLeft w:val="0"/>
          <w:marRight w:val="0"/>
          <w:marTop w:val="0"/>
          <w:marBottom w:val="0"/>
          <w:divBdr>
            <w:top w:val="none" w:sz="0" w:space="0" w:color="auto"/>
            <w:left w:val="none" w:sz="0" w:space="0" w:color="auto"/>
            <w:bottom w:val="none" w:sz="0" w:space="0" w:color="auto"/>
            <w:right w:val="none" w:sz="0" w:space="0" w:color="auto"/>
          </w:divBdr>
        </w:div>
        <w:div w:id="798189478">
          <w:marLeft w:val="0"/>
          <w:marRight w:val="0"/>
          <w:marTop w:val="0"/>
          <w:marBottom w:val="0"/>
          <w:divBdr>
            <w:top w:val="none" w:sz="0" w:space="0" w:color="auto"/>
            <w:left w:val="none" w:sz="0" w:space="0" w:color="auto"/>
            <w:bottom w:val="none" w:sz="0" w:space="0" w:color="auto"/>
            <w:right w:val="none" w:sz="0" w:space="0" w:color="auto"/>
          </w:divBdr>
        </w:div>
        <w:div w:id="2001495845">
          <w:marLeft w:val="0"/>
          <w:marRight w:val="0"/>
          <w:marTop w:val="0"/>
          <w:marBottom w:val="0"/>
          <w:divBdr>
            <w:top w:val="none" w:sz="0" w:space="0" w:color="auto"/>
            <w:left w:val="none" w:sz="0" w:space="0" w:color="auto"/>
            <w:bottom w:val="none" w:sz="0" w:space="0" w:color="auto"/>
            <w:right w:val="none" w:sz="0" w:space="0" w:color="auto"/>
          </w:divBdr>
        </w:div>
        <w:div w:id="369305488">
          <w:marLeft w:val="0"/>
          <w:marRight w:val="0"/>
          <w:marTop w:val="0"/>
          <w:marBottom w:val="0"/>
          <w:divBdr>
            <w:top w:val="none" w:sz="0" w:space="0" w:color="auto"/>
            <w:left w:val="none" w:sz="0" w:space="0" w:color="auto"/>
            <w:bottom w:val="none" w:sz="0" w:space="0" w:color="auto"/>
            <w:right w:val="none" w:sz="0" w:space="0" w:color="auto"/>
          </w:divBdr>
        </w:div>
        <w:div w:id="1438215485">
          <w:marLeft w:val="0"/>
          <w:marRight w:val="0"/>
          <w:marTop w:val="0"/>
          <w:marBottom w:val="0"/>
          <w:divBdr>
            <w:top w:val="none" w:sz="0" w:space="0" w:color="auto"/>
            <w:left w:val="none" w:sz="0" w:space="0" w:color="auto"/>
            <w:bottom w:val="none" w:sz="0" w:space="0" w:color="auto"/>
            <w:right w:val="none" w:sz="0" w:space="0" w:color="auto"/>
          </w:divBdr>
        </w:div>
        <w:div w:id="2011835640">
          <w:marLeft w:val="0"/>
          <w:marRight w:val="0"/>
          <w:marTop w:val="0"/>
          <w:marBottom w:val="0"/>
          <w:divBdr>
            <w:top w:val="none" w:sz="0" w:space="0" w:color="auto"/>
            <w:left w:val="none" w:sz="0" w:space="0" w:color="auto"/>
            <w:bottom w:val="none" w:sz="0" w:space="0" w:color="auto"/>
            <w:right w:val="none" w:sz="0" w:space="0" w:color="auto"/>
          </w:divBdr>
        </w:div>
        <w:div w:id="1279415194">
          <w:marLeft w:val="0"/>
          <w:marRight w:val="0"/>
          <w:marTop w:val="0"/>
          <w:marBottom w:val="0"/>
          <w:divBdr>
            <w:top w:val="none" w:sz="0" w:space="0" w:color="auto"/>
            <w:left w:val="none" w:sz="0" w:space="0" w:color="auto"/>
            <w:bottom w:val="none" w:sz="0" w:space="0" w:color="auto"/>
            <w:right w:val="none" w:sz="0" w:space="0" w:color="auto"/>
          </w:divBdr>
        </w:div>
        <w:div w:id="1835802731">
          <w:marLeft w:val="0"/>
          <w:marRight w:val="0"/>
          <w:marTop w:val="0"/>
          <w:marBottom w:val="0"/>
          <w:divBdr>
            <w:top w:val="none" w:sz="0" w:space="0" w:color="auto"/>
            <w:left w:val="none" w:sz="0" w:space="0" w:color="auto"/>
            <w:bottom w:val="none" w:sz="0" w:space="0" w:color="auto"/>
            <w:right w:val="none" w:sz="0" w:space="0" w:color="auto"/>
          </w:divBdr>
        </w:div>
        <w:div w:id="1022711453">
          <w:marLeft w:val="0"/>
          <w:marRight w:val="0"/>
          <w:marTop w:val="0"/>
          <w:marBottom w:val="0"/>
          <w:divBdr>
            <w:top w:val="none" w:sz="0" w:space="0" w:color="auto"/>
            <w:left w:val="none" w:sz="0" w:space="0" w:color="auto"/>
            <w:bottom w:val="none" w:sz="0" w:space="0" w:color="auto"/>
            <w:right w:val="none" w:sz="0" w:space="0" w:color="auto"/>
          </w:divBdr>
        </w:div>
        <w:div w:id="1623533511">
          <w:marLeft w:val="0"/>
          <w:marRight w:val="0"/>
          <w:marTop w:val="0"/>
          <w:marBottom w:val="0"/>
          <w:divBdr>
            <w:top w:val="none" w:sz="0" w:space="0" w:color="auto"/>
            <w:left w:val="none" w:sz="0" w:space="0" w:color="auto"/>
            <w:bottom w:val="none" w:sz="0" w:space="0" w:color="auto"/>
            <w:right w:val="none" w:sz="0" w:space="0" w:color="auto"/>
          </w:divBdr>
        </w:div>
        <w:div w:id="2114668116">
          <w:marLeft w:val="0"/>
          <w:marRight w:val="0"/>
          <w:marTop w:val="0"/>
          <w:marBottom w:val="0"/>
          <w:divBdr>
            <w:top w:val="none" w:sz="0" w:space="0" w:color="auto"/>
            <w:left w:val="none" w:sz="0" w:space="0" w:color="auto"/>
            <w:bottom w:val="none" w:sz="0" w:space="0" w:color="auto"/>
            <w:right w:val="none" w:sz="0" w:space="0" w:color="auto"/>
          </w:divBdr>
        </w:div>
      </w:divsChild>
    </w:div>
    <w:div w:id="388499283">
      <w:bodyDiv w:val="1"/>
      <w:marLeft w:val="0"/>
      <w:marRight w:val="0"/>
      <w:marTop w:val="0"/>
      <w:marBottom w:val="0"/>
      <w:divBdr>
        <w:top w:val="none" w:sz="0" w:space="0" w:color="auto"/>
        <w:left w:val="none" w:sz="0" w:space="0" w:color="auto"/>
        <w:bottom w:val="none" w:sz="0" w:space="0" w:color="auto"/>
        <w:right w:val="none" w:sz="0" w:space="0" w:color="auto"/>
      </w:divBdr>
    </w:div>
    <w:div w:id="391122732">
      <w:bodyDiv w:val="1"/>
      <w:marLeft w:val="0"/>
      <w:marRight w:val="0"/>
      <w:marTop w:val="0"/>
      <w:marBottom w:val="0"/>
      <w:divBdr>
        <w:top w:val="none" w:sz="0" w:space="0" w:color="auto"/>
        <w:left w:val="none" w:sz="0" w:space="0" w:color="auto"/>
        <w:bottom w:val="none" w:sz="0" w:space="0" w:color="auto"/>
        <w:right w:val="none" w:sz="0" w:space="0" w:color="auto"/>
      </w:divBdr>
    </w:div>
    <w:div w:id="407844437">
      <w:bodyDiv w:val="1"/>
      <w:marLeft w:val="0"/>
      <w:marRight w:val="0"/>
      <w:marTop w:val="0"/>
      <w:marBottom w:val="0"/>
      <w:divBdr>
        <w:top w:val="none" w:sz="0" w:space="0" w:color="auto"/>
        <w:left w:val="none" w:sz="0" w:space="0" w:color="auto"/>
        <w:bottom w:val="none" w:sz="0" w:space="0" w:color="auto"/>
        <w:right w:val="none" w:sz="0" w:space="0" w:color="auto"/>
      </w:divBdr>
    </w:div>
    <w:div w:id="450050896">
      <w:bodyDiv w:val="1"/>
      <w:marLeft w:val="0"/>
      <w:marRight w:val="0"/>
      <w:marTop w:val="0"/>
      <w:marBottom w:val="0"/>
      <w:divBdr>
        <w:top w:val="none" w:sz="0" w:space="0" w:color="auto"/>
        <w:left w:val="none" w:sz="0" w:space="0" w:color="auto"/>
        <w:bottom w:val="none" w:sz="0" w:space="0" w:color="auto"/>
        <w:right w:val="none" w:sz="0" w:space="0" w:color="auto"/>
      </w:divBdr>
    </w:div>
    <w:div w:id="455834870">
      <w:bodyDiv w:val="1"/>
      <w:marLeft w:val="0"/>
      <w:marRight w:val="0"/>
      <w:marTop w:val="0"/>
      <w:marBottom w:val="0"/>
      <w:divBdr>
        <w:top w:val="none" w:sz="0" w:space="0" w:color="auto"/>
        <w:left w:val="none" w:sz="0" w:space="0" w:color="auto"/>
        <w:bottom w:val="none" w:sz="0" w:space="0" w:color="auto"/>
        <w:right w:val="none" w:sz="0" w:space="0" w:color="auto"/>
      </w:divBdr>
    </w:div>
    <w:div w:id="480542125">
      <w:bodyDiv w:val="1"/>
      <w:marLeft w:val="0"/>
      <w:marRight w:val="0"/>
      <w:marTop w:val="0"/>
      <w:marBottom w:val="0"/>
      <w:divBdr>
        <w:top w:val="none" w:sz="0" w:space="0" w:color="auto"/>
        <w:left w:val="none" w:sz="0" w:space="0" w:color="auto"/>
        <w:bottom w:val="none" w:sz="0" w:space="0" w:color="auto"/>
        <w:right w:val="none" w:sz="0" w:space="0" w:color="auto"/>
      </w:divBdr>
    </w:div>
    <w:div w:id="482047626">
      <w:bodyDiv w:val="1"/>
      <w:marLeft w:val="0"/>
      <w:marRight w:val="0"/>
      <w:marTop w:val="0"/>
      <w:marBottom w:val="0"/>
      <w:divBdr>
        <w:top w:val="none" w:sz="0" w:space="0" w:color="auto"/>
        <w:left w:val="none" w:sz="0" w:space="0" w:color="auto"/>
        <w:bottom w:val="none" w:sz="0" w:space="0" w:color="auto"/>
        <w:right w:val="none" w:sz="0" w:space="0" w:color="auto"/>
      </w:divBdr>
    </w:div>
    <w:div w:id="489755275">
      <w:bodyDiv w:val="1"/>
      <w:marLeft w:val="0"/>
      <w:marRight w:val="0"/>
      <w:marTop w:val="0"/>
      <w:marBottom w:val="0"/>
      <w:divBdr>
        <w:top w:val="none" w:sz="0" w:space="0" w:color="auto"/>
        <w:left w:val="none" w:sz="0" w:space="0" w:color="auto"/>
        <w:bottom w:val="none" w:sz="0" w:space="0" w:color="auto"/>
        <w:right w:val="none" w:sz="0" w:space="0" w:color="auto"/>
      </w:divBdr>
    </w:div>
    <w:div w:id="558714697">
      <w:bodyDiv w:val="1"/>
      <w:marLeft w:val="0"/>
      <w:marRight w:val="0"/>
      <w:marTop w:val="0"/>
      <w:marBottom w:val="0"/>
      <w:divBdr>
        <w:top w:val="none" w:sz="0" w:space="0" w:color="auto"/>
        <w:left w:val="none" w:sz="0" w:space="0" w:color="auto"/>
        <w:bottom w:val="none" w:sz="0" w:space="0" w:color="auto"/>
        <w:right w:val="none" w:sz="0" w:space="0" w:color="auto"/>
      </w:divBdr>
      <w:divsChild>
        <w:div w:id="894464879">
          <w:marLeft w:val="0"/>
          <w:marRight w:val="0"/>
          <w:marTop w:val="0"/>
          <w:marBottom w:val="0"/>
          <w:divBdr>
            <w:top w:val="none" w:sz="0" w:space="0" w:color="auto"/>
            <w:left w:val="none" w:sz="0" w:space="0" w:color="auto"/>
            <w:bottom w:val="none" w:sz="0" w:space="0" w:color="auto"/>
            <w:right w:val="none" w:sz="0" w:space="0" w:color="auto"/>
          </w:divBdr>
          <w:divsChild>
            <w:div w:id="699740605">
              <w:marLeft w:val="0"/>
              <w:marRight w:val="0"/>
              <w:marTop w:val="0"/>
              <w:marBottom w:val="0"/>
              <w:divBdr>
                <w:top w:val="none" w:sz="0" w:space="0" w:color="auto"/>
                <w:left w:val="none" w:sz="0" w:space="0" w:color="auto"/>
                <w:bottom w:val="none" w:sz="0" w:space="0" w:color="auto"/>
                <w:right w:val="none" w:sz="0" w:space="0" w:color="auto"/>
              </w:divBdr>
              <w:divsChild>
                <w:div w:id="1720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1318">
      <w:bodyDiv w:val="1"/>
      <w:marLeft w:val="0"/>
      <w:marRight w:val="0"/>
      <w:marTop w:val="0"/>
      <w:marBottom w:val="0"/>
      <w:divBdr>
        <w:top w:val="none" w:sz="0" w:space="0" w:color="auto"/>
        <w:left w:val="none" w:sz="0" w:space="0" w:color="auto"/>
        <w:bottom w:val="none" w:sz="0" w:space="0" w:color="auto"/>
        <w:right w:val="none" w:sz="0" w:space="0" w:color="auto"/>
      </w:divBdr>
    </w:div>
    <w:div w:id="568417149">
      <w:bodyDiv w:val="1"/>
      <w:marLeft w:val="0"/>
      <w:marRight w:val="0"/>
      <w:marTop w:val="0"/>
      <w:marBottom w:val="0"/>
      <w:divBdr>
        <w:top w:val="none" w:sz="0" w:space="0" w:color="auto"/>
        <w:left w:val="none" w:sz="0" w:space="0" w:color="auto"/>
        <w:bottom w:val="none" w:sz="0" w:space="0" w:color="auto"/>
        <w:right w:val="none" w:sz="0" w:space="0" w:color="auto"/>
      </w:divBdr>
    </w:div>
    <w:div w:id="621226263">
      <w:bodyDiv w:val="1"/>
      <w:marLeft w:val="0"/>
      <w:marRight w:val="0"/>
      <w:marTop w:val="0"/>
      <w:marBottom w:val="0"/>
      <w:divBdr>
        <w:top w:val="none" w:sz="0" w:space="0" w:color="auto"/>
        <w:left w:val="none" w:sz="0" w:space="0" w:color="auto"/>
        <w:bottom w:val="none" w:sz="0" w:space="0" w:color="auto"/>
        <w:right w:val="none" w:sz="0" w:space="0" w:color="auto"/>
      </w:divBdr>
    </w:div>
    <w:div w:id="722828449">
      <w:bodyDiv w:val="1"/>
      <w:marLeft w:val="0"/>
      <w:marRight w:val="0"/>
      <w:marTop w:val="0"/>
      <w:marBottom w:val="0"/>
      <w:divBdr>
        <w:top w:val="none" w:sz="0" w:space="0" w:color="auto"/>
        <w:left w:val="none" w:sz="0" w:space="0" w:color="auto"/>
        <w:bottom w:val="none" w:sz="0" w:space="0" w:color="auto"/>
        <w:right w:val="none" w:sz="0" w:space="0" w:color="auto"/>
      </w:divBdr>
    </w:div>
    <w:div w:id="748159789">
      <w:bodyDiv w:val="1"/>
      <w:marLeft w:val="0"/>
      <w:marRight w:val="0"/>
      <w:marTop w:val="0"/>
      <w:marBottom w:val="0"/>
      <w:divBdr>
        <w:top w:val="none" w:sz="0" w:space="0" w:color="auto"/>
        <w:left w:val="none" w:sz="0" w:space="0" w:color="auto"/>
        <w:bottom w:val="none" w:sz="0" w:space="0" w:color="auto"/>
        <w:right w:val="none" w:sz="0" w:space="0" w:color="auto"/>
      </w:divBdr>
    </w:div>
    <w:div w:id="803161417">
      <w:bodyDiv w:val="1"/>
      <w:marLeft w:val="0"/>
      <w:marRight w:val="0"/>
      <w:marTop w:val="0"/>
      <w:marBottom w:val="0"/>
      <w:divBdr>
        <w:top w:val="none" w:sz="0" w:space="0" w:color="auto"/>
        <w:left w:val="none" w:sz="0" w:space="0" w:color="auto"/>
        <w:bottom w:val="none" w:sz="0" w:space="0" w:color="auto"/>
        <w:right w:val="none" w:sz="0" w:space="0" w:color="auto"/>
      </w:divBdr>
    </w:div>
    <w:div w:id="871267927">
      <w:bodyDiv w:val="1"/>
      <w:marLeft w:val="0"/>
      <w:marRight w:val="0"/>
      <w:marTop w:val="0"/>
      <w:marBottom w:val="0"/>
      <w:divBdr>
        <w:top w:val="none" w:sz="0" w:space="0" w:color="auto"/>
        <w:left w:val="none" w:sz="0" w:space="0" w:color="auto"/>
        <w:bottom w:val="none" w:sz="0" w:space="0" w:color="auto"/>
        <w:right w:val="none" w:sz="0" w:space="0" w:color="auto"/>
      </w:divBdr>
    </w:div>
    <w:div w:id="877543457">
      <w:bodyDiv w:val="1"/>
      <w:marLeft w:val="0"/>
      <w:marRight w:val="0"/>
      <w:marTop w:val="0"/>
      <w:marBottom w:val="0"/>
      <w:divBdr>
        <w:top w:val="none" w:sz="0" w:space="0" w:color="auto"/>
        <w:left w:val="none" w:sz="0" w:space="0" w:color="auto"/>
        <w:bottom w:val="none" w:sz="0" w:space="0" w:color="auto"/>
        <w:right w:val="none" w:sz="0" w:space="0" w:color="auto"/>
      </w:divBdr>
      <w:divsChild>
        <w:div w:id="1147431444">
          <w:marLeft w:val="0"/>
          <w:marRight w:val="0"/>
          <w:marTop w:val="0"/>
          <w:marBottom w:val="0"/>
          <w:divBdr>
            <w:top w:val="none" w:sz="0" w:space="0" w:color="auto"/>
            <w:left w:val="none" w:sz="0" w:space="0" w:color="auto"/>
            <w:bottom w:val="none" w:sz="0" w:space="0" w:color="auto"/>
            <w:right w:val="none" w:sz="0" w:space="0" w:color="auto"/>
          </w:divBdr>
          <w:divsChild>
            <w:div w:id="579868452">
              <w:marLeft w:val="0"/>
              <w:marRight w:val="0"/>
              <w:marTop w:val="0"/>
              <w:marBottom w:val="0"/>
              <w:divBdr>
                <w:top w:val="none" w:sz="0" w:space="0" w:color="auto"/>
                <w:left w:val="none" w:sz="0" w:space="0" w:color="auto"/>
                <w:bottom w:val="none" w:sz="0" w:space="0" w:color="auto"/>
                <w:right w:val="none" w:sz="0" w:space="0" w:color="auto"/>
              </w:divBdr>
              <w:divsChild>
                <w:div w:id="17133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8454">
      <w:bodyDiv w:val="1"/>
      <w:marLeft w:val="0"/>
      <w:marRight w:val="0"/>
      <w:marTop w:val="0"/>
      <w:marBottom w:val="0"/>
      <w:divBdr>
        <w:top w:val="none" w:sz="0" w:space="0" w:color="auto"/>
        <w:left w:val="none" w:sz="0" w:space="0" w:color="auto"/>
        <w:bottom w:val="none" w:sz="0" w:space="0" w:color="auto"/>
        <w:right w:val="none" w:sz="0" w:space="0" w:color="auto"/>
      </w:divBdr>
    </w:div>
    <w:div w:id="909340815">
      <w:bodyDiv w:val="1"/>
      <w:marLeft w:val="0"/>
      <w:marRight w:val="0"/>
      <w:marTop w:val="0"/>
      <w:marBottom w:val="0"/>
      <w:divBdr>
        <w:top w:val="none" w:sz="0" w:space="0" w:color="auto"/>
        <w:left w:val="none" w:sz="0" w:space="0" w:color="auto"/>
        <w:bottom w:val="none" w:sz="0" w:space="0" w:color="auto"/>
        <w:right w:val="none" w:sz="0" w:space="0" w:color="auto"/>
      </w:divBdr>
    </w:div>
    <w:div w:id="975375340">
      <w:bodyDiv w:val="1"/>
      <w:marLeft w:val="0"/>
      <w:marRight w:val="0"/>
      <w:marTop w:val="0"/>
      <w:marBottom w:val="0"/>
      <w:divBdr>
        <w:top w:val="none" w:sz="0" w:space="0" w:color="auto"/>
        <w:left w:val="none" w:sz="0" w:space="0" w:color="auto"/>
        <w:bottom w:val="none" w:sz="0" w:space="0" w:color="auto"/>
        <w:right w:val="none" w:sz="0" w:space="0" w:color="auto"/>
      </w:divBdr>
    </w:div>
    <w:div w:id="1012611891">
      <w:bodyDiv w:val="1"/>
      <w:marLeft w:val="0"/>
      <w:marRight w:val="0"/>
      <w:marTop w:val="0"/>
      <w:marBottom w:val="0"/>
      <w:divBdr>
        <w:top w:val="none" w:sz="0" w:space="0" w:color="auto"/>
        <w:left w:val="none" w:sz="0" w:space="0" w:color="auto"/>
        <w:bottom w:val="none" w:sz="0" w:space="0" w:color="auto"/>
        <w:right w:val="none" w:sz="0" w:space="0" w:color="auto"/>
      </w:divBdr>
    </w:div>
    <w:div w:id="1031497630">
      <w:bodyDiv w:val="1"/>
      <w:marLeft w:val="0"/>
      <w:marRight w:val="0"/>
      <w:marTop w:val="0"/>
      <w:marBottom w:val="0"/>
      <w:divBdr>
        <w:top w:val="none" w:sz="0" w:space="0" w:color="auto"/>
        <w:left w:val="none" w:sz="0" w:space="0" w:color="auto"/>
        <w:bottom w:val="none" w:sz="0" w:space="0" w:color="auto"/>
        <w:right w:val="none" w:sz="0" w:space="0" w:color="auto"/>
      </w:divBdr>
    </w:div>
    <w:div w:id="1033533924">
      <w:bodyDiv w:val="1"/>
      <w:marLeft w:val="0"/>
      <w:marRight w:val="0"/>
      <w:marTop w:val="0"/>
      <w:marBottom w:val="0"/>
      <w:divBdr>
        <w:top w:val="none" w:sz="0" w:space="0" w:color="auto"/>
        <w:left w:val="none" w:sz="0" w:space="0" w:color="auto"/>
        <w:bottom w:val="none" w:sz="0" w:space="0" w:color="auto"/>
        <w:right w:val="none" w:sz="0" w:space="0" w:color="auto"/>
      </w:divBdr>
    </w:div>
    <w:div w:id="1038968687">
      <w:bodyDiv w:val="1"/>
      <w:marLeft w:val="0"/>
      <w:marRight w:val="0"/>
      <w:marTop w:val="0"/>
      <w:marBottom w:val="0"/>
      <w:divBdr>
        <w:top w:val="none" w:sz="0" w:space="0" w:color="auto"/>
        <w:left w:val="none" w:sz="0" w:space="0" w:color="auto"/>
        <w:bottom w:val="none" w:sz="0" w:space="0" w:color="auto"/>
        <w:right w:val="none" w:sz="0" w:space="0" w:color="auto"/>
      </w:divBdr>
    </w:div>
    <w:div w:id="1042706014">
      <w:bodyDiv w:val="1"/>
      <w:marLeft w:val="0"/>
      <w:marRight w:val="0"/>
      <w:marTop w:val="0"/>
      <w:marBottom w:val="0"/>
      <w:divBdr>
        <w:top w:val="none" w:sz="0" w:space="0" w:color="auto"/>
        <w:left w:val="none" w:sz="0" w:space="0" w:color="auto"/>
        <w:bottom w:val="none" w:sz="0" w:space="0" w:color="auto"/>
        <w:right w:val="none" w:sz="0" w:space="0" w:color="auto"/>
      </w:divBdr>
    </w:div>
    <w:div w:id="1071270189">
      <w:bodyDiv w:val="1"/>
      <w:marLeft w:val="0"/>
      <w:marRight w:val="0"/>
      <w:marTop w:val="0"/>
      <w:marBottom w:val="0"/>
      <w:divBdr>
        <w:top w:val="none" w:sz="0" w:space="0" w:color="auto"/>
        <w:left w:val="none" w:sz="0" w:space="0" w:color="auto"/>
        <w:bottom w:val="none" w:sz="0" w:space="0" w:color="auto"/>
        <w:right w:val="none" w:sz="0" w:space="0" w:color="auto"/>
      </w:divBdr>
    </w:div>
    <w:div w:id="1107576179">
      <w:bodyDiv w:val="1"/>
      <w:marLeft w:val="0"/>
      <w:marRight w:val="0"/>
      <w:marTop w:val="0"/>
      <w:marBottom w:val="0"/>
      <w:divBdr>
        <w:top w:val="none" w:sz="0" w:space="0" w:color="auto"/>
        <w:left w:val="none" w:sz="0" w:space="0" w:color="auto"/>
        <w:bottom w:val="none" w:sz="0" w:space="0" w:color="auto"/>
        <w:right w:val="none" w:sz="0" w:space="0" w:color="auto"/>
      </w:divBdr>
    </w:div>
    <w:div w:id="1114443067">
      <w:bodyDiv w:val="1"/>
      <w:marLeft w:val="0"/>
      <w:marRight w:val="0"/>
      <w:marTop w:val="0"/>
      <w:marBottom w:val="0"/>
      <w:divBdr>
        <w:top w:val="none" w:sz="0" w:space="0" w:color="auto"/>
        <w:left w:val="none" w:sz="0" w:space="0" w:color="auto"/>
        <w:bottom w:val="none" w:sz="0" w:space="0" w:color="auto"/>
        <w:right w:val="none" w:sz="0" w:space="0" w:color="auto"/>
      </w:divBdr>
      <w:divsChild>
        <w:div w:id="1502697773">
          <w:marLeft w:val="0"/>
          <w:marRight w:val="0"/>
          <w:marTop w:val="0"/>
          <w:marBottom w:val="0"/>
          <w:divBdr>
            <w:top w:val="none" w:sz="0" w:space="0" w:color="auto"/>
            <w:left w:val="none" w:sz="0" w:space="0" w:color="auto"/>
            <w:bottom w:val="none" w:sz="0" w:space="0" w:color="auto"/>
            <w:right w:val="none" w:sz="0" w:space="0" w:color="auto"/>
          </w:divBdr>
          <w:divsChild>
            <w:div w:id="87771283">
              <w:marLeft w:val="0"/>
              <w:marRight w:val="0"/>
              <w:marTop w:val="0"/>
              <w:marBottom w:val="0"/>
              <w:divBdr>
                <w:top w:val="none" w:sz="0" w:space="0" w:color="auto"/>
                <w:left w:val="none" w:sz="0" w:space="0" w:color="auto"/>
                <w:bottom w:val="none" w:sz="0" w:space="0" w:color="auto"/>
                <w:right w:val="none" w:sz="0" w:space="0" w:color="auto"/>
              </w:divBdr>
              <w:divsChild>
                <w:div w:id="5437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8096">
      <w:bodyDiv w:val="1"/>
      <w:marLeft w:val="0"/>
      <w:marRight w:val="0"/>
      <w:marTop w:val="0"/>
      <w:marBottom w:val="0"/>
      <w:divBdr>
        <w:top w:val="none" w:sz="0" w:space="0" w:color="auto"/>
        <w:left w:val="none" w:sz="0" w:space="0" w:color="auto"/>
        <w:bottom w:val="none" w:sz="0" w:space="0" w:color="auto"/>
        <w:right w:val="none" w:sz="0" w:space="0" w:color="auto"/>
      </w:divBdr>
    </w:div>
    <w:div w:id="1148396155">
      <w:bodyDiv w:val="1"/>
      <w:marLeft w:val="0"/>
      <w:marRight w:val="0"/>
      <w:marTop w:val="0"/>
      <w:marBottom w:val="0"/>
      <w:divBdr>
        <w:top w:val="none" w:sz="0" w:space="0" w:color="auto"/>
        <w:left w:val="none" w:sz="0" w:space="0" w:color="auto"/>
        <w:bottom w:val="none" w:sz="0" w:space="0" w:color="auto"/>
        <w:right w:val="none" w:sz="0" w:space="0" w:color="auto"/>
      </w:divBdr>
    </w:div>
    <w:div w:id="1161657762">
      <w:bodyDiv w:val="1"/>
      <w:marLeft w:val="0"/>
      <w:marRight w:val="0"/>
      <w:marTop w:val="0"/>
      <w:marBottom w:val="0"/>
      <w:divBdr>
        <w:top w:val="none" w:sz="0" w:space="0" w:color="auto"/>
        <w:left w:val="none" w:sz="0" w:space="0" w:color="auto"/>
        <w:bottom w:val="none" w:sz="0" w:space="0" w:color="auto"/>
        <w:right w:val="none" w:sz="0" w:space="0" w:color="auto"/>
      </w:divBdr>
    </w:div>
    <w:div w:id="1162891583">
      <w:bodyDiv w:val="1"/>
      <w:marLeft w:val="0"/>
      <w:marRight w:val="0"/>
      <w:marTop w:val="0"/>
      <w:marBottom w:val="0"/>
      <w:divBdr>
        <w:top w:val="none" w:sz="0" w:space="0" w:color="auto"/>
        <w:left w:val="none" w:sz="0" w:space="0" w:color="auto"/>
        <w:bottom w:val="none" w:sz="0" w:space="0" w:color="auto"/>
        <w:right w:val="none" w:sz="0" w:space="0" w:color="auto"/>
      </w:divBdr>
    </w:div>
    <w:div w:id="1163669101">
      <w:bodyDiv w:val="1"/>
      <w:marLeft w:val="0"/>
      <w:marRight w:val="0"/>
      <w:marTop w:val="0"/>
      <w:marBottom w:val="0"/>
      <w:divBdr>
        <w:top w:val="none" w:sz="0" w:space="0" w:color="auto"/>
        <w:left w:val="none" w:sz="0" w:space="0" w:color="auto"/>
        <w:bottom w:val="none" w:sz="0" w:space="0" w:color="auto"/>
        <w:right w:val="none" w:sz="0" w:space="0" w:color="auto"/>
      </w:divBdr>
    </w:div>
    <w:div w:id="1199467301">
      <w:bodyDiv w:val="1"/>
      <w:marLeft w:val="0"/>
      <w:marRight w:val="0"/>
      <w:marTop w:val="0"/>
      <w:marBottom w:val="0"/>
      <w:divBdr>
        <w:top w:val="none" w:sz="0" w:space="0" w:color="auto"/>
        <w:left w:val="none" w:sz="0" w:space="0" w:color="auto"/>
        <w:bottom w:val="none" w:sz="0" w:space="0" w:color="auto"/>
        <w:right w:val="none" w:sz="0" w:space="0" w:color="auto"/>
      </w:divBdr>
    </w:div>
    <w:div w:id="1203250781">
      <w:bodyDiv w:val="1"/>
      <w:marLeft w:val="0"/>
      <w:marRight w:val="0"/>
      <w:marTop w:val="0"/>
      <w:marBottom w:val="0"/>
      <w:divBdr>
        <w:top w:val="none" w:sz="0" w:space="0" w:color="auto"/>
        <w:left w:val="none" w:sz="0" w:space="0" w:color="auto"/>
        <w:bottom w:val="none" w:sz="0" w:space="0" w:color="auto"/>
        <w:right w:val="none" w:sz="0" w:space="0" w:color="auto"/>
      </w:divBdr>
    </w:div>
    <w:div w:id="1216546924">
      <w:bodyDiv w:val="1"/>
      <w:marLeft w:val="0"/>
      <w:marRight w:val="0"/>
      <w:marTop w:val="0"/>
      <w:marBottom w:val="0"/>
      <w:divBdr>
        <w:top w:val="none" w:sz="0" w:space="0" w:color="auto"/>
        <w:left w:val="none" w:sz="0" w:space="0" w:color="auto"/>
        <w:bottom w:val="none" w:sz="0" w:space="0" w:color="auto"/>
        <w:right w:val="none" w:sz="0" w:space="0" w:color="auto"/>
      </w:divBdr>
    </w:div>
    <w:div w:id="1217278274">
      <w:bodyDiv w:val="1"/>
      <w:marLeft w:val="0"/>
      <w:marRight w:val="0"/>
      <w:marTop w:val="0"/>
      <w:marBottom w:val="0"/>
      <w:divBdr>
        <w:top w:val="none" w:sz="0" w:space="0" w:color="auto"/>
        <w:left w:val="none" w:sz="0" w:space="0" w:color="auto"/>
        <w:bottom w:val="none" w:sz="0" w:space="0" w:color="auto"/>
        <w:right w:val="none" w:sz="0" w:space="0" w:color="auto"/>
      </w:divBdr>
    </w:div>
    <w:div w:id="1292322547">
      <w:bodyDiv w:val="1"/>
      <w:marLeft w:val="0"/>
      <w:marRight w:val="0"/>
      <w:marTop w:val="0"/>
      <w:marBottom w:val="0"/>
      <w:divBdr>
        <w:top w:val="none" w:sz="0" w:space="0" w:color="auto"/>
        <w:left w:val="none" w:sz="0" w:space="0" w:color="auto"/>
        <w:bottom w:val="none" w:sz="0" w:space="0" w:color="auto"/>
        <w:right w:val="none" w:sz="0" w:space="0" w:color="auto"/>
      </w:divBdr>
    </w:div>
    <w:div w:id="1323004176">
      <w:bodyDiv w:val="1"/>
      <w:marLeft w:val="0"/>
      <w:marRight w:val="0"/>
      <w:marTop w:val="0"/>
      <w:marBottom w:val="0"/>
      <w:divBdr>
        <w:top w:val="none" w:sz="0" w:space="0" w:color="auto"/>
        <w:left w:val="none" w:sz="0" w:space="0" w:color="auto"/>
        <w:bottom w:val="none" w:sz="0" w:space="0" w:color="auto"/>
        <w:right w:val="none" w:sz="0" w:space="0" w:color="auto"/>
      </w:divBdr>
    </w:div>
    <w:div w:id="1328022716">
      <w:bodyDiv w:val="1"/>
      <w:marLeft w:val="0"/>
      <w:marRight w:val="0"/>
      <w:marTop w:val="0"/>
      <w:marBottom w:val="0"/>
      <w:divBdr>
        <w:top w:val="none" w:sz="0" w:space="0" w:color="auto"/>
        <w:left w:val="none" w:sz="0" w:space="0" w:color="auto"/>
        <w:bottom w:val="none" w:sz="0" w:space="0" w:color="auto"/>
        <w:right w:val="none" w:sz="0" w:space="0" w:color="auto"/>
      </w:divBdr>
    </w:div>
    <w:div w:id="1361398648">
      <w:bodyDiv w:val="1"/>
      <w:marLeft w:val="0"/>
      <w:marRight w:val="0"/>
      <w:marTop w:val="0"/>
      <w:marBottom w:val="0"/>
      <w:divBdr>
        <w:top w:val="none" w:sz="0" w:space="0" w:color="auto"/>
        <w:left w:val="none" w:sz="0" w:space="0" w:color="auto"/>
        <w:bottom w:val="none" w:sz="0" w:space="0" w:color="auto"/>
        <w:right w:val="none" w:sz="0" w:space="0" w:color="auto"/>
      </w:divBdr>
      <w:divsChild>
        <w:div w:id="411048136">
          <w:marLeft w:val="0"/>
          <w:marRight w:val="0"/>
          <w:marTop w:val="0"/>
          <w:marBottom w:val="0"/>
          <w:divBdr>
            <w:top w:val="none" w:sz="0" w:space="0" w:color="auto"/>
            <w:left w:val="none" w:sz="0" w:space="0" w:color="auto"/>
            <w:bottom w:val="none" w:sz="0" w:space="0" w:color="auto"/>
            <w:right w:val="none" w:sz="0" w:space="0" w:color="auto"/>
          </w:divBdr>
          <w:divsChild>
            <w:div w:id="2047680321">
              <w:marLeft w:val="0"/>
              <w:marRight w:val="0"/>
              <w:marTop w:val="0"/>
              <w:marBottom w:val="0"/>
              <w:divBdr>
                <w:top w:val="none" w:sz="0" w:space="0" w:color="auto"/>
                <w:left w:val="none" w:sz="0" w:space="0" w:color="auto"/>
                <w:bottom w:val="none" w:sz="0" w:space="0" w:color="auto"/>
                <w:right w:val="none" w:sz="0" w:space="0" w:color="auto"/>
              </w:divBdr>
              <w:divsChild>
                <w:div w:id="18777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365">
          <w:marLeft w:val="0"/>
          <w:marRight w:val="0"/>
          <w:marTop w:val="0"/>
          <w:marBottom w:val="0"/>
          <w:divBdr>
            <w:top w:val="none" w:sz="0" w:space="0" w:color="auto"/>
            <w:left w:val="none" w:sz="0" w:space="0" w:color="auto"/>
            <w:bottom w:val="none" w:sz="0" w:space="0" w:color="auto"/>
            <w:right w:val="none" w:sz="0" w:space="0" w:color="auto"/>
          </w:divBdr>
          <w:divsChild>
            <w:div w:id="443185903">
              <w:marLeft w:val="0"/>
              <w:marRight w:val="0"/>
              <w:marTop w:val="0"/>
              <w:marBottom w:val="0"/>
              <w:divBdr>
                <w:top w:val="none" w:sz="0" w:space="0" w:color="auto"/>
                <w:left w:val="none" w:sz="0" w:space="0" w:color="auto"/>
                <w:bottom w:val="none" w:sz="0" w:space="0" w:color="auto"/>
                <w:right w:val="none" w:sz="0" w:space="0" w:color="auto"/>
              </w:divBdr>
              <w:divsChild>
                <w:div w:id="134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7549">
      <w:bodyDiv w:val="1"/>
      <w:marLeft w:val="0"/>
      <w:marRight w:val="0"/>
      <w:marTop w:val="0"/>
      <w:marBottom w:val="0"/>
      <w:divBdr>
        <w:top w:val="none" w:sz="0" w:space="0" w:color="auto"/>
        <w:left w:val="none" w:sz="0" w:space="0" w:color="auto"/>
        <w:bottom w:val="none" w:sz="0" w:space="0" w:color="auto"/>
        <w:right w:val="none" w:sz="0" w:space="0" w:color="auto"/>
      </w:divBdr>
    </w:div>
    <w:div w:id="1403797838">
      <w:bodyDiv w:val="1"/>
      <w:marLeft w:val="0"/>
      <w:marRight w:val="0"/>
      <w:marTop w:val="0"/>
      <w:marBottom w:val="0"/>
      <w:divBdr>
        <w:top w:val="none" w:sz="0" w:space="0" w:color="auto"/>
        <w:left w:val="none" w:sz="0" w:space="0" w:color="auto"/>
        <w:bottom w:val="none" w:sz="0" w:space="0" w:color="auto"/>
        <w:right w:val="none" w:sz="0" w:space="0" w:color="auto"/>
      </w:divBdr>
    </w:div>
    <w:div w:id="1434981593">
      <w:bodyDiv w:val="1"/>
      <w:marLeft w:val="0"/>
      <w:marRight w:val="0"/>
      <w:marTop w:val="0"/>
      <w:marBottom w:val="0"/>
      <w:divBdr>
        <w:top w:val="none" w:sz="0" w:space="0" w:color="auto"/>
        <w:left w:val="none" w:sz="0" w:space="0" w:color="auto"/>
        <w:bottom w:val="none" w:sz="0" w:space="0" w:color="auto"/>
        <w:right w:val="none" w:sz="0" w:space="0" w:color="auto"/>
      </w:divBdr>
    </w:div>
    <w:div w:id="1460143730">
      <w:bodyDiv w:val="1"/>
      <w:marLeft w:val="0"/>
      <w:marRight w:val="0"/>
      <w:marTop w:val="0"/>
      <w:marBottom w:val="0"/>
      <w:divBdr>
        <w:top w:val="none" w:sz="0" w:space="0" w:color="auto"/>
        <w:left w:val="none" w:sz="0" w:space="0" w:color="auto"/>
        <w:bottom w:val="none" w:sz="0" w:space="0" w:color="auto"/>
        <w:right w:val="none" w:sz="0" w:space="0" w:color="auto"/>
      </w:divBdr>
    </w:div>
    <w:div w:id="1463771238">
      <w:bodyDiv w:val="1"/>
      <w:marLeft w:val="0"/>
      <w:marRight w:val="0"/>
      <w:marTop w:val="0"/>
      <w:marBottom w:val="0"/>
      <w:divBdr>
        <w:top w:val="none" w:sz="0" w:space="0" w:color="auto"/>
        <w:left w:val="none" w:sz="0" w:space="0" w:color="auto"/>
        <w:bottom w:val="none" w:sz="0" w:space="0" w:color="auto"/>
        <w:right w:val="none" w:sz="0" w:space="0" w:color="auto"/>
      </w:divBdr>
    </w:div>
    <w:div w:id="1464615665">
      <w:bodyDiv w:val="1"/>
      <w:marLeft w:val="0"/>
      <w:marRight w:val="0"/>
      <w:marTop w:val="0"/>
      <w:marBottom w:val="0"/>
      <w:divBdr>
        <w:top w:val="none" w:sz="0" w:space="0" w:color="auto"/>
        <w:left w:val="none" w:sz="0" w:space="0" w:color="auto"/>
        <w:bottom w:val="none" w:sz="0" w:space="0" w:color="auto"/>
        <w:right w:val="none" w:sz="0" w:space="0" w:color="auto"/>
      </w:divBdr>
    </w:div>
    <w:div w:id="1489714474">
      <w:bodyDiv w:val="1"/>
      <w:marLeft w:val="0"/>
      <w:marRight w:val="0"/>
      <w:marTop w:val="0"/>
      <w:marBottom w:val="0"/>
      <w:divBdr>
        <w:top w:val="none" w:sz="0" w:space="0" w:color="auto"/>
        <w:left w:val="none" w:sz="0" w:space="0" w:color="auto"/>
        <w:bottom w:val="none" w:sz="0" w:space="0" w:color="auto"/>
        <w:right w:val="none" w:sz="0" w:space="0" w:color="auto"/>
      </w:divBdr>
    </w:div>
    <w:div w:id="1529297739">
      <w:bodyDiv w:val="1"/>
      <w:marLeft w:val="0"/>
      <w:marRight w:val="0"/>
      <w:marTop w:val="0"/>
      <w:marBottom w:val="0"/>
      <w:divBdr>
        <w:top w:val="none" w:sz="0" w:space="0" w:color="auto"/>
        <w:left w:val="none" w:sz="0" w:space="0" w:color="auto"/>
        <w:bottom w:val="none" w:sz="0" w:space="0" w:color="auto"/>
        <w:right w:val="none" w:sz="0" w:space="0" w:color="auto"/>
      </w:divBdr>
    </w:div>
    <w:div w:id="1557818837">
      <w:bodyDiv w:val="1"/>
      <w:marLeft w:val="0"/>
      <w:marRight w:val="0"/>
      <w:marTop w:val="0"/>
      <w:marBottom w:val="0"/>
      <w:divBdr>
        <w:top w:val="none" w:sz="0" w:space="0" w:color="auto"/>
        <w:left w:val="none" w:sz="0" w:space="0" w:color="auto"/>
        <w:bottom w:val="none" w:sz="0" w:space="0" w:color="auto"/>
        <w:right w:val="none" w:sz="0" w:space="0" w:color="auto"/>
      </w:divBdr>
    </w:div>
    <w:div w:id="1561599064">
      <w:bodyDiv w:val="1"/>
      <w:marLeft w:val="0"/>
      <w:marRight w:val="0"/>
      <w:marTop w:val="0"/>
      <w:marBottom w:val="0"/>
      <w:divBdr>
        <w:top w:val="none" w:sz="0" w:space="0" w:color="auto"/>
        <w:left w:val="none" w:sz="0" w:space="0" w:color="auto"/>
        <w:bottom w:val="none" w:sz="0" w:space="0" w:color="auto"/>
        <w:right w:val="none" w:sz="0" w:space="0" w:color="auto"/>
      </w:divBdr>
    </w:div>
    <w:div w:id="1568295280">
      <w:bodyDiv w:val="1"/>
      <w:marLeft w:val="0"/>
      <w:marRight w:val="0"/>
      <w:marTop w:val="0"/>
      <w:marBottom w:val="0"/>
      <w:divBdr>
        <w:top w:val="none" w:sz="0" w:space="0" w:color="auto"/>
        <w:left w:val="none" w:sz="0" w:space="0" w:color="auto"/>
        <w:bottom w:val="none" w:sz="0" w:space="0" w:color="auto"/>
        <w:right w:val="none" w:sz="0" w:space="0" w:color="auto"/>
      </w:divBdr>
      <w:divsChild>
        <w:div w:id="588806712">
          <w:marLeft w:val="0"/>
          <w:marRight w:val="0"/>
          <w:marTop w:val="0"/>
          <w:marBottom w:val="0"/>
          <w:divBdr>
            <w:top w:val="none" w:sz="0" w:space="0" w:color="auto"/>
            <w:left w:val="none" w:sz="0" w:space="0" w:color="auto"/>
            <w:bottom w:val="none" w:sz="0" w:space="0" w:color="auto"/>
            <w:right w:val="none" w:sz="0" w:space="0" w:color="auto"/>
          </w:divBdr>
          <w:divsChild>
            <w:div w:id="1568954785">
              <w:marLeft w:val="0"/>
              <w:marRight w:val="0"/>
              <w:marTop w:val="0"/>
              <w:marBottom w:val="0"/>
              <w:divBdr>
                <w:top w:val="none" w:sz="0" w:space="0" w:color="auto"/>
                <w:left w:val="none" w:sz="0" w:space="0" w:color="auto"/>
                <w:bottom w:val="none" w:sz="0" w:space="0" w:color="auto"/>
                <w:right w:val="none" w:sz="0" w:space="0" w:color="auto"/>
              </w:divBdr>
              <w:divsChild>
                <w:div w:id="7606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9329">
      <w:bodyDiv w:val="1"/>
      <w:marLeft w:val="0"/>
      <w:marRight w:val="0"/>
      <w:marTop w:val="0"/>
      <w:marBottom w:val="0"/>
      <w:divBdr>
        <w:top w:val="none" w:sz="0" w:space="0" w:color="auto"/>
        <w:left w:val="none" w:sz="0" w:space="0" w:color="auto"/>
        <w:bottom w:val="none" w:sz="0" w:space="0" w:color="auto"/>
        <w:right w:val="none" w:sz="0" w:space="0" w:color="auto"/>
      </w:divBdr>
    </w:div>
    <w:div w:id="1749377929">
      <w:bodyDiv w:val="1"/>
      <w:marLeft w:val="0"/>
      <w:marRight w:val="0"/>
      <w:marTop w:val="0"/>
      <w:marBottom w:val="0"/>
      <w:divBdr>
        <w:top w:val="none" w:sz="0" w:space="0" w:color="auto"/>
        <w:left w:val="none" w:sz="0" w:space="0" w:color="auto"/>
        <w:bottom w:val="none" w:sz="0" w:space="0" w:color="auto"/>
        <w:right w:val="none" w:sz="0" w:space="0" w:color="auto"/>
      </w:divBdr>
    </w:div>
    <w:div w:id="1863930622">
      <w:bodyDiv w:val="1"/>
      <w:marLeft w:val="0"/>
      <w:marRight w:val="0"/>
      <w:marTop w:val="0"/>
      <w:marBottom w:val="0"/>
      <w:divBdr>
        <w:top w:val="none" w:sz="0" w:space="0" w:color="auto"/>
        <w:left w:val="none" w:sz="0" w:space="0" w:color="auto"/>
        <w:bottom w:val="none" w:sz="0" w:space="0" w:color="auto"/>
        <w:right w:val="none" w:sz="0" w:space="0" w:color="auto"/>
      </w:divBdr>
    </w:div>
    <w:div w:id="1866020952">
      <w:bodyDiv w:val="1"/>
      <w:marLeft w:val="0"/>
      <w:marRight w:val="0"/>
      <w:marTop w:val="0"/>
      <w:marBottom w:val="0"/>
      <w:divBdr>
        <w:top w:val="none" w:sz="0" w:space="0" w:color="auto"/>
        <w:left w:val="none" w:sz="0" w:space="0" w:color="auto"/>
        <w:bottom w:val="none" w:sz="0" w:space="0" w:color="auto"/>
        <w:right w:val="none" w:sz="0" w:space="0" w:color="auto"/>
      </w:divBdr>
    </w:div>
    <w:div w:id="1885868632">
      <w:bodyDiv w:val="1"/>
      <w:marLeft w:val="0"/>
      <w:marRight w:val="0"/>
      <w:marTop w:val="0"/>
      <w:marBottom w:val="0"/>
      <w:divBdr>
        <w:top w:val="none" w:sz="0" w:space="0" w:color="auto"/>
        <w:left w:val="none" w:sz="0" w:space="0" w:color="auto"/>
        <w:bottom w:val="none" w:sz="0" w:space="0" w:color="auto"/>
        <w:right w:val="none" w:sz="0" w:space="0" w:color="auto"/>
      </w:divBdr>
    </w:div>
    <w:div w:id="1895196754">
      <w:bodyDiv w:val="1"/>
      <w:marLeft w:val="0"/>
      <w:marRight w:val="0"/>
      <w:marTop w:val="0"/>
      <w:marBottom w:val="0"/>
      <w:divBdr>
        <w:top w:val="none" w:sz="0" w:space="0" w:color="auto"/>
        <w:left w:val="none" w:sz="0" w:space="0" w:color="auto"/>
        <w:bottom w:val="none" w:sz="0" w:space="0" w:color="auto"/>
        <w:right w:val="none" w:sz="0" w:space="0" w:color="auto"/>
      </w:divBdr>
    </w:div>
    <w:div w:id="1914200498">
      <w:bodyDiv w:val="1"/>
      <w:marLeft w:val="0"/>
      <w:marRight w:val="0"/>
      <w:marTop w:val="0"/>
      <w:marBottom w:val="0"/>
      <w:divBdr>
        <w:top w:val="none" w:sz="0" w:space="0" w:color="auto"/>
        <w:left w:val="none" w:sz="0" w:space="0" w:color="auto"/>
        <w:bottom w:val="none" w:sz="0" w:space="0" w:color="auto"/>
        <w:right w:val="none" w:sz="0" w:space="0" w:color="auto"/>
      </w:divBdr>
    </w:div>
    <w:div w:id="1946888195">
      <w:bodyDiv w:val="1"/>
      <w:marLeft w:val="0"/>
      <w:marRight w:val="0"/>
      <w:marTop w:val="0"/>
      <w:marBottom w:val="0"/>
      <w:divBdr>
        <w:top w:val="none" w:sz="0" w:space="0" w:color="auto"/>
        <w:left w:val="none" w:sz="0" w:space="0" w:color="auto"/>
        <w:bottom w:val="none" w:sz="0" w:space="0" w:color="auto"/>
        <w:right w:val="none" w:sz="0" w:space="0" w:color="auto"/>
      </w:divBdr>
    </w:div>
    <w:div w:id="1976595386">
      <w:bodyDiv w:val="1"/>
      <w:marLeft w:val="0"/>
      <w:marRight w:val="0"/>
      <w:marTop w:val="0"/>
      <w:marBottom w:val="0"/>
      <w:divBdr>
        <w:top w:val="none" w:sz="0" w:space="0" w:color="auto"/>
        <w:left w:val="none" w:sz="0" w:space="0" w:color="auto"/>
        <w:bottom w:val="none" w:sz="0" w:space="0" w:color="auto"/>
        <w:right w:val="none" w:sz="0" w:space="0" w:color="auto"/>
      </w:divBdr>
    </w:div>
    <w:div w:id="2033603199">
      <w:bodyDiv w:val="1"/>
      <w:marLeft w:val="0"/>
      <w:marRight w:val="0"/>
      <w:marTop w:val="0"/>
      <w:marBottom w:val="0"/>
      <w:divBdr>
        <w:top w:val="none" w:sz="0" w:space="0" w:color="auto"/>
        <w:left w:val="none" w:sz="0" w:space="0" w:color="auto"/>
        <w:bottom w:val="none" w:sz="0" w:space="0" w:color="auto"/>
        <w:right w:val="none" w:sz="0" w:space="0" w:color="auto"/>
      </w:divBdr>
    </w:div>
    <w:div w:id="2037003029">
      <w:bodyDiv w:val="1"/>
      <w:marLeft w:val="0"/>
      <w:marRight w:val="0"/>
      <w:marTop w:val="0"/>
      <w:marBottom w:val="0"/>
      <w:divBdr>
        <w:top w:val="none" w:sz="0" w:space="0" w:color="auto"/>
        <w:left w:val="none" w:sz="0" w:space="0" w:color="auto"/>
        <w:bottom w:val="none" w:sz="0" w:space="0" w:color="auto"/>
        <w:right w:val="none" w:sz="0" w:space="0" w:color="auto"/>
      </w:divBdr>
    </w:div>
    <w:div w:id="2057776295">
      <w:bodyDiv w:val="1"/>
      <w:marLeft w:val="0"/>
      <w:marRight w:val="0"/>
      <w:marTop w:val="0"/>
      <w:marBottom w:val="0"/>
      <w:divBdr>
        <w:top w:val="none" w:sz="0" w:space="0" w:color="auto"/>
        <w:left w:val="none" w:sz="0" w:space="0" w:color="auto"/>
        <w:bottom w:val="none" w:sz="0" w:space="0" w:color="auto"/>
        <w:right w:val="none" w:sz="0" w:space="0" w:color="auto"/>
      </w:divBdr>
    </w:div>
    <w:div w:id="2095858282">
      <w:bodyDiv w:val="1"/>
      <w:marLeft w:val="0"/>
      <w:marRight w:val="0"/>
      <w:marTop w:val="0"/>
      <w:marBottom w:val="0"/>
      <w:divBdr>
        <w:top w:val="none" w:sz="0" w:space="0" w:color="auto"/>
        <w:left w:val="none" w:sz="0" w:space="0" w:color="auto"/>
        <w:bottom w:val="none" w:sz="0" w:space="0" w:color="auto"/>
        <w:right w:val="none" w:sz="0" w:space="0" w:color="auto"/>
      </w:divBdr>
    </w:div>
    <w:div w:id="2104565867">
      <w:bodyDiv w:val="1"/>
      <w:marLeft w:val="0"/>
      <w:marRight w:val="0"/>
      <w:marTop w:val="0"/>
      <w:marBottom w:val="0"/>
      <w:divBdr>
        <w:top w:val="none" w:sz="0" w:space="0" w:color="auto"/>
        <w:left w:val="none" w:sz="0" w:space="0" w:color="auto"/>
        <w:bottom w:val="none" w:sz="0" w:space="0" w:color="auto"/>
        <w:right w:val="none" w:sz="0" w:space="0" w:color="auto"/>
      </w:divBdr>
    </w:div>
    <w:div w:id="2139488675">
      <w:bodyDiv w:val="1"/>
      <w:marLeft w:val="0"/>
      <w:marRight w:val="0"/>
      <w:marTop w:val="0"/>
      <w:marBottom w:val="0"/>
      <w:divBdr>
        <w:top w:val="none" w:sz="0" w:space="0" w:color="auto"/>
        <w:left w:val="none" w:sz="0" w:space="0" w:color="auto"/>
        <w:bottom w:val="none" w:sz="0" w:space="0" w:color="auto"/>
        <w:right w:val="none" w:sz="0" w:space="0" w:color="auto"/>
      </w:divBdr>
    </w:div>
    <w:div w:id="214172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86921-8118-8A4F-A010-C5B9EF9EC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29</Pages>
  <Words>14165</Words>
  <Characters>80746</Characters>
  <Application>Microsoft Office Word</Application>
  <DocSecurity>0</DocSecurity>
  <Lines>672</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Лузина Екатерина Кирилловна</dc:creator>
  <cp:keywords/>
  <dc:description/>
  <cp:lastModifiedBy>Лузина Екатерина Кирилловна</cp:lastModifiedBy>
  <cp:revision>19</cp:revision>
  <cp:lastPrinted>2019-09-30T15:47:00Z</cp:lastPrinted>
  <dcterms:created xsi:type="dcterms:W3CDTF">2020-04-18T18:26:00Z</dcterms:created>
  <dcterms:modified xsi:type="dcterms:W3CDTF">2020-05-03T09:23:00Z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id="vm9m8nN1"/&gt;&lt;style id="http://www.zotero.org/styles/elsevier-harvard" hasBibliography="1" bibliographyStyleHasBeenSet="1"/&gt;&lt;prefs&gt;&lt;pref name="fieldType" value="Field"/&gt;&lt;pref name="storeReferences"</vt:lpwstr>
  </property>
  <property fmtid="{D5CDD505-2E9C-101B-9397-08002B2CF9AE}" pid="3" name="ZOTERO_PREF_2">
    <vt:lpwstr> value="true"/&gt;&lt;/prefs&gt;&lt;/data&gt;</vt:lpwstr>
  </property>
</Properties>
</file>