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2C" w:rsidRDefault="00DC632C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</w:pPr>
      <w:r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  <w:t>A bibliography of high frequency returns and ‘sentiment’</w:t>
      </w:r>
    </w:p>
    <w:p w:rsidR="00DC632C" w:rsidRDefault="00DC632C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</w:pPr>
      <w:r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  <w:t>Khurshid Ahmad, TCD</w:t>
      </w:r>
    </w:p>
    <w:p w:rsidR="00DC632C" w:rsidRDefault="00DC632C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</w:pPr>
      <w:bookmarkStart w:id="0" w:name="_GoBack"/>
      <w:bookmarkEnd w:id="0"/>
    </w:p>
    <w:p w:rsidR="00DC632C" w:rsidRPr="00DC632C" w:rsidRDefault="00DC632C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</w:pPr>
      <w:r>
        <w:rPr>
          <w:rFonts w:ascii="Arial" w:eastAsia="Times New Roman" w:hAnsi="Arial" w:cs="Arial"/>
          <w:b/>
          <w:color w:val="FF0000"/>
          <w:sz w:val="26"/>
          <w:szCs w:val="26"/>
          <w:lang w:eastAsia="en-IE"/>
        </w:rPr>
        <w:t>2018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Batten J, Lucey B, and Peat M (2018) Complexity in financial asset returns: Evidence from the compass rose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Chaos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28 (12), 1-9.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4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Batten J, Lucey B,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McGroarty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Peat M, and Urquhart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A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(2018) Does intraday technical trading have predictive power in precious metal markets?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Journal of International Financial Markets, Institutions and Money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52, 102-113.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5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Corbet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S, Lucey B, Peat M, and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Vigne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S (2018) Bitcoin Futures - What use are they?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Economics Letters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172, 23-27.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6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Gogolin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Kearney F, Lucey B, Peat M, and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Vigne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S (2018) Uncovering long term relationships between oil prices and the economy: A time-varying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cointegration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analysis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Energy Economics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76, 584-593.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7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2017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Batten J, Lucey B,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McGroarty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Peat M, and Urquhart A (2017) Stylized facts of intraday precious metals 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PloS</w:t>
      </w:r>
      <w:proofErr w:type="spellEnd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 One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12 (4), 1-21.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8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Book Chapter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Behnaz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A, Natarajan A,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Rabhi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and Peat M (2017) A Semantic-Based Analytics Architecture and Its Application to Commodity Pricing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Enterprise Applications, Markets and Services in the Finance Industry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Springer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Cham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17-31.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9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2016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Batten J, Lucey B, and Peat M (2016) Gold and silver manipulation: What can be empirically verified?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Economic Modelling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56, 168-176.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0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Chen R,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Svec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J, and Peat M (2016) Forecasting the Government Bond Term Structure in Australia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Australian Economic Papers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55 (2), 99-111.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1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2015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Peat M,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Svec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J, and Wang J (2015)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The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effects of fiscal opacity on sovereign credit spreads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Emerging Markets Review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24, 34-45.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2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Reza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Bradrania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M, Peat M, and Satchell S (2015) Liquidity costs, idiosyncratic volatility and expected stock returns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International Review of Financial Analysis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42, 394-406.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3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lastRenderedPageBreak/>
        <w:t>Book Chapters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M, and Jones S (2015) Detecting Changing Financial Relationships: A Self Organising Map Approach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Enterprise Applications and Services in the Finance Industry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Springer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Cham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1-12.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4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Qudah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I,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Rabhi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and Peat M (2015) A Proposed Framework for Evaluating the Effectiveness of Financial News Sentiment Scoring Datasets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Enterprise Applications and Services in the Finance Industry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Springer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Cham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29-47.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5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2014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Bradrania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M, and Peat M (2014) Characteristic liquidity, systematic liquidity and expected returns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Journal of International Financial Markets, Institutions and Money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33, 78-98.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6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Jones S, and Peat M (2014) Predicting Corporate Bankruptcy Risk in Australia: A Latent Class Analysis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Journal of Applied Management Accounting Research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12 (1), 13-25.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Peat M,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Svec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J, and Wang J (2014) Reporting Bias in Incomplete Information Model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Economics Letters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123 (1), 45-49.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7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Wang J,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Svec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J, and Peat M (2014) The Information Content of Ratings: An Analysis of Australian Credit Default Swap Spreads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Abacus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50 (1), 56-75.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8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Book Chapter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Yao L,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Rabhi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and Peat M (2014) Supporting Data-Intensive Analysis Processes: A Review of Enabling Technologies and Trends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Handbook of Research on Architectural Trends in Service-Driven Computing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IGI Global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Hershey, United States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481-508.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2013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Baradarannia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M, and Peat M (2013) Liquidity and expected returns - Evidence from 1926-2008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International Review of Financial Analysis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29, 10-23.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19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Johnstone D, Jones S, Jose V, and Peat M (2013) Measures of the Economic Value of Probabilities of Bankruptcy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Journal of the Royal Statistical Society Series A-Statistics in Society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176 (3), 635-653.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0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Book Chapters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Robertson C,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Rabhi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and Peat M (2013) A Service-Oriented Approach towards Real Time Financial News Analysis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Consumer Information Systems 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lastRenderedPageBreak/>
        <w:t>and Relationship Management: Design, Implementation, and Use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Business Science Reference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Hershey, United States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32-49.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Yao L,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Rabhi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F, and Peat M (2013) A Case Study in Using ADAGE for Compute-Intensive Financial Analysis Processes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Enterprise Applications and Services in the Finance Industry: 6th International Workshop, 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FinanceCom</w:t>
      </w:r>
      <w:proofErr w:type="spellEnd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 2012 Barcelona, Spain, June 10 2012- Revised Papers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Springer-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Verlag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Berlin Germany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91-111.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1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2012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Articles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Frino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A, Peat M, and Wright D (2012)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The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impact of auctions on residential property prices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Accounting and Finance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52 (3), 815-830.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2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M, and Jones S (2012) Using Neural Nets to Combine Information Sets in Corporate Bankruptcy Prediction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Intelligent Systems in Accounting, Finance and Management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19 (2), 90-101.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3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Peat M, and Wright D (2012)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The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Impact of Residential Property Investment on Portfolio Performance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JASSA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3 (2), 35-42.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Baradarannia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M, and Peat M (2012) Characteristic liquidity, systematic liquidity and expected returns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21st Annual Meeting of the European Financial Management Association EFMA 2012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European Financial Management Association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Barcelona, Spain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4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2011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Baradarannia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M, and Peat M (2011) Liquidity and Expected Returns: New Evidence from Daily Data 1926-2008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8th International Conference on Applied Financial Economics AFE 2011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National and 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Kapodistrian</w:t>
      </w:r>
      <w:proofErr w:type="spellEnd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 University of Athens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Athens, Greece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2010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Svec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J, and Peat M (2010) Systematic Risk, CDS Spread and Market Integration: An Empirical Investigation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JASSA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2010 (3), 6-11.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2009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lastRenderedPageBreak/>
        <w:t>Peat M (2009) Market Data Resources for Researchers: The SIRCA Data Repository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Australian Economic Review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42 (4), 490-495.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5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Wright D,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Frino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A, and Peat M (2009) Seasonality in Australian Residential Real Estate Prices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22nd Australasian Banking and Finance Conference 2009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The Shangri-La Hotel, Sydney Australia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Book Chapter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 (2009) Data + Information Systems = Financial Innovation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Enterprise Applications and Services in the Finance Industry - 4th International Workshop, 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FinanceCom</w:t>
      </w:r>
      <w:proofErr w:type="spellEnd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 2008, Paris, France, December 13, 2008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Springer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Berlin, Germany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1-10.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2008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Truong G,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Partington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G, and Peat M (2008) Cost-of-Capital Estimation and Capital-Budgeting Practice in Australia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Australian Journal of Management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33 (1), 95-121.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6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Wright D,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Frino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A, and Peat M (2008) First-Sale Bias and Age Effects: Do 'new' properties sell at a premium?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21st Australasian Banking and Finance Conference 2008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Shangri-La Hotel in Sydney, Australia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Book Chapters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Jones S, and Peat M (2008) Credit derivatives: Current practices and controversies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Advances in Credit Risk Modelling and Corporate Bankruptcy Prediction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Cambridge University Press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Cambridge UK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207-241.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 (2008) Non-parametric methods for credit risk analysis: Neural networks and recursive partitioning techniques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Advances in Credit Risk Modelling and Corporate Bankruptcy Prediction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Cambridge University Press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Cambridge UK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137-153.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2007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 (2007) Factors Affecting the Probability of Bankruptcy: A Managerial Decision Based Approach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Abacus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43 (3), 303-324.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7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Lim J, O'Connor M, and Peat M (2007) The impact of uncertainty information in judgemental forecasting and decision making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27th International Symposium on Forecasting (ISF)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the International Institute of 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Forcasters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online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lastRenderedPageBreak/>
        <w:t>2006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Stevenson M, do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Amaral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L, and Peat M (2006) Risk Management and the Role of Spot Price Predictions in the Australian Retail Electricity Market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Studies in Nonlinear Dynamics and Econometrics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10 (3, Article 4), 1-23.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8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Proceedings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Amaral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L, Peat M, and Stevenson M (2006) Forward prices and their risk management role in the Australian electricity market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13th Global Finance Conference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Peat M (2006) Bankruptcy conditions in a stochastic dynamic model of the firm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Accounting and Finance Association of Australia and New Zealand Conference (AFAANZ) 2006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John Wiley &amp; Sons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online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2005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Journal Article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Peat M, Stevenson M, and Maroney D (2005)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The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relationship between technical indicators and the market index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JASSA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 2005 Winter (2), 8-11.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Truong G, </w:t>
      </w:r>
      <w:proofErr w:type="spell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Partington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G, and Peat M (2005) Cost of Capital Estimation and Capital Budgeting Practice in Australia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Accounting and Finance Association of Australia and New Zealand Conference AFAANZ 2005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The Accounting and Finance Association of Australia and New Zealand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Australia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 </w:t>
      </w:r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[</w:t>
      </w:r>
      <w:hyperlink r:id="rId29" w:tgtFrame="_blank" w:history="1">
        <w:r w:rsidRPr="00395374">
          <w:rPr>
            <w:rFonts w:ascii="Arial" w:eastAsia="Times New Roman" w:hAnsi="Arial" w:cs="Arial"/>
            <w:color w:val="125687"/>
            <w:sz w:val="24"/>
            <w:szCs w:val="24"/>
            <w:u w:val="single"/>
            <w:bdr w:val="none" w:sz="0" w:space="0" w:color="auto" w:frame="1"/>
            <w:lang w:eastAsia="en-IE"/>
          </w:rPr>
          <w:t>More Information</w:t>
        </w:r>
      </w:hyperlink>
      <w:r w:rsidRPr="0039537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]</w:t>
      </w:r>
    </w:p>
    <w:p w:rsidR="00395374" w:rsidRPr="00395374" w:rsidRDefault="00395374" w:rsidP="00395374">
      <w:pPr>
        <w:shd w:val="clear" w:color="auto" w:fill="FFFFFF"/>
        <w:spacing w:before="514" w:after="0" w:line="240" w:lineRule="auto"/>
        <w:outlineLvl w:val="3"/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CE1126"/>
          <w:sz w:val="30"/>
          <w:szCs w:val="30"/>
          <w:lang w:eastAsia="en-IE"/>
        </w:rPr>
        <w:t>2004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E"/>
        </w:rPr>
        <w:t>Conference Proceeding</w:t>
      </w:r>
    </w:p>
    <w:p w:rsidR="00395374" w:rsidRPr="00395374" w:rsidRDefault="00395374" w:rsidP="00395374">
      <w:pPr>
        <w:shd w:val="clear" w:color="auto" w:fill="FFFFFF"/>
        <w:spacing w:before="120" w:after="120" w:line="263" w:lineRule="atLeast"/>
        <w:rPr>
          <w:rFonts w:ascii="Arial" w:eastAsia="Times New Roman" w:hAnsi="Arial" w:cs="Arial"/>
          <w:color w:val="333333"/>
          <w:sz w:val="26"/>
          <w:szCs w:val="26"/>
          <w:lang w:eastAsia="en-IE"/>
        </w:rPr>
      </w:pP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Peat M, Stevenson M, and Maroney D (2004) </w:t>
      </w:r>
      <w:proofErr w:type="gramStart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The</w:t>
      </w:r>
      <w:proofErr w:type="gram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 xml:space="preserve"> Predictive Ability Of Simple Technical Indicators: Australian Evidence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First International Workshop on Intelligent Finance (IWIF 1)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;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 xml:space="preserve">The University of </w:t>
      </w:r>
      <w:proofErr w:type="spellStart"/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Ballarat</w:t>
      </w:r>
      <w:proofErr w:type="spellEnd"/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, </w:t>
      </w:r>
      <w:r w:rsidRPr="00395374">
        <w:rPr>
          <w:rFonts w:ascii="Arial" w:eastAsia="Times New Roman" w:hAnsi="Arial" w:cs="Arial"/>
          <w:i/>
          <w:iCs/>
          <w:color w:val="333333"/>
          <w:sz w:val="26"/>
          <w:szCs w:val="26"/>
          <w:lang w:eastAsia="en-IE"/>
        </w:rPr>
        <w:t>Victoria, Australia</w:t>
      </w:r>
      <w:r w:rsidRPr="00395374">
        <w:rPr>
          <w:rFonts w:ascii="Arial" w:eastAsia="Times New Roman" w:hAnsi="Arial" w:cs="Arial"/>
          <w:color w:val="333333"/>
          <w:sz w:val="26"/>
          <w:szCs w:val="26"/>
          <w:lang w:eastAsia="en-IE"/>
        </w:rPr>
        <w:t>.</w:t>
      </w:r>
    </w:p>
    <w:p w:rsidR="005C041C" w:rsidRDefault="005C041C"/>
    <w:sectPr w:rsidR="005C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74"/>
    <w:rsid w:val="00395374"/>
    <w:rsid w:val="005C041C"/>
    <w:rsid w:val="00D33065"/>
    <w:rsid w:val="00DC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9C4B-2C6C-4D5D-8D72-AF562517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53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5374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9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95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71/journal.pone.0174232" TargetMode="External"/><Relationship Id="rId13" Type="http://schemas.openxmlformats.org/officeDocument/2006/relationships/hyperlink" Target="http://dx.doi.org/10.1016/j.irfa.2015.09.005" TargetMode="External"/><Relationship Id="rId18" Type="http://schemas.openxmlformats.org/officeDocument/2006/relationships/hyperlink" Target="http://dx.doi.org/10.1111/abac.12022" TargetMode="External"/><Relationship Id="rId26" Type="http://schemas.openxmlformats.org/officeDocument/2006/relationships/hyperlink" Target="http://dx.doi.org/10.1177/03128962080330010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1007/978-3-642-36219-4_6" TargetMode="External"/><Relationship Id="rId7" Type="http://schemas.openxmlformats.org/officeDocument/2006/relationships/hyperlink" Target="http://dx.doi.org/10.1016/j.eneco.2018.10.002" TargetMode="External"/><Relationship Id="rId12" Type="http://schemas.openxmlformats.org/officeDocument/2006/relationships/hyperlink" Target="http://dx.doi.org/10.1016/j.ememar.2015.05.001" TargetMode="External"/><Relationship Id="rId17" Type="http://schemas.openxmlformats.org/officeDocument/2006/relationships/hyperlink" Target="http://dx.doi.org/10.1016/j.econlet.2014.01.021" TargetMode="External"/><Relationship Id="rId25" Type="http://schemas.openxmlformats.org/officeDocument/2006/relationships/hyperlink" Target="http://dx.doi.org/10.1111/j.1467-8462.2009.00566.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x.doi.org/10.1016/j.intfin.2014.07.013" TargetMode="External"/><Relationship Id="rId20" Type="http://schemas.openxmlformats.org/officeDocument/2006/relationships/hyperlink" Target="http://dx.doi.org/10.1111/j.1467-985X.2012.01085.x" TargetMode="External"/><Relationship Id="rId29" Type="http://schemas.openxmlformats.org/officeDocument/2006/relationships/hyperlink" Target="http://dx.doi.org/10.1117/12.845226" TargetMode="External"/><Relationship Id="rId1" Type="http://schemas.openxmlformats.org/officeDocument/2006/relationships/styles" Target="styles.xml"/><Relationship Id="rId6" Type="http://schemas.openxmlformats.org/officeDocument/2006/relationships/hyperlink" Target="http://dx.doi.org/10.1016/j.econlet.2018.07.031" TargetMode="External"/><Relationship Id="rId11" Type="http://schemas.openxmlformats.org/officeDocument/2006/relationships/hyperlink" Target="http://dx.doi.org/10.1111/1467-8454.12071" TargetMode="External"/><Relationship Id="rId24" Type="http://schemas.openxmlformats.org/officeDocument/2006/relationships/hyperlink" Target="http://dx.doi.org/10.1109/GROUP4.2010.5643392" TargetMode="External"/><Relationship Id="rId5" Type="http://schemas.openxmlformats.org/officeDocument/2006/relationships/hyperlink" Target="http://dx.doi.org/10.1016/j.intfin.2017.06.005" TargetMode="External"/><Relationship Id="rId15" Type="http://schemas.openxmlformats.org/officeDocument/2006/relationships/hyperlink" Target="http://dx.doi.org/10.1007/978-3-319-28151-3_3" TargetMode="External"/><Relationship Id="rId23" Type="http://schemas.openxmlformats.org/officeDocument/2006/relationships/hyperlink" Target="http://dx.doi.org/10.1002/isaf.334" TargetMode="External"/><Relationship Id="rId28" Type="http://schemas.openxmlformats.org/officeDocument/2006/relationships/hyperlink" Target="http://dx.doi.org/10.2202/1558-3708.1383" TargetMode="External"/><Relationship Id="rId10" Type="http://schemas.openxmlformats.org/officeDocument/2006/relationships/hyperlink" Target="http://dx.doi.org/10.1016/j.econmod.2016.03.005" TargetMode="External"/><Relationship Id="rId19" Type="http://schemas.openxmlformats.org/officeDocument/2006/relationships/hyperlink" Target="http://dx.doi.org/10.1016/j.irfa.2013.03.007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dx.doi.org/10.1063/1.5029226" TargetMode="External"/><Relationship Id="rId9" Type="http://schemas.openxmlformats.org/officeDocument/2006/relationships/hyperlink" Target="http://dx.doi.org/10.1007/978-3-319-52764-2_2" TargetMode="External"/><Relationship Id="rId14" Type="http://schemas.openxmlformats.org/officeDocument/2006/relationships/hyperlink" Target="http://dx.doi.org/10.1007/978-3-319-28151-3_1" TargetMode="External"/><Relationship Id="rId22" Type="http://schemas.openxmlformats.org/officeDocument/2006/relationships/hyperlink" Target="http://dx.doi.org/10.1111/j.1467-629X.2011.00399.x" TargetMode="External"/><Relationship Id="rId27" Type="http://schemas.openxmlformats.org/officeDocument/2006/relationships/hyperlink" Target="http://dx.doi.org/10.1111/j.1467-6281.2007.00232.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2019-04-03T14:21:00Z</dcterms:created>
  <dcterms:modified xsi:type="dcterms:W3CDTF">2019-04-08T14:01:00Z</dcterms:modified>
</cp:coreProperties>
</file>