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Отчёт с несколькими таблицами</w:t>
      </w:r>
    </w:p>
    <w:p>
      <w:pPr>
        <w:pStyle w:val="Heading1"/>
      </w:pPr>
      <w:r>
        <w:t>Карточка на сайт</w:t>
      </w:r>
    </w:p>
    <w:tbl>
      <w:tblPr>
        <w:tblStyle w:val="TableGrid"/>
        <w:tblW w:type="auto" w:w="0"/>
        <w:tblLook w:firstColumn="1" w:firstRow="1" w:lastColumn="0" w:lastRow="0" w:noHBand="0" w:noVBand="1" w:val="04A0"/>
      </w:tblPr>
      <w:tblGrid>
        <w:gridCol w:w="5440"/>
        <w:gridCol w:w="5440"/>
      </w:tblGrid>
      <w:tr>
        <w:tc>
          <w:tcPr>
            <w:tcW w:type="dxa" w:w="5440"/>
          </w:tcPr>
          <w:p>
            <w:r>
              <w:t>Наименование меры поддержки</w:t>
            </w:r>
          </w:p>
        </w:tc>
        <w:tc>
          <w:tcPr>
            <w:tcW w:type="dxa" w:w="5440"/>
          </w:tcPr>
          <w:p>
            <w:r>
              <w:t>Краткое описание меры</w:t>
            </w:r>
          </w:p>
        </w:tc>
      </w:tr>
      <w:tr>
        <w:tc>
          <w:tcPr>
            <w:tcW w:type="dxa" w:w="5440"/>
          </w:tcPr>
          <w:p>
            <w:r>
              <w:t>Отбор получателей субсидии на благоустройство придомовых территорий многоквартирных домов Дзержинского района города Перми</w:t>
            </w:r>
          </w:p>
        </w:tc>
        <w:tc>
          <w:tcPr>
            <w:tcW w:type="dxa" w:w="5440"/>
          </w:tcPr>
          <w:p>
            <w:r>
              <w:t>Субсидии на возмещение части затрат (без учета налога на добавленную стоимость), понесенных в текущем финансовом году и (или) отчетном финансовом году (не возмещаемых в рамках иных направлений государственной поддержки государственной программы) на уплату страховых премий, начисленных по договорам сельскохозяйственного страхования в области животноводства</w:t>
            </w:r>
          </w:p>
        </w:tc>
      </w:tr>
    </w:tbl>
    <w:p/>
    <w:p>
      <w:pPr>
        <w:pStyle w:val="Heading1"/>
      </w:pPr>
      <w:r>
        <w:t>Карточка на сайт</w:t>
      </w:r>
    </w:p>
    <w:tbl>
      <w:tblPr>
        <w:tblStyle w:val="TableGrid"/>
        <w:tblW w:type="auto" w:w="0"/>
        <w:tblLook w:firstColumn="1" w:firstRow="1" w:lastColumn="0" w:lastRow="0" w:noHBand="0" w:noVBand="1" w:val="04A0"/>
      </w:tblPr>
      <w:tblGrid>
        <w:gridCol w:w="1813"/>
        <w:gridCol w:w="1813"/>
        <w:gridCol w:w="1813"/>
        <w:gridCol w:w="1813"/>
        <w:gridCol w:w="1813"/>
        <w:gridCol w:w="1813"/>
      </w:tblGrid>
      <w:tr>
        <w:tc>
          <w:tcPr>
            <w:tcW w:type="dxa" w:w="1813"/>
          </w:tcPr>
          <w:p>
            <w:r>
              <w:t>Якорь</w:t>
            </w:r>
          </w:p>
        </w:tc>
        <w:tc>
          <w:tcPr>
            <w:tcW w:type="dxa" w:w="1813"/>
          </w:tcPr>
          <w:p>
            <w:r>
              <w:t>Позиция</w:t>
            </w:r>
          </w:p>
        </w:tc>
        <w:tc>
          <w:tcPr>
            <w:tcW w:type="dxa" w:w="1813"/>
          </w:tcPr>
          <w:p>
            <w:r>
              <w:t>Отображение карточки программы</w:t>
            </w:r>
          </w:p>
        </w:tc>
        <w:tc>
          <w:tcPr>
            <w:tcW w:type="dxa" w:w="1813"/>
          </w:tcPr>
          <w:p>
            <w:r>
              <w:t>Изображение</w:t>
            </w:r>
          </w:p>
        </w:tc>
        <w:tc>
          <w:tcPr>
            <w:tcW w:type="dxa" w:w="1813"/>
          </w:tcPr>
          <w:p>
            <w:r>
              <w:t>Код продукта</w:t>
            </w:r>
          </w:p>
        </w:tc>
        <w:tc>
          <w:tcPr>
            <w:tcW w:type="dxa" w:w="1813"/>
          </w:tcPr>
          <w:p>
            <w:r>
              <w:t>Уровни поддержки</w:t>
            </w:r>
          </w:p>
        </w:tc>
      </w:tr>
      <w:tr>
        <w:tc>
          <w:tcPr>
            <w:tcW w:type="dxa" w:w="1813"/>
          </w:tcPr>
          <w:p>
            <w:r>
              <w:t xml:space="preserve"> </w:t>
            </w:r>
          </w:p>
        </w:tc>
        <w:tc>
          <w:tcPr>
            <w:tcW w:type="dxa" w:w="1813"/>
          </w:tcPr>
          <w:p>
            <w:r>
              <w:t xml:space="preserve"> </w:t>
            </w:r>
          </w:p>
        </w:tc>
        <w:tc>
          <w:tcPr>
            <w:tcW w:type="dxa" w:w="1813"/>
          </w:tcPr>
          <w:p>
            <w:r>
              <w:t>вкл</w:t>
            </w:r>
          </w:p>
        </w:tc>
        <w:tc>
          <w:tcPr>
            <w:tcW w:type="dxa" w:w="1813"/>
          </w:tcPr>
          <w:p>
            <w:r>
              <w:t>нет</w:t>
            </w:r>
          </w:p>
        </w:tc>
        <w:tc>
          <w:tcPr>
            <w:tcW w:type="dxa" w:w="1813"/>
          </w:tcPr>
          <w:p>
            <w:r>
              <w:t xml:space="preserve"> </w:t>
            </w:r>
          </w:p>
        </w:tc>
        <w:tc>
          <w:tcPr>
            <w:tcW w:type="dxa" w:w="1813"/>
          </w:tcPr>
          <w:p>
            <w:r>
              <w:t>Региональная мера</w:t>
            </w:r>
          </w:p>
        </w:tc>
      </w:tr>
    </w:tbl>
    <w:p/>
    <w:p>
      <w:pPr>
        <w:pStyle w:val="Heading1"/>
      </w:pPr>
      <w:r>
        <w:t>Кнопка целевого действия 1</w:t>
      </w:r>
    </w:p>
    <w:tbl>
      <w:tblPr>
        <w:tblStyle w:val="TableGrid"/>
        <w:tblW w:type="auto" w:w="0"/>
        <w:tblLook w:firstColumn="1" w:firstRow="1" w:lastColumn="0" w:lastRow="0" w:noHBand="0" w:noVBand="1" w:val="04A0"/>
      </w:tblPr>
      <w:tblGrid>
        <w:gridCol w:w="3627"/>
        <w:gridCol w:w="3627"/>
        <w:gridCol w:w="3627"/>
      </w:tblGrid>
      <w:tr>
        <w:tc>
          <w:tcPr>
            <w:tcW w:type="dxa" w:w="3627"/>
          </w:tcPr>
          <w:p>
            <w:r>
              <w:t>Сегмент</w:t>
            </w:r>
          </w:p>
        </w:tc>
        <w:tc>
          <w:tcPr>
            <w:tcW w:type="dxa" w:w="3627"/>
          </w:tcPr>
          <w:p>
            <w:r>
              <w:t>Наименование кнопки</w:t>
            </w:r>
          </w:p>
        </w:tc>
        <w:tc>
          <w:tcPr>
            <w:tcW w:type="dxa" w:w="3627"/>
          </w:tcPr>
          <w:p>
            <w:r>
              <w:t>ссылка для перехода</w:t>
            </w:r>
          </w:p>
        </w:tc>
      </w:tr>
      <w:tr>
        <w:tc>
          <w:tcPr>
            <w:tcW w:type="dxa" w:w="3627"/>
          </w:tcPr>
          <w:p>
            <w:r>
              <w:t>MMB</w:t>
            </w:r>
          </w:p>
        </w:tc>
        <w:tc>
          <w:tcPr>
            <w:tcW w:type="dxa" w:w="3627"/>
          </w:tcPr>
          <w:p>
            <w:r>
              <w:t>Подать заявку</w:t>
            </w:r>
          </w:p>
        </w:tc>
        <w:tc>
          <w:tcPr>
            <w:tcW w:type="dxa" w:w="3627"/>
          </w:tcPr>
          <w:p>
            <w:r>
              <w:t>https://promote.budget.gov.ru/public/minfin/selection/view/7ba2b0b0-e1c8-4284-a2ed-75773892b3ef?showBackButton=true&amp;competitionType=0</w:t>
            </w:r>
          </w:p>
        </w:tc>
      </w:tr>
    </w:tbl>
    <w:p>
      <w:pPr>
        <w:pStyle w:val="Heading1"/>
      </w:pPr>
      <w:r>
        <w:t>Кнопка целевого действия 2</w:t>
      </w:r>
    </w:p>
    <w:tbl>
      <w:tblPr>
        <w:tblStyle w:val="TableGrid"/>
        <w:tblW w:type="auto" w:w="0"/>
        <w:tblLook w:firstColumn="1" w:firstRow="1" w:lastColumn="0" w:lastRow="0" w:noHBand="0" w:noVBand="1" w:val="04A0"/>
      </w:tblPr>
      <w:tblGrid>
        <w:gridCol w:w="3627"/>
        <w:gridCol w:w="3627"/>
        <w:gridCol w:w="3627"/>
      </w:tblGrid>
      <w:tr>
        <w:tc>
          <w:tcPr>
            <w:tcW w:type="dxa" w:w="3627"/>
          </w:tcPr>
          <w:p>
            <w:r>
              <w:t>Сегмент</w:t>
            </w:r>
          </w:p>
        </w:tc>
        <w:tc>
          <w:tcPr>
            <w:tcW w:type="dxa" w:w="3627"/>
          </w:tcPr>
          <w:p>
            <w:r>
              <w:t>Наименование кнопки</w:t>
            </w:r>
          </w:p>
        </w:tc>
        <w:tc>
          <w:tcPr>
            <w:tcW w:type="dxa" w:w="3627"/>
          </w:tcPr>
          <w:p>
            <w:r>
              <w:t>ссылка для перехода</w:t>
            </w:r>
          </w:p>
        </w:tc>
      </w:tr>
      <w:tr>
        <w:tc>
          <w:tcPr>
            <w:tcW w:type="dxa" w:w="3627"/>
          </w:tcPr>
          <w:p>
            <w:r>
              <w:t>MMB</w:t>
            </w:r>
          </w:p>
        </w:tc>
        <w:tc>
          <w:tcPr>
            <w:tcW w:type="dxa" w:w="3627"/>
          </w:tcPr>
          <w:p>
            <w:r>
              <w:t>Подать заявку</w:t>
            </w:r>
          </w:p>
        </w:tc>
        <w:tc>
          <w:tcPr>
            <w:tcW w:type="dxa" w:w="3627"/>
          </w:tcPr>
          <w:p>
            <w:r>
              <w:t>https://promote.budget.gov.ru/public/minfin/selection/view/7ba2b0b0-e1c8-4284-a2ed-75773892b3ef?showBackButton=true&amp;competitionType=0</w:t>
            </w:r>
          </w:p>
        </w:tc>
      </w:tr>
    </w:tbl>
    <w:p>
      <w:pPr>
        <w:pStyle w:val="Heading1"/>
      </w:pPr>
      <w:r>
        <w:t>Дополнительная информация</w:t>
      </w:r>
    </w:p>
    <w:tbl>
      <w:tblPr>
        <w:tblStyle w:val="TableGrid"/>
        <w:tblW w:type="auto" w:w="0"/>
        <w:tblLook w:firstColumn="1" w:firstRow="1" w:lastColumn="0" w:lastRow="0" w:noHBand="0" w:noVBand="1" w:val="04A0"/>
      </w:tblPr>
      <w:tblGrid>
        <w:gridCol w:w="5440"/>
        <w:gridCol w:w="5440"/>
      </w:tblGrid>
      <w:tr>
        <w:tc>
          <w:tcPr>
            <w:tcW w:type="dxa" w:w="5440"/>
          </w:tcPr>
          <w:p>
            <w:r>
              <w:t>Наименование кнопки</w:t>
            </w:r>
          </w:p>
        </w:tc>
        <w:tc>
          <w:tcPr>
            <w:tcW w:type="dxa" w:w="5440"/>
          </w:tcPr>
          <w:p>
            <w:r>
              <w:t>Ссылка для перехода</w:t>
            </w:r>
          </w:p>
        </w:tc>
      </w:tr>
      <w:tr>
        <w:tc>
          <w:tcPr>
            <w:tcW w:type="dxa" w:w="5440"/>
          </w:tcPr>
          <w:p>
            <w:r>
              <w:t>Условие отбора</w:t>
            </w:r>
          </w:p>
        </w:tc>
        <w:tc>
          <w:tcPr>
            <w:tcW w:type="dxa" w:w="5440"/>
          </w:tcPr>
          <w:p>
            <w:r>
              <w:t>https://promote.budget.gov.ru/public/minfin/selection/view/7ba2b0b0-e1c8-4284-a2ed-75773892b3ef?showBackButton=true&amp;competitionType=0</w:t>
            </w:r>
          </w:p>
        </w:tc>
      </w:tr>
    </w:tbl>
    <w:p>
      <w:pPr>
        <w:pStyle w:val="Heading1"/>
      </w:pPr>
      <w:r>
        <w:t>Условия программы</w:t>
      </w:r>
    </w:p>
    <w:tbl>
      <w:tblPr>
        <w:tblStyle w:val="TableGrid"/>
        <w:tblW w:type="auto" w:w="0"/>
        <w:tblLook w:firstColumn="1" w:firstRow="1" w:lastColumn="0" w:lastRow="0" w:noHBand="0" w:noVBand="1" w:val="04A0"/>
      </w:tblPr>
      <w:tblGrid>
        <w:gridCol w:w="2176"/>
        <w:gridCol w:w="2176"/>
        <w:gridCol w:w="2176"/>
        <w:gridCol w:w="2176"/>
        <w:gridCol w:w="2176"/>
      </w:tblGrid>
      <w:tr>
        <w:tc>
          <w:tcPr>
            <w:tcW w:type="dxa" w:w="2176"/>
          </w:tcPr>
          <w:p>
            <w:r>
              <w:t>Позиция</w:t>
            </w:r>
          </w:p>
        </w:tc>
        <w:tc>
          <w:tcPr>
            <w:tcW w:type="dxa" w:w="2176"/>
          </w:tcPr>
          <w:p>
            <w:r>
              <w:t>Названия условия</w:t>
            </w:r>
          </w:p>
        </w:tc>
        <w:tc>
          <w:tcPr>
            <w:tcW w:type="dxa" w:w="2176"/>
          </w:tcPr>
          <w:p>
            <w:r>
              <w:t>Детальное описание</w:t>
            </w:r>
          </w:p>
        </w:tc>
        <w:tc>
          <w:tcPr>
            <w:tcW w:type="dxa" w:w="2176"/>
          </w:tcPr>
          <w:p>
            <w:r>
              <w:t>Путь к изображению</w:t>
            </w:r>
          </w:p>
        </w:tc>
        <w:tc>
          <w:tcPr>
            <w:tcW w:type="dxa" w:w="2176"/>
          </w:tcPr>
          <w:p>
            <w:r>
              <w:t>Какая картинка должна быть</w:t>
            </w:r>
          </w:p>
        </w:tc>
      </w:tr>
      <w:tr>
        <w:tc>
          <w:tcPr>
            <w:tcW w:type="dxa" w:w="2176"/>
          </w:tcPr>
          <w:p>
            <w:r>
              <w:t>1</w:t>
            </w:r>
          </w:p>
        </w:tc>
        <w:tc>
          <w:tcPr>
            <w:tcW w:type="dxa" w:w="2176"/>
          </w:tcPr>
          <w:p>
            <w:r>
              <w:t>Получатель поддержки</w:t>
            </w:r>
          </w:p>
        </w:tc>
        <w:tc>
          <w:tcPr>
            <w:tcW w:type="dxa" w:w="2176"/>
          </w:tcPr>
          <w:p>
            <w:r>
              <w:t>&lt;ul&gt;&lt;li&gt;Юридическое лицо&lt;/li&gt;&lt;/ul&gt;</w:t>
            </w:r>
          </w:p>
        </w:tc>
        <w:tc>
          <w:tcPr>
            <w:tcW w:type="dxa" w:w="2176"/>
          </w:tcPr>
          <w:p>
            <w:r>
              <w:t>free-icon-font-user-3917711.svg</w:t>
            </w:r>
          </w:p>
        </w:tc>
        <w:tc>
          <w:tcPr>
            <w:tcW w:type="dxa" w:w="2176"/>
          </w:tcPr>
          <w:p/>
        </w:tc>
      </w:tr>
      <w:tr>
        <w:tc>
          <w:tcPr>
            <w:tcW w:type="dxa" w:w="2176"/>
          </w:tcPr>
          <w:p>
            <w:r>
              <w:t>2</w:t>
            </w:r>
          </w:p>
        </w:tc>
        <w:tc>
          <w:tcPr>
            <w:tcW w:type="dxa" w:w="2176"/>
          </w:tcPr>
          <w:p>
            <w:r>
              <w:t>Администратор меры поддержки</w:t>
            </w:r>
          </w:p>
        </w:tc>
        <w:tc>
          <w:tcPr>
            <w:tcW w:type="dxa" w:w="2176"/>
          </w:tcPr>
          <w:p>
            <w:r>
              <w:t>&lt;ul&gt;&lt;li&gt;администрация Дзержинского района города Перми&lt;/li&gt;&lt;/ul&gt;</w:t>
            </w:r>
          </w:p>
        </w:tc>
        <w:tc>
          <w:tcPr>
            <w:tcW w:type="dxa" w:w="2176"/>
          </w:tcPr>
          <w:p>
            <w:r>
              <w:t>free-icon-font-bank-3914993.svg</w:t>
            </w:r>
          </w:p>
        </w:tc>
        <w:tc>
          <w:tcPr>
            <w:tcW w:type="dxa" w:w="2176"/>
          </w:tcPr>
          <w:p/>
        </w:tc>
      </w:tr>
      <w:tr>
        <w:tc>
          <w:tcPr>
            <w:tcW w:type="dxa" w:w="2176"/>
          </w:tcPr>
          <w:p>
            <w:r>
              <w:t>3</w:t>
            </w:r>
          </w:p>
        </w:tc>
        <w:tc>
          <w:tcPr>
            <w:tcW w:type="dxa" w:w="2176"/>
          </w:tcPr>
          <w:p>
            <w:r>
              <w:t>Софинансирование</w:t>
            </w:r>
          </w:p>
        </w:tc>
        <w:tc>
          <w:tcPr>
            <w:tcW w:type="dxa" w:w="2176"/>
          </w:tcPr>
          <w:p>
            <w:r>
              <w:t>&lt;ul&gt;&lt;li&gt;не требуется&lt;/li&gt;&lt;/ul&gt;</w:t>
            </w:r>
          </w:p>
        </w:tc>
        <w:tc>
          <w:tcPr>
            <w:tcW w:type="dxa" w:w="2176"/>
          </w:tcPr>
          <w:p>
            <w:r>
              <w:t>free-icon-font-badge-percent-7653146.svg</w:t>
            </w:r>
          </w:p>
        </w:tc>
        <w:tc>
          <w:tcPr>
            <w:tcW w:type="dxa" w:w="2176"/>
          </w:tcPr>
          <w:p/>
        </w:tc>
      </w:tr>
      <w:tr>
        <w:tc>
          <w:tcPr>
            <w:tcW w:type="dxa" w:w="2176"/>
          </w:tcPr>
          <w:p>
            <w:r>
              <w:t>4</w:t>
            </w:r>
          </w:p>
        </w:tc>
        <w:tc>
          <w:tcPr>
            <w:tcW w:type="dxa" w:w="2176"/>
          </w:tcPr>
          <w:p>
            <w:r>
              <w:t>Даты приема заявок</w:t>
            </w:r>
          </w:p>
        </w:tc>
        <w:tc>
          <w:tcPr>
            <w:tcW w:type="dxa" w:w="2176"/>
          </w:tcPr>
          <w:p>
            <w:r>
              <w:t>&lt;ul&gt;&lt;li&gt;15.09.2025 11:34 - 15.10.2025 23:59&lt;/li&gt;&lt;/ul&gt;</w:t>
            </w:r>
          </w:p>
        </w:tc>
        <w:tc>
          <w:tcPr>
            <w:tcW w:type="dxa" w:w="2176"/>
          </w:tcPr>
          <w:p>
            <w:r>
              <w:t>free-icon-font-calendar-3917244.svg</w:t>
            </w:r>
          </w:p>
        </w:tc>
        <w:tc>
          <w:tcPr>
            <w:tcW w:type="dxa" w:w="2176"/>
          </w:tcPr>
          <w:p/>
        </w:tc>
      </w:tr>
      <w:tr>
        <w:tc>
          <w:tcPr>
            <w:tcW w:type="dxa" w:w="2176"/>
          </w:tcPr>
          <w:p>
            <w:r>
              <w:t>5</w:t>
            </w:r>
          </w:p>
        </w:tc>
        <w:tc>
          <w:tcPr>
            <w:tcW w:type="dxa" w:w="2176"/>
          </w:tcPr>
          <w:p>
            <w:r>
              <w:t>Механизм получения</w:t>
            </w:r>
          </w:p>
        </w:tc>
        <w:tc>
          <w:tcPr>
            <w:tcW w:type="dxa" w:w="2176"/>
          </w:tcPr>
          <w:p>
            <w:r>
              <w:t>&lt;ul&gt;&lt;li&gt;Для участия в конкурсе необходимо подать заявку на Портале предоставления мер финансовой государственной поддержки (promote.buget.gov.ru)&lt;/li&gt;&lt;/ul&gt;</w:t>
            </w:r>
          </w:p>
        </w:tc>
        <w:tc>
          <w:tcPr>
            <w:tcW w:type="dxa" w:w="2176"/>
          </w:tcPr>
          <w:p>
            <w:r>
              <w:t>free-icon-font-apps-3917618.svg</w:t>
            </w:r>
          </w:p>
        </w:tc>
        <w:tc>
          <w:tcPr>
            <w:tcW w:type="dxa" w:w="2176"/>
          </w:tcPr>
          <w:p/>
        </w:tc>
      </w:tr>
    </w:tbl>
    <w:p>
      <w:pPr>
        <w:pStyle w:val="Heading1"/>
      </w:pPr>
      <w:r>
        <w:t>Требования</w:t>
      </w:r>
    </w:p>
    <w:tbl>
      <w:tblPr>
        <w:tblStyle w:val="TableGrid"/>
        <w:tblW w:type="auto" w:w="0"/>
        <w:tblLook w:firstColumn="1" w:firstRow="1" w:lastColumn="0" w:lastRow="0" w:noHBand="0" w:noVBand="1" w:val="04A0"/>
      </w:tblPr>
      <w:tblGrid>
        <w:gridCol w:w="10880"/>
      </w:tblGrid>
      <w:tr>
        <w:tc>
          <w:tcPr>
            <w:tcW w:type="dxa" w:w="10880"/>
          </w:tcPr>
          <w:p>
            <w:r>
              <w:t>['отбора</w:t>
            </w:r>
          </w:p>
        </w:tc>
      </w:tr>
      <w:tr>
        <w:tc>
          <w:tcPr>
            <w:tcW w:type="dxa" w:w="10880"/>
          </w:tcPr>
          <w:p>
            <w:r>
              <w:t>Участник отбора (получатель субсидии) не является российским юридическим лицом, в уставном (складочном) капитале которого доля прямого или косвенного (через третьих лиц) участия иностранных юридических лиц, местом регистрации которых является государство или территория, включенные в утверждаемый Министерством финансов Российской Федерации перечень государств и территорий, используемых для промежуточного (офшорного) владения активами в Российской Федерации, в совокупности превышает 25 процентов (если иное не предусмотрено законодательством Российской Федерации)</w:t>
            </w:r>
          </w:p>
        </w:tc>
      </w:tr>
      <w:tr>
        <w:tc>
          <w:tcPr>
            <w:tcW w:type="dxa" w:w="10880"/>
          </w:tcPr>
          <w:p>
            <w:r>
              <w:t>Участник отбора (получатель субсидии) не должен получать средства из федерального бюджета (бюджета субъекта Российской Федерации, местного бюджета), из которого планируется предоставление субсидии, на основании иных нормативных правовых актов Российской Федерации (нормативных правовых актов субъекта Российской Федерации, муниципальных правовых актов), решений о порядке предоставления субсидии на цели, установленные решением о порядке предоставления субсидии, в целях определения получателей которой проводится отбор получателей субсидий</w:t>
            </w:r>
          </w:p>
        </w:tc>
      </w:tr>
      <w:tr>
        <w:tc>
          <w:tcPr>
            <w:tcW w:type="dxa" w:w="10880"/>
          </w:tcPr>
          <w:p>
            <w:r>
              <w:t>Участник отбора (получатель субсидии) не является иностранным агентом в соответствии с Федеральным законом "О контроле за деятельностью лиц, находящихся под иностранным влиянием"</w:t>
            </w:r>
          </w:p>
        </w:tc>
      </w:tr>
      <w:tr>
        <w:tc>
          <w:tcPr>
            <w:tcW w:type="dxa" w:w="10880"/>
          </w:tcPr>
          <w:p>
            <w:r>
              <w:t>Участник отбора не должен находиться в перечне организаций и физических лиц, в отношении которых имеются сведения об их причастности к экстремистской деятельности или терроризму</w:t>
            </w:r>
          </w:p>
        </w:tc>
      </w:tr>
      <w:tr>
        <w:tc>
          <w:tcPr>
            <w:tcW w:type="dxa" w:w="10880"/>
          </w:tcPr>
          <w:p>
            <w:r>
              <w:t>Участник отбора (получатель субсидии) не находится в перечне организаций и физических лиц, связанных с террористическими организациями и террористами, составляемом в рамках реализации полномочий, предусмотренных главой VII Устава ООН, Советом Безопасности ООН или органами, специально созданными решениями Совета Безопасности ООН</w:t>
            </w:r>
          </w:p>
        </w:tc>
      </w:tr>
      <w:tr>
        <w:tc>
          <w:tcPr>
            <w:tcW w:type="dxa" w:w="10880"/>
          </w:tcPr>
          <w:p>
            <w:r>
              <w:t>Участник отбора (получатель субсидии) не находится в перечне организаций и физических лиц, связанных с распространением оружия массового уничтожения, составляемом в рамках реализации полномочий, предусмотренных главой VII Устава ООН, Советом Безопасности ООН или органами, специально созданными решениями Совета Безопасности ООН</w:t>
            </w:r>
          </w:p>
        </w:tc>
      </w:tr>
      <w:tr>
        <w:tc>
          <w:tcPr>
            <w:tcW w:type="dxa" w:w="10880"/>
          </w:tcPr>
          <w:p>
            <w:r>
              <w:t>Участник отбора (получатель субсидии) не является иностранным юридическим лицом, в том числе местом регистрации которого является государство или территория, включенные в утверждаемый Министерством финансов Российской Федерации перечень государств и территорий, используемых для промежуточного (офшорного) владения активами в Российской Федерации</w:t>
            </w:r>
          </w:p>
        </w:tc>
      </w:tr>
      <w:tr>
        <w:tc>
          <w:tcPr>
            <w:tcW w:type="dxa" w:w="10880"/>
          </w:tcPr>
          <w:p>
            <w:r>
              <w:t>В отношении участника отбора (получателя субсидии) - индивидуального предпринимателя не введена процедура банкротства</w:t>
            </w:r>
          </w:p>
        </w:tc>
      </w:tr>
      <w:tr>
        <w:tc>
          <w:tcPr>
            <w:tcW w:type="dxa" w:w="10880"/>
          </w:tcPr>
          <w:p>
            <w:r>
              <w:t>В отношении участника отбора (получателя субсидии) - юридического лица не введена процедура банкротства</w:t>
            </w:r>
          </w:p>
        </w:tc>
      </w:tr>
      <w:tr>
        <w:tc>
          <w:tcPr>
            <w:tcW w:type="dxa" w:w="10880"/>
          </w:tcPr>
          <w:p>
            <w:r>
              <w:t>Отсутствует просроченная (неурегулированная) задолженность по денежным обязательствам перед публично - правовым образованием, из бюджета которого планируется предоставление субсидии</w:t>
            </w:r>
          </w:p>
        </w:tc>
      </w:tr>
      <w:tr>
        <w:tc>
          <w:tcPr>
            <w:tcW w:type="dxa" w:w="10880"/>
          </w:tcPr>
          <w:p>
            <w:r>
              <w:t>Отсутствует просроченная задолженность по возврату иных субсидий, бюджетных инвестиций в бюджет бюджетной системы Российской Федерации, из которого планируется предоставление субсидии</w:t>
            </w:r>
          </w:p>
        </w:tc>
      </w:tr>
      <w:tr>
        <w:tc>
          <w:tcPr>
            <w:tcW w:type="dxa" w:w="10880"/>
          </w:tcPr>
          <w:p>
            <w:r>
              <w:t>Участник отбора (получатель субсидии) - юридическое лицо не проходит процедуру ликвидации</w:t>
            </w:r>
          </w:p>
        </w:tc>
      </w:tr>
      <w:tr>
        <w:tc>
          <w:tcPr>
            <w:tcW w:type="dxa" w:w="10880"/>
          </w:tcPr>
          <w:p>
            <w:r>
              <w:t>Участник отбора (получатель субсидии) - юридическое лицо не находится в процессе реорганизации (за исключением реорганизации в форме присоединения к юридическому лицу, являющемуся участником отбора, Отбор 25-818-R501А-2-0080 Страница 9 из 11 другого юридического лица)</w:t>
            </w:r>
          </w:p>
        </w:tc>
      </w:tr>
      <w:tr>
        <w:tc>
          <w:tcPr>
            <w:tcW w:type="dxa" w:w="10880"/>
          </w:tcPr>
          <w:p>
            <w:r>
              <w:t>Деятельность участника отбора (получателя субсидии) - юридического лица не приостановлена в порядке, предусмотренном законодательством Российской Федерации</w:t>
            </w:r>
          </w:p>
        </w:tc>
      </w:tr>
      <w:tr>
        <w:tc>
          <w:tcPr>
            <w:tcW w:type="dxa" w:w="10880"/>
          </w:tcPr>
          <w:p>
            <w:r>
              <w:t>Деятельность участника отбора (получателя субсидии) - индивидуального предпринимателя не прекращена в качестве индивидуального предпринимателя в порядке, предусмотренном законодательством Российской Федерации</w:t>
            </w:r>
          </w:p>
        </w:tc>
      </w:tr>
      <w:tr>
        <w:tc>
          <w:tcPr>
            <w:tcW w:type="dxa" w:w="10880"/>
          </w:tcPr>
          <w:p>
            <w:r>
              <w:t>Отсутствие на едином налоговом счете или непревышение размера, определенного пунктом 3 статьи 47 НК РФ, задолженности по уплате налогов, сборов и страховых взносов в бюджеты бюджетной системы Российской Федерации</w:t>
            </w:r>
          </w:p>
        </w:tc>
      </w:tr>
      <w:tr>
        <w:tc>
          <w:tcPr>
            <w:tcW w:type="dxa" w:w="10880"/>
          </w:tcPr>
          <w:p>
            <w:r>
              <w:t>Получатель субсидии - сельскохозяйственный товаропроизводитель (за исключением граждан, ведущих личное подсобное хозяйство, и сельскохозяйственных кредитных потребительских кооперативов, государственных (муниципальных) учреждений)</w:t>
            </w:r>
          </w:p>
        </w:tc>
      </w:tr>
      <w:tr>
        <w:tc>
          <w:tcPr>
            <w:tcW w:type="dxa" w:w="10880"/>
          </w:tcPr>
          <w:p>
            <w:r>
              <w:t>Получатель субсидии зарегистрирован и (или) поставлен на налоговый учет и осуществляет свою деятельность на территории Республики Крым</w:t>
            </w:r>
          </w:p>
        </w:tc>
      </w:tr>
      <w:tr>
        <w:tc>
          <w:tcPr>
            <w:tcW w:type="dxa" w:w="10880"/>
          </w:tcPr>
          <w:p>
            <w:r>
              <w:t>Наличие у получателя субсидии действующего договора сельскохозяйственного страхования, осуществляемого с государственной поддержкой, срок действия которого составляет не менее чем 70 календарных дней с даты окончания приема заявок в Министерство, и отвечающего требованиям, установленным статьей 4 Федерального закона от 25 июля 2011 года N 260-ФЗ "О государственной поддержке в сфере сельскохозяйственного страхования и о внесении изменений в Федеральный закон "О развитии сельского хозяйства", а также уплаченных получателями субсидии в отчетном и текущем финансовых годах страховых премий, в случае непредоставления соответствующей субсидии в отчетном финансовом году на возмещение части затрат, понесенных в отчетном финансовом году</w:t>
            </w:r>
          </w:p>
        </w:tc>
      </w:tr>
      <w:tr>
        <w:tc>
          <w:tcPr>
            <w:tcW w:type="dxa" w:w="10880"/>
          </w:tcPr>
          <w:p>
            <w:r>
              <w:t>Получатель субсидии в отчетном финансовом году не привлекался к ответственности за несоблюдение запрета на выжигание сухой травянистой растительности, стерни, пожнивных остатков (за исключением рисовой соломы) на землях сельскохозяйственного назначения, установленного постановлением Правительства Российской Федерации от 16 сентября 2020 года № 1479 "Об утверждении Правил противопожарного режима в Российской Федерации"</w:t>
            </w:r>
          </w:p>
        </w:tc>
      </w:tr>
      <w:tr>
        <w:tc>
          <w:tcPr>
            <w:tcW w:type="dxa" w:w="10880"/>
          </w:tcPr>
          <w:p>
            <w:r>
              <w:t>Участник отбора предоставил к настоящей Заявке весь требуемый перечень документов, предусмотренный пунктами 2.10, 2.11 раздела 2 Порядка, утвержденного постановлением Совета министров Республики Крым от 01.03.2024 № 116</w:t>
            </w:r>
          </w:p>
        </w:tc>
      </w:tr>
      <w:tr>
        <w:tc>
          <w:tcPr>
            <w:tcW w:type="dxa" w:w="10880"/>
          </w:tcPr>
          <w:p>
            <w:r>
              <w:t>Настоящая заявка соответствует требованиям, установленным в объявлении и предусмотренным пунктами 2.9, 2.12 раздела 2 Порядка, утвержденного постановлением Совета министров от 01.03.2024 № 116</w:t>
            </w:r>
          </w:p>
        </w:tc>
      </w:tr>
      <w:tr>
        <w:tc>
          <w:tcPr>
            <w:tcW w:type="dxa" w:w="10880"/>
          </w:tcPr>
          <w:p>
            <w:r>
              <w:t>Участник отбора подтверждает достоверность информации, содержащейся в документах в составе настоящей Заявки, представленных участником отбора в целях подтверждения соответствия требованиям, установленным в объявлении и Порядке, утвержденном постановлением Совета министров от 01.03.2024 № 116</w:t>
            </w:r>
          </w:p>
        </w:tc>
      </w:tr>
      <w:tr>
        <w:tc>
          <w:tcPr>
            <w:tcW w:type="dxa" w:w="10880"/>
          </w:tcPr>
          <w:p>
            <w:r>
              <w:t>Наличие лимитов бюджетных обязательств на предоставление субсидии по настоящей Заявке</w:t>
            </w:r>
          </w:p>
        </w:tc>
      </w:tr>
      <w:tr>
        <w:tc>
          <w:tcPr>
            <w:tcW w:type="dxa" w:w="10880"/>
          </w:tcPr>
          <w:p>
            <w:r>
              <w:t>Согласие получателя субсидии, лиц, получающих средства, на осуществление в отношении них проверки Министерством на соблюдение получателем субсидии условий и порядка предоставления субсидии, в том числе в части достижения результатов предоставления субсидии, проверки органом государственного финансового контроля в соответствии со статьями 268.1 и 269.2 Бюджетного кодекса Российской Федерации Отбор 25-818-R501А-2-0080 Страница 10 из 11 Дополнительная информация нет добавленных данных Отбор 25-818-R501А-2-0080 Страница 11 из 11']</w:t>
            </w:r>
          </w:p>
        </w:tc>
      </w:tr>
    </w:tbl>
    <w:sectPr w:rsidR="00FC693F" w:rsidRPr="0006063C" w:rsidSect="00034616">
      <w:pgSz w:w="12240" w:h="15840"/>
      <w:pgMar w:top="850" w:right="680" w:bottom="850" w:left="6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