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F485B" w14:textId="77777777" w:rsidR="007077CC" w:rsidRPr="00E44B14" w:rsidRDefault="007077CC" w:rsidP="007077CC">
      <w:pPr>
        <w:spacing w:line="360" w:lineRule="auto"/>
        <w:rPr>
          <w:rFonts w:cstheme="minorHAnsi"/>
          <w:b/>
          <w:bCs/>
        </w:rPr>
      </w:pPr>
      <w:r w:rsidRPr="00E44B14">
        <w:rPr>
          <w:rFonts w:cstheme="minorHAnsi"/>
          <w:b/>
          <w:bCs/>
        </w:rPr>
        <w:t xml:space="preserve">Figure </w:t>
      </w:r>
      <w:r>
        <w:rPr>
          <w:rFonts w:cstheme="minorHAnsi"/>
          <w:b/>
          <w:bCs/>
        </w:rPr>
        <w:t>S3A</w:t>
      </w:r>
      <w:r w:rsidRPr="00E44B14">
        <w:rPr>
          <w:rFonts w:cstheme="minorHAnsi"/>
          <w:b/>
          <w:bCs/>
        </w:rPr>
        <w:t>: 1</w:t>
      </w:r>
      <w:r>
        <w:rPr>
          <w:rFonts w:cstheme="minorHAnsi"/>
          <w:b/>
          <w:bCs/>
        </w:rPr>
        <w:t>0</w:t>
      </w:r>
      <w:r w:rsidRPr="00E44B14">
        <w:rPr>
          <w:rFonts w:cstheme="minorHAnsi"/>
          <w:b/>
          <w:bCs/>
        </w:rPr>
        <w:t xml:space="preserve"> </w:t>
      </w:r>
      <w:r>
        <w:rPr>
          <w:rFonts w:cstheme="minorHAnsi"/>
          <w:b/>
          <w:bCs/>
        </w:rPr>
        <w:t>H</w:t>
      </w:r>
      <w:r w:rsidRPr="00E44B14">
        <w:rPr>
          <w:rFonts w:cstheme="minorHAnsi"/>
          <w:b/>
          <w:bCs/>
        </w:rPr>
        <w:t xml:space="preserve">igh-risk MDR clusters; associations with hospital level and site </w:t>
      </w:r>
      <w:r>
        <w:rPr>
          <w:rFonts w:cstheme="minorHAnsi"/>
          <w:b/>
          <w:bCs/>
        </w:rPr>
        <w:t>(n=515)</w:t>
      </w:r>
    </w:p>
    <w:p w14:paraId="2777B84F" w14:textId="77777777" w:rsidR="007077CC" w:rsidRDefault="007077CC" w:rsidP="007077CC">
      <w:pPr>
        <w:spacing w:line="360" w:lineRule="auto"/>
        <w:rPr>
          <w:rFonts w:cstheme="minorHAnsi"/>
          <w:b/>
          <w:bCs/>
        </w:rPr>
      </w:pPr>
      <w:r>
        <w:rPr>
          <w:rFonts w:cstheme="minorHAnsi"/>
          <w:b/>
          <w:bCs/>
          <w:noProof/>
        </w:rPr>
        <w:drawing>
          <wp:inline distT="0" distB="0" distL="0" distR="0" wp14:anchorId="615B4D9B" wp14:editId="06BD1E9C">
            <wp:extent cx="5731510" cy="3820795"/>
            <wp:effectExtent l="0" t="0" r="2540" b="8255"/>
            <wp:docPr id="306108026" name="Picture 30610802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08026" name="Picture 3"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6E66A1E" w14:textId="77777777" w:rsidR="007077CC" w:rsidRDefault="007077CC" w:rsidP="007077CC">
      <w:pPr>
        <w:pStyle w:val="NoSpacing"/>
        <w:rPr>
          <w:sz w:val="20"/>
          <w:szCs w:val="20"/>
        </w:rPr>
      </w:pPr>
      <w:r w:rsidRPr="00537D7E">
        <w:rPr>
          <w:sz w:val="20"/>
          <w:szCs w:val="20"/>
        </w:rPr>
        <w:t>Note</w:t>
      </w:r>
      <w:r>
        <w:rPr>
          <w:sz w:val="20"/>
          <w:szCs w:val="20"/>
        </w:rPr>
        <w:t xml:space="preserve"> for all Figures S3A-S3J</w:t>
      </w:r>
      <w:r w:rsidRPr="00537D7E">
        <w:rPr>
          <w:sz w:val="20"/>
          <w:szCs w:val="20"/>
        </w:rPr>
        <w:t xml:space="preserve">: </w:t>
      </w:r>
      <w:r>
        <w:rPr>
          <w:sz w:val="20"/>
          <w:szCs w:val="20"/>
        </w:rPr>
        <w:t xml:space="preserve">Reading the figures from left to right, the top left represents the proportion of MDR UTI in each cluster, the bottom left represents the number of subjects in each cluster. The second chart from the left indicates the distribution of the observations in each cluster with respect to the outcome of MDR UTI. The third chart from the left indicates the probability that the cluster has the relevant factor. </w:t>
      </w:r>
      <w:r w:rsidRPr="00537D7E">
        <w:rPr>
          <w:sz w:val="20"/>
          <w:szCs w:val="20"/>
        </w:rPr>
        <w:t xml:space="preserve">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4081DC50" w14:textId="77777777" w:rsidR="007077CC" w:rsidRPr="00537D7E" w:rsidRDefault="007077CC" w:rsidP="007077CC">
      <w:pPr>
        <w:pStyle w:val="NoSpacing"/>
        <w:rPr>
          <w:sz w:val="20"/>
          <w:szCs w:val="20"/>
        </w:rPr>
      </w:pPr>
    </w:p>
    <w:p w14:paraId="50EDB39E" w14:textId="77777777" w:rsidR="007077CC" w:rsidRPr="00E44B14" w:rsidRDefault="007077CC" w:rsidP="007077CC">
      <w:pPr>
        <w:spacing w:line="360" w:lineRule="auto"/>
        <w:rPr>
          <w:rFonts w:cstheme="minorHAnsi"/>
          <w:b/>
          <w:bCs/>
        </w:rPr>
      </w:pPr>
      <w:r w:rsidRPr="00E44B14">
        <w:rPr>
          <w:rFonts w:cstheme="minorHAnsi"/>
          <w:b/>
          <w:bCs/>
        </w:rPr>
        <w:t xml:space="preserve">Figure </w:t>
      </w:r>
      <w:r>
        <w:rPr>
          <w:rFonts w:cstheme="minorHAnsi"/>
          <w:b/>
          <w:bCs/>
        </w:rPr>
        <w:t>S3B</w:t>
      </w:r>
      <w:r w:rsidRPr="00E44B14">
        <w:rPr>
          <w:rFonts w:cstheme="minorHAnsi"/>
          <w:b/>
          <w:bCs/>
        </w:rPr>
        <w:t>: 1</w:t>
      </w:r>
      <w:r>
        <w:rPr>
          <w:rFonts w:cstheme="minorHAnsi"/>
          <w:b/>
          <w:bCs/>
        </w:rPr>
        <w:t>0</w:t>
      </w:r>
      <w:r w:rsidRPr="00E44B14">
        <w:rPr>
          <w:rFonts w:cstheme="minorHAnsi"/>
          <w:b/>
          <w:bCs/>
        </w:rPr>
        <w:t xml:space="preserve"> higher-risk MDR clusters; associations with </w:t>
      </w:r>
      <w:r>
        <w:rPr>
          <w:rFonts w:cstheme="minorHAnsi"/>
          <w:b/>
          <w:bCs/>
        </w:rPr>
        <w:t>WASH (n=515)</w:t>
      </w:r>
    </w:p>
    <w:p w14:paraId="4A1083F9" w14:textId="77777777" w:rsidR="007077CC" w:rsidRDefault="007077CC" w:rsidP="007077CC">
      <w:pPr>
        <w:spacing w:line="360" w:lineRule="auto"/>
        <w:rPr>
          <w:rFonts w:cstheme="minorHAnsi"/>
          <w:b/>
          <w:bCs/>
        </w:rPr>
      </w:pPr>
      <w:r>
        <w:rPr>
          <w:rFonts w:cstheme="minorHAnsi"/>
          <w:b/>
          <w:bCs/>
          <w:noProof/>
        </w:rPr>
        <w:drawing>
          <wp:inline distT="0" distB="0" distL="0" distR="0" wp14:anchorId="204BFE59" wp14:editId="1E694E3D">
            <wp:extent cx="5731510" cy="3820794"/>
            <wp:effectExtent l="0" t="0" r="0" b="2540"/>
            <wp:docPr id="560267913" name="Picture 5602679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67913" name="Picture 6"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50861" cy="3833694"/>
                    </a:xfrm>
                    <a:prstGeom prst="rect">
                      <a:avLst/>
                    </a:prstGeom>
                  </pic:spPr>
                </pic:pic>
              </a:graphicData>
            </a:graphic>
          </wp:inline>
        </w:drawing>
      </w:r>
    </w:p>
    <w:p w14:paraId="76A3BD8C" w14:textId="77777777" w:rsidR="007077CC" w:rsidRDefault="007077CC" w:rsidP="007077CC">
      <w:pPr>
        <w:spacing w:line="360" w:lineRule="auto"/>
        <w:rPr>
          <w:rFonts w:cstheme="minorHAnsi"/>
          <w:b/>
          <w:bCs/>
        </w:rPr>
        <w:sectPr w:rsidR="007077CC" w:rsidSect="007077CC">
          <w:pgSz w:w="11906" w:h="16838"/>
          <w:pgMar w:top="720" w:right="720" w:bottom="720" w:left="720" w:header="708" w:footer="708" w:gutter="0"/>
          <w:cols w:space="708"/>
          <w:docGrid w:linePitch="360"/>
        </w:sectPr>
      </w:pPr>
    </w:p>
    <w:p w14:paraId="02AB98C0" w14:textId="77777777" w:rsidR="007077CC" w:rsidRDefault="007077CC" w:rsidP="007077CC">
      <w:pPr>
        <w:spacing w:line="360" w:lineRule="auto"/>
        <w:rPr>
          <w:rFonts w:cstheme="minorHAnsi"/>
          <w:b/>
          <w:bCs/>
        </w:rPr>
      </w:pPr>
      <w:r w:rsidRPr="00E44B14">
        <w:rPr>
          <w:rFonts w:cstheme="minorHAnsi"/>
          <w:b/>
          <w:bCs/>
        </w:rPr>
        <w:lastRenderedPageBreak/>
        <w:t xml:space="preserve">Figure </w:t>
      </w:r>
      <w:r>
        <w:rPr>
          <w:rFonts w:cstheme="minorHAnsi"/>
          <w:b/>
          <w:bCs/>
        </w:rPr>
        <w:t>S3C</w:t>
      </w:r>
      <w:r w:rsidRPr="00E44B14">
        <w:rPr>
          <w:rFonts w:cstheme="minorHAnsi"/>
          <w:b/>
          <w:bCs/>
        </w:rPr>
        <w:t>: 1</w:t>
      </w:r>
      <w:r>
        <w:rPr>
          <w:rFonts w:cstheme="minorHAnsi"/>
          <w:b/>
          <w:bCs/>
        </w:rPr>
        <w:t>0</w:t>
      </w:r>
      <w:r w:rsidRPr="00E44B14">
        <w:rPr>
          <w:rFonts w:cstheme="minorHAnsi"/>
          <w:b/>
          <w:bCs/>
        </w:rPr>
        <w:t xml:space="preserve"> higher-risk MDR clusters; associations with </w:t>
      </w:r>
      <w:r>
        <w:rPr>
          <w:rFonts w:cstheme="minorHAnsi"/>
          <w:b/>
          <w:bCs/>
        </w:rPr>
        <w:t>environment factors (n=515)</w:t>
      </w:r>
    </w:p>
    <w:p w14:paraId="0C0FBF04" w14:textId="77777777" w:rsidR="007077CC" w:rsidRDefault="007077CC" w:rsidP="007077CC">
      <w:pPr>
        <w:spacing w:line="360" w:lineRule="auto"/>
        <w:rPr>
          <w:rFonts w:cstheme="minorHAnsi"/>
          <w:b/>
          <w:bCs/>
        </w:rPr>
      </w:pPr>
      <w:r>
        <w:rPr>
          <w:rFonts w:cstheme="minorHAnsi"/>
          <w:b/>
          <w:bCs/>
          <w:noProof/>
        </w:rPr>
        <w:drawing>
          <wp:inline distT="0" distB="0" distL="0" distR="0" wp14:anchorId="48EB2C96" wp14:editId="011A59B4">
            <wp:extent cx="5731510" cy="3820795"/>
            <wp:effectExtent l="0" t="0" r="2540" b="8255"/>
            <wp:docPr id="133887265" name="Picture 13388726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7265" name="Picture 8"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31FB7F3" w14:textId="77777777" w:rsidR="007077CC" w:rsidRDefault="007077CC" w:rsidP="007077CC">
      <w:pPr>
        <w:pStyle w:val="NoSpacing"/>
        <w:rPr>
          <w:sz w:val="20"/>
          <w:szCs w:val="20"/>
        </w:rPr>
      </w:pPr>
      <w:r w:rsidRPr="00537D7E">
        <w:rPr>
          <w:sz w:val="20"/>
          <w:szCs w:val="20"/>
        </w:rPr>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02E0B84B" w14:textId="77777777" w:rsidR="007077CC" w:rsidRPr="00C619DA" w:rsidRDefault="007077CC" w:rsidP="007077CC">
      <w:pPr>
        <w:pStyle w:val="NoSpacing"/>
        <w:rPr>
          <w:sz w:val="20"/>
          <w:szCs w:val="20"/>
        </w:rPr>
      </w:pPr>
    </w:p>
    <w:p w14:paraId="020AC355" w14:textId="77777777" w:rsidR="007077CC" w:rsidRDefault="007077CC" w:rsidP="007077CC">
      <w:pPr>
        <w:spacing w:line="360" w:lineRule="auto"/>
        <w:rPr>
          <w:rFonts w:cstheme="minorHAnsi"/>
          <w:b/>
          <w:bCs/>
        </w:rPr>
      </w:pPr>
      <w:r w:rsidRPr="00E44B14">
        <w:rPr>
          <w:rFonts w:cstheme="minorHAnsi"/>
          <w:b/>
          <w:bCs/>
        </w:rPr>
        <w:t xml:space="preserve">Figure </w:t>
      </w:r>
      <w:r>
        <w:rPr>
          <w:rFonts w:cstheme="minorHAnsi"/>
          <w:b/>
          <w:bCs/>
        </w:rPr>
        <w:t>S3D</w:t>
      </w:r>
      <w:r w:rsidRPr="00E44B14">
        <w:rPr>
          <w:rFonts w:cstheme="minorHAnsi"/>
          <w:b/>
          <w:bCs/>
        </w:rPr>
        <w:t>: 1</w:t>
      </w:r>
      <w:r>
        <w:rPr>
          <w:rFonts w:cstheme="minorHAnsi"/>
          <w:b/>
          <w:bCs/>
        </w:rPr>
        <w:t>0</w:t>
      </w:r>
      <w:r w:rsidRPr="00E44B14">
        <w:rPr>
          <w:rFonts w:cstheme="minorHAnsi"/>
          <w:b/>
          <w:bCs/>
        </w:rPr>
        <w:t xml:space="preserve"> higher-risk MDR clusters; </w:t>
      </w:r>
      <w:r>
        <w:rPr>
          <w:rFonts w:cstheme="minorHAnsi"/>
          <w:b/>
          <w:bCs/>
        </w:rPr>
        <w:t>associations with household socioeconomic factors (n=515)</w:t>
      </w:r>
    </w:p>
    <w:p w14:paraId="71F43C31" w14:textId="77777777" w:rsidR="007077CC" w:rsidRDefault="007077CC" w:rsidP="007077CC">
      <w:pPr>
        <w:spacing w:line="360" w:lineRule="auto"/>
        <w:rPr>
          <w:rFonts w:cstheme="minorHAnsi"/>
          <w:b/>
          <w:bCs/>
        </w:rPr>
      </w:pPr>
      <w:r>
        <w:rPr>
          <w:rFonts w:cstheme="minorHAnsi"/>
          <w:b/>
          <w:bCs/>
          <w:noProof/>
        </w:rPr>
        <w:lastRenderedPageBreak/>
        <w:drawing>
          <wp:inline distT="0" distB="0" distL="0" distR="0" wp14:anchorId="6AEFEE62" wp14:editId="119914F3">
            <wp:extent cx="5319346" cy="3546034"/>
            <wp:effectExtent l="0" t="0" r="2540" b="0"/>
            <wp:docPr id="916929186" name="Picture 91692918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29186" name="Picture 5"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4985" cy="3549793"/>
                    </a:xfrm>
                    <a:prstGeom prst="rect">
                      <a:avLst/>
                    </a:prstGeom>
                  </pic:spPr>
                </pic:pic>
              </a:graphicData>
            </a:graphic>
          </wp:inline>
        </w:drawing>
      </w:r>
    </w:p>
    <w:p w14:paraId="41B60A00" w14:textId="77777777" w:rsidR="007077CC" w:rsidRDefault="007077CC" w:rsidP="007077CC">
      <w:pPr>
        <w:pStyle w:val="NoSpacing"/>
        <w:rPr>
          <w:sz w:val="20"/>
          <w:szCs w:val="20"/>
        </w:rPr>
      </w:pPr>
      <w:r w:rsidRPr="00537D7E">
        <w:rPr>
          <w:sz w:val="20"/>
          <w:szCs w:val="20"/>
        </w:rPr>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7FAA6AE7" w14:textId="77777777" w:rsidR="007077CC" w:rsidRDefault="007077CC" w:rsidP="007077CC">
      <w:pPr>
        <w:spacing w:line="360" w:lineRule="auto"/>
        <w:rPr>
          <w:rFonts w:cstheme="minorHAnsi"/>
          <w:b/>
          <w:bCs/>
        </w:rPr>
      </w:pPr>
    </w:p>
    <w:p w14:paraId="47D41601" w14:textId="77777777" w:rsidR="007077CC" w:rsidRDefault="007077CC" w:rsidP="007077CC">
      <w:pPr>
        <w:spacing w:line="360" w:lineRule="auto"/>
        <w:rPr>
          <w:rFonts w:cstheme="minorHAnsi"/>
          <w:b/>
          <w:bCs/>
        </w:rPr>
      </w:pPr>
    </w:p>
    <w:p w14:paraId="2E5D0865" w14:textId="77777777" w:rsidR="007077CC" w:rsidRDefault="007077CC" w:rsidP="007077CC">
      <w:pPr>
        <w:spacing w:line="360" w:lineRule="auto"/>
        <w:rPr>
          <w:rFonts w:cstheme="minorHAnsi"/>
          <w:b/>
          <w:bCs/>
        </w:rPr>
      </w:pPr>
      <w:r w:rsidRPr="00E44B14">
        <w:rPr>
          <w:rFonts w:cstheme="minorHAnsi"/>
          <w:b/>
          <w:bCs/>
        </w:rPr>
        <w:t xml:space="preserve">Figure </w:t>
      </w:r>
      <w:r>
        <w:rPr>
          <w:rFonts w:cstheme="minorHAnsi"/>
          <w:b/>
          <w:bCs/>
        </w:rPr>
        <w:t>S3E</w:t>
      </w:r>
      <w:r w:rsidRPr="00E44B14">
        <w:rPr>
          <w:rFonts w:cstheme="minorHAnsi"/>
          <w:b/>
          <w:bCs/>
        </w:rPr>
        <w:t>: 1</w:t>
      </w:r>
      <w:r>
        <w:rPr>
          <w:rFonts w:cstheme="minorHAnsi"/>
          <w:b/>
          <w:bCs/>
        </w:rPr>
        <w:t>0</w:t>
      </w:r>
      <w:r w:rsidRPr="00E44B14">
        <w:rPr>
          <w:rFonts w:cstheme="minorHAnsi"/>
          <w:b/>
          <w:bCs/>
        </w:rPr>
        <w:t xml:space="preserve"> higher-risk MDR clusters; </w:t>
      </w:r>
      <w:r>
        <w:rPr>
          <w:rFonts w:cstheme="minorHAnsi"/>
          <w:b/>
          <w:bCs/>
        </w:rPr>
        <w:t>associations with health and hygiene factors (n=515)</w:t>
      </w:r>
    </w:p>
    <w:p w14:paraId="4217D0F9" w14:textId="77777777" w:rsidR="007077CC" w:rsidRDefault="007077CC" w:rsidP="007077CC">
      <w:pPr>
        <w:spacing w:line="360" w:lineRule="auto"/>
        <w:rPr>
          <w:rFonts w:cstheme="minorHAnsi"/>
          <w:b/>
          <w:bCs/>
        </w:rPr>
      </w:pPr>
      <w:r>
        <w:rPr>
          <w:rFonts w:cstheme="minorHAnsi"/>
          <w:b/>
          <w:bCs/>
          <w:noProof/>
        </w:rPr>
        <w:lastRenderedPageBreak/>
        <w:drawing>
          <wp:inline distT="0" distB="0" distL="0" distR="0" wp14:anchorId="38C56A25" wp14:editId="0885EC4E">
            <wp:extent cx="5731510" cy="3820795"/>
            <wp:effectExtent l="0" t="0" r="2540" b="8255"/>
            <wp:docPr id="2014445813" name="Picture 20144458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5813" name="Picture 9"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26B8C8D6" w14:textId="77777777" w:rsidR="007077CC" w:rsidRDefault="007077CC" w:rsidP="007077CC">
      <w:pPr>
        <w:pStyle w:val="NoSpacing"/>
        <w:rPr>
          <w:sz w:val="20"/>
          <w:szCs w:val="20"/>
        </w:rPr>
      </w:pPr>
      <w:r w:rsidRPr="00537D7E">
        <w:rPr>
          <w:sz w:val="20"/>
          <w:szCs w:val="20"/>
        </w:rPr>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19FD6E32" w14:textId="77777777" w:rsidR="007077CC" w:rsidRPr="00C619DA" w:rsidRDefault="007077CC" w:rsidP="007077CC">
      <w:pPr>
        <w:pStyle w:val="NoSpacing"/>
        <w:rPr>
          <w:sz w:val="20"/>
          <w:szCs w:val="20"/>
        </w:rPr>
      </w:pPr>
    </w:p>
    <w:p w14:paraId="2A792D56" w14:textId="77777777" w:rsidR="007077CC" w:rsidRDefault="007077CC" w:rsidP="007077CC">
      <w:pPr>
        <w:spacing w:line="360" w:lineRule="auto"/>
        <w:rPr>
          <w:rFonts w:cstheme="minorHAnsi"/>
          <w:b/>
          <w:bCs/>
        </w:rPr>
      </w:pPr>
      <w:r w:rsidRPr="00E44B14">
        <w:rPr>
          <w:rFonts w:cstheme="minorHAnsi"/>
          <w:b/>
          <w:bCs/>
        </w:rPr>
        <w:t xml:space="preserve">Figure </w:t>
      </w:r>
      <w:r>
        <w:rPr>
          <w:rFonts w:cstheme="minorHAnsi"/>
          <w:b/>
          <w:bCs/>
        </w:rPr>
        <w:t>S3F</w:t>
      </w:r>
      <w:r w:rsidRPr="00E44B14">
        <w:rPr>
          <w:rFonts w:cstheme="minorHAnsi"/>
          <w:b/>
          <w:bCs/>
        </w:rPr>
        <w:t>: 1</w:t>
      </w:r>
      <w:r>
        <w:rPr>
          <w:rFonts w:cstheme="minorHAnsi"/>
          <w:b/>
          <w:bCs/>
        </w:rPr>
        <w:t>0</w:t>
      </w:r>
      <w:r w:rsidRPr="00E44B14">
        <w:rPr>
          <w:rFonts w:cstheme="minorHAnsi"/>
          <w:b/>
          <w:bCs/>
        </w:rPr>
        <w:t xml:space="preserve"> higher-risk MDR clusters; </w:t>
      </w:r>
      <w:r>
        <w:rPr>
          <w:rFonts w:cstheme="minorHAnsi"/>
          <w:b/>
          <w:bCs/>
        </w:rPr>
        <w:t xml:space="preserve">associations with health factors (n=515) </w:t>
      </w:r>
    </w:p>
    <w:p w14:paraId="05CD066D" w14:textId="77777777" w:rsidR="007077CC" w:rsidRDefault="007077CC" w:rsidP="007077CC">
      <w:pPr>
        <w:spacing w:line="360" w:lineRule="auto"/>
        <w:rPr>
          <w:rFonts w:cstheme="minorHAnsi"/>
          <w:b/>
          <w:bCs/>
        </w:rPr>
      </w:pPr>
      <w:r>
        <w:rPr>
          <w:rFonts w:cstheme="minorHAnsi"/>
          <w:b/>
          <w:bCs/>
          <w:noProof/>
        </w:rPr>
        <w:drawing>
          <wp:inline distT="0" distB="0" distL="0" distR="0" wp14:anchorId="14C71E2B" wp14:editId="35DD0315">
            <wp:extent cx="5731510" cy="3820795"/>
            <wp:effectExtent l="0" t="0" r="2540" b="8255"/>
            <wp:docPr id="1319557922" name="Picture 13195579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57922" name="Picture 10"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257C3055" w14:textId="77777777" w:rsidR="007077CC" w:rsidRDefault="007077CC" w:rsidP="007077CC">
      <w:pPr>
        <w:pStyle w:val="NoSpacing"/>
        <w:rPr>
          <w:sz w:val="20"/>
          <w:szCs w:val="20"/>
        </w:rPr>
      </w:pPr>
      <w:r w:rsidRPr="00537D7E">
        <w:rPr>
          <w:sz w:val="20"/>
          <w:szCs w:val="20"/>
        </w:rPr>
        <w:lastRenderedPageBreak/>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2856F137" w14:textId="77777777" w:rsidR="007077CC" w:rsidRDefault="007077CC" w:rsidP="007077CC">
      <w:pPr>
        <w:spacing w:line="360" w:lineRule="auto"/>
        <w:rPr>
          <w:rFonts w:cstheme="minorHAnsi"/>
          <w:b/>
          <w:bCs/>
        </w:rPr>
      </w:pPr>
    </w:p>
    <w:p w14:paraId="2A7097A2" w14:textId="77777777" w:rsidR="007077CC" w:rsidRDefault="007077CC" w:rsidP="007077CC">
      <w:pPr>
        <w:spacing w:line="360" w:lineRule="auto"/>
        <w:rPr>
          <w:rFonts w:cstheme="minorHAnsi"/>
          <w:b/>
          <w:bCs/>
        </w:rPr>
      </w:pPr>
      <w:r w:rsidRPr="00E44B14">
        <w:rPr>
          <w:rFonts w:cstheme="minorHAnsi"/>
          <w:b/>
          <w:bCs/>
        </w:rPr>
        <w:t xml:space="preserve">Figure </w:t>
      </w:r>
      <w:r>
        <w:rPr>
          <w:rFonts w:cstheme="minorHAnsi"/>
          <w:b/>
          <w:bCs/>
        </w:rPr>
        <w:t>S3G</w:t>
      </w:r>
      <w:r w:rsidRPr="00E44B14">
        <w:rPr>
          <w:rFonts w:cstheme="minorHAnsi"/>
          <w:b/>
          <w:bCs/>
        </w:rPr>
        <w:t>: 1</w:t>
      </w:r>
      <w:r>
        <w:rPr>
          <w:rFonts w:cstheme="minorHAnsi"/>
          <w:b/>
          <w:bCs/>
        </w:rPr>
        <w:t>0</w:t>
      </w:r>
      <w:r w:rsidRPr="00E44B14">
        <w:rPr>
          <w:rFonts w:cstheme="minorHAnsi"/>
          <w:b/>
          <w:bCs/>
        </w:rPr>
        <w:t xml:space="preserve"> higher-risk MDR clusters; </w:t>
      </w:r>
      <w:r>
        <w:rPr>
          <w:rFonts w:cstheme="minorHAnsi"/>
          <w:b/>
          <w:bCs/>
        </w:rPr>
        <w:t xml:space="preserve">associations age, work and urban/rural (n=515) </w:t>
      </w:r>
    </w:p>
    <w:p w14:paraId="3C75F4B9" w14:textId="77777777" w:rsidR="007077CC" w:rsidRDefault="007077CC" w:rsidP="007077CC">
      <w:pPr>
        <w:spacing w:line="360" w:lineRule="auto"/>
        <w:rPr>
          <w:rFonts w:cstheme="minorHAnsi"/>
          <w:b/>
          <w:bCs/>
        </w:rPr>
      </w:pPr>
      <w:r>
        <w:rPr>
          <w:rFonts w:cstheme="minorHAnsi"/>
          <w:b/>
          <w:bCs/>
          <w:noProof/>
        </w:rPr>
        <w:drawing>
          <wp:inline distT="0" distB="0" distL="0" distR="0" wp14:anchorId="7ACBFD97" wp14:editId="7ECC7633">
            <wp:extent cx="5731510" cy="3820795"/>
            <wp:effectExtent l="0" t="0" r="2540" b="8255"/>
            <wp:docPr id="143868542" name="Picture 14386854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8542" name="Picture 1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43A3301" w14:textId="77777777" w:rsidR="007077CC" w:rsidRDefault="007077CC" w:rsidP="007077CC">
      <w:pPr>
        <w:pStyle w:val="NoSpacing"/>
        <w:rPr>
          <w:sz w:val="20"/>
          <w:szCs w:val="20"/>
        </w:rPr>
      </w:pPr>
      <w:r w:rsidRPr="00537D7E">
        <w:rPr>
          <w:sz w:val="20"/>
          <w:szCs w:val="20"/>
        </w:rPr>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17C36005" w14:textId="77777777" w:rsidR="007077CC" w:rsidRPr="00C619DA" w:rsidRDefault="007077CC" w:rsidP="007077CC">
      <w:pPr>
        <w:pStyle w:val="NoSpacing"/>
        <w:rPr>
          <w:sz w:val="20"/>
          <w:szCs w:val="20"/>
        </w:rPr>
      </w:pPr>
    </w:p>
    <w:p w14:paraId="3D474B33" w14:textId="77777777" w:rsidR="007077CC" w:rsidRPr="00E44B14" w:rsidRDefault="007077CC" w:rsidP="007077CC">
      <w:pPr>
        <w:spacing w:line="360" w:lineRule="auto"/>
        <w:rPr>
          <w:rFonts w:cstheme="minorHAnsi"/>
          <w:b/>
          <w:bCs/>
        </w:rPr>
      </w:pPr>
      <w:r w:rsidRPr="00E44B14">
        <w:rPr>
          <w:rFonts w:cstheme="minorHAnsi"/>
          <w:b/>
          <w:bCs/>
        </w:rPr>
        <w:t xml:space="preserve">Figure </w:t>
      </w:r>
      <w:r>
        <w:rPr>
          <w:rFonts w:cstheme="minorHAnsi"/>
          <w:b/>
          <w:bCs/>
        </w:rPr>
        <w:t>S3H</w:t>
      </w:r>
      <w:r w:rsidRPr="00E44B14">
        <w:rPr>
          <w:rFonts w:cstheme="minorHAnsi"/>
          <w:b/>
          <w:bCs/>
        </w:rPr>
        <w:t>: 1</w:t>
      </w:r>
      <w:r>
        <w:rPr>
          <w:rFonts w:cstheme="minorHAnsi"/>
          <w:b/>
          <w:bCs/>
        </w:rPr>
        <w:t>0</w:t>
      </w:r>
      <w:r w:rsidRPr="00E44B14">
        <w:rPr>
          <w:rFonts w:cstheme="minorHAnsi"/>
          <w:b/>
          <w:bCs/>
        </w:rPr>
        <w:t xml:space="preserve"> higher-risk MDR clusters; </w:t>
      </w:r>
      <w:r>
        <w:rPr>
          <w:rFonts w:cstheme="minorHAnsi"/>
          <w:b/>
          <w:bCs/>
        </w:rPr>
        <w:t>associations with health and AB factors (n=515)</w:t>
      </w:r>
    </w:p>
    <w:p w14:paraId="731CC3E2" w14:textId="77777777" w:rsidR="007077CC" w:rsidRDefault="007077CC" w:rsidP="007077CC">
      <w:pPr>
        <w:spacing w:line="360" w:lineRule="auto"/>
        <w:rPr>
          <w:rFonts w:cstheme="minorHAnsi"/>
        </w:rPr>
      </w:pPr>
      <w:r>
        <w:rPr>
          <w:rFonts w:cstheme="minorHAnsi"/>
          <w:noProof/>
        </w:rPr>
        <w:lastRenderedPageBreak/>
        <w:drawing>
          <wp:inline distT="0" distB="0" distL="0" distR="0" wp14:anchorId="04DF7565" wp14:editId="0BA768B4">
            <wp:extent cx="5731510" cy="3820795"/>
            <wp:effectExtent l="0" t="0" r="2540" b="8255"/>
            <wp:docPr id="840491664" name="Picture 84049166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91664" name="Picture 1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193A592" w14:textId="77777777" w:rsidR="007077CC" w:rsidRDefault="007077CC" w:rsidP="007077CC">
      <w:pPr>
        <w:pStyle w:val="NoSpacing"/>
        <w:rPr>
          <w:sz w:val="20"/>
          <w:szCs w:val="20"/>
        </w:rPr>
      </w:pPr>
      <w:r w:rsidRPr="00537D7E">
        <w:rPr>
          <w:sz w:val="20"/>
          <w:szCs w:val="20"/>
        </w:rPr>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08439E3F" w14:textId="77777777" w:rsidR="007077CC" w:rsidRPr="00E44B14" w:rsidRDefault="007077CC" w:rsidP="007077CC">
      <w:pPr>
        <w:spacing w:line="360" w:lineRule="auto"/>
        <w:rPr>
          <w:rFonts w:cstheme="minorHAnsi"/>
        </w:rPr>
      </w:pPr>
    </w:p>
    <w:p w14:paraId="251A7FF3" w14:textId="77777777" w:rsidR="007077CC" w:rsidRPr="00E44B14" w:rsidRDefault="007077CC" w:rsidP="007077CC">
      <w:pPr>
        <w:spacing w:line="360" w:lineRule="auto"/>
        <w:rPr>
          <w:rFonts w:cstheme="minorHAnsi"/>
          <w:b/>
          <w:bCs/>
        </w:rPr>
      </w:pPr>
      <w:r>
        <w:rPr>
          <w:rFonts w:cstheme="minorHAnsi"/>
          <w:b/>
          <w:bCs/>
        </w:rPr>
        <w:t xml:space="preserve">Figure S3I: </w:t>
      </w:r>
      <w:r w:rsidRPr="00E44B14">
        <w:rPr>
          <w:rFonts w:cstheme="minorHAnsi"/>
          <w:b/>
          <w:bCs/>
        </w:rPr>
        <w:t>1</w:t>
      </w:r>
      <w:r>
        <w:rPr>
          <w:rFonts w:cstheme="minorHAnsi"/>
          <w:b/>
          <w:bCs/>
        </w:rPr>
        <w:t>0</w:t>
      </w:r>
      <w:r w:rsidRPr="00E44B14">
        <w:rPr>
          <w:rFonts w:cstheme="minorHAnsi"/>
          <w:b/>
          <w:bCs/>
        </w:rPr>
        <w:t xml:space="preserve"> higher-risk MDR clusters; associations with </w:t>
      </w:r>
      <w:r>
        <w:rPr>
          <w:rFonts w:cstheme="minorHAnsi"/>
          <w:b/>
          <w:bCs/>
        </w:rPr>
        <w:t>international travel, heard of AMR, experienced AMR (n=515)</w:t>
      </w:r>
    </w:p>
    <w:p w14:paraId="04AB5570" w14:textId="77777777" w:rsidR="007077CC" w:rsidRDefault="007077CC" w:rsidP="007077CC">
      <w:pPr>
        <w:rPr>
          <w:rFonts w:cstheme="minorHAnsi"/>
          <w:b/>
          <w:bCs/>
        </w:rPr>
      </w:pPr>
      <w:r>
        <w:rPr>
          <w:rFonts w:cstheme="minorHAnsi"/>
          <w:b/>
          <w:bCs/>
          <w:noProof/>
        </w:rPr>
        <w:lastRenderedPageBreak/>
        <w:drawing>
          <wp:inline distT="0" distB="0" distL="0" distR="0" wp14:anchorId="30688008" wp14:editId="3404870D">
            <wp:extent cx="5731510" cy="3820795"/>
            <wp:effectExtent l="0" t="0" r="2540" b="8255"/>
            <wp:docPr id="968687966" name="Picture 96868796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87966" name="Picture 13"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BF95A17" w14:textId="77777777" w:rsidR="007077CC" w:rsidRDefault="007077CC" w:rsidP="007077CC">
      <w:pPr>
        <w:pStyle w:val="NoSpacing"/>
        <w:rPr>
          <w:sz w:val="20"/>
          <w:szCs w:val="20"/>
        </w:rPr>
      </w:pPr>
      <w:r w:rsidRPr="00537D7E">
        <w:rPr>
          <w:sz w:val="20"/>
          <w:szCs w:val="20"/>
        </w:rPr>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68020B3B" w14:textId="77777777" w:rsidR="007077CC" w:rsidRPr="00C619DA" w:rsidRDefault="007077CC" w:rsidP="007077CC">
      <w:pPr>
        <w:pStyle w:val="NoSpacing"/>
        <w:rPr>
          <w:sz w:val="20"/>
          <w:szCs w:val="20"/>
        </w:rPr>
      </w:pPr>
    </w:p>
    <w:p w14:paraId="3175BF56" w14:textId="77777777" w:rsidR="007077CC" w:rsidRDefault="007077CC" w:rsidP="007077CC">
      <w:pPr>
        <w:spacing w:line="360" w:lineRule="auto"/>
        <w:rPr>
          <w:rFonts w:cstheme="minorHAnsi"/>
          <w:b/>
          <w:bCs/>
        </w:rPr>
      </w:pPr>
      <w:r>
        <w:rPr>
          <w:rFonts w:cstheme="minorHAnsi"/>
          <w:b/>
          <w:bCs/>
        </w:rPr>
        <w:t xml:space="preserve">Figure S3J: </w:t>
      </w:r>
      <w:r w:rsidRPr="00E44B14">
        <w:rPr>
          <w:rFonts w:cstheme="minorHAnsi"/>
          <w:b/>
          <w:bCs/>
        </w:rPr>
        <w:t>1</w:t>
      </w:r>
      <w:r>
        <w:rPr>
          <w:rFonts w:cstheme="minorHAnsi"/>
          <w:b/>
          <w:bCs/>
        </w:rPr>
        <w:t>0</w:t>
      </w:r>
      <w:r w:rsidRPr="00E44B14">
        <w:rPr>
          <w:rFonts w:cstheme="minorHAnsi"/>
          <w:b/>
          <w:bCs/>
        </w:rPr>
        <w:t xml:space="preserve"> higher-risk MDR clusters; associations </w:t>
      </w:r>
      <w:r>
        <w:rPr>
          <w:rFonts w:cstheme="minorHAnsi"/>
          <w:b/>
          <w:bCs/>
        </w:rPr>
        <w:t>with education (n=515)</w:t>
      </w:r>
    </w:p>
    <w:p w14:paraId="0D3A051C" w14:textId="77777777" w:rsidR="007077CC" w:rsidRDefault="007077CC" w:rsidP="007077CC">
      <w:pPr>
        <w:spacing w:line="360" w:lineRule="auto"/>
        <w:rPr>
          <w:rFonts w:cstheme="minorHAnsi"/>
          <w:b/>
          <w:bCs/>
        </w:rPr>
      </w:pPr>
      <w:r>
        <w:rPr>
          <w:rFonts w:cstheme="minorHAnsi"/>
          <w:b/>
          <w:bCs/>
          <w:noProof/>
        </w:rPr>
        <w:drawing>
          <wp:inline distT="0" distB="0" distL="0" distR="0" wp14:anchorId="2CBDD6E4" wp14:editId="09E9A227">
            <wp:extent cx="5731510" cy="3820795"/>
            <wp:effectExtent l="0" t="0" r="0" b="1905"/>
            <wp:docPr id="1835172728" name="Picture 1835172728" descr="A graph of different colored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2728" name="Picture 14" descr="A graph of different colored and black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6120" cy="3843867"/>
                    </a:xfrm>
                    <a:prstGeom prst="rect">
                      <a:avLst/>
                    </a:prstGeom>
                  </pic:spPr>
                </pic:pic>
              </a:graphicData>
            </a:graphic>
          </wp:inline>
        </w:drawing>
      </w:r>
    </w:p>
    <w:p w14:paraId="05E2C5DD" w14:textId="77777777" w:rsidR="007077CC" w:rsidRDefault="007077CC" w:rsidP="007077CC">
      <w:pPr>
        <w:pStyle w:val="NoSpacing"/>
        <w:rPr>
          <w:sz w:val="20"/>
          <w:szCs w:val="20"/>
        </w:rPr>
      </w:pPr>
      <w:r w:rsidRPr="00537D7E">
        <w:rPr>
          <w:sz w:val="20"/>
          <w:szCs w:val="20"/>
        </w:rPr>
        <w:lastRenderedPageBreak/>
        <w:t xml:space="preserve">Note: Blue colours represent clusters with low risk of </w:t>
      </w:r>
      <w:r>
        <w:rPr>
          <w:sz w:val="20"/>
          <w:szCs w:val="20"/>
        </w:rPr>
        <w:t>the outcome</w:t>
      </w:r>
      <w:r w:rsidRPr="00537D7E">
        <w:rPr>
          <w:sz w:val="20"/>
          <w:szCs w:val="20"/>
        </w:rPr>
        <w:t xml:space="preserve">; green colours indicate clusters with average risk of </w:t>
      </w:r>
      <w:r>
        <w:rPr>
          <w:sz w:val="20"/>
          <w:szCs w:val="20"/>
        </w:rPr>
        <w:t>outcome</w:t>
      </w:r>
      <w:r w:rsidRPr="00537D7E">
        <w:rPr>
          <w:sz w:val="20"/>
          <w:szCs w:val="20"/>
        </w:rPr>
        <w:t xml:space="preserve">, and red colours indicate clusters with high risk of </w:t>
      </w:r>
      <w:r>
        <w:rPr>
          <w:sz w:val="20"/>
          <w:szCs w:val="20"/>
        </w:rPr>
        <w:t>the outcome</w:t>
      </w:r>
    </w:p>
    <w:p w14:paraId="67CD55B9" w14:textId="77777777" w:rsidR="009D1622" w:rsidRDefault="009D1622"/>
    <w:sectPr w:rsidR="009D1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C"/>
    <w:rsid w:val="00105C21"/>
    <w:rsid w:val="004048CC"/>
    <w:rsid w:val="007077CC"/>
    <w:rsid w:val="009D1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1EB29"/>
  <w15:chartTrackingRefBased/>
  <w15:docId w15:val="{312FE60D-0BE4-7B47-80E4-20B83C7C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CC"/>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7077CC"/>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077CC"/>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077CC"/>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077CC"/>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077CC"/>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077CC"/>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077CC"/>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077CC"/>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077CC"/>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CC"/>
    <w:rPr>
      <w:rFonts w:eastAsiaTheme="majorEastAsia" w:cstheme="majorBidi"/>
      <w:color w:val="272727" w:themeColor="text1" w:themeTint="D8"/>
    </w:rPr>
  </w:style>
  <w:style w:type="paragraph" w:styleId="Title">
    <w:name w:val="Title"/>
    <w:basedOn w:val="Normal"/>
    <w:next w:val="Normal"/>
    <w:link w:val="TitleChar"/>
    <w:uiPriority w:val="10"/>
    <w:qFormat/>
    <w:rsid w:val="007077C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0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CC"/>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0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CC"/>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077CC"/>
    <w:rPr>
      <w:i/>
      <w:iCs/>
      <w:color w:val="404040" w:themeColor="text1" w:themeTint="BF"/>
    </w:rPr>
  </w:style>
  <w:style w:type="paragraph" w:styleId="ListParagraph">
    <w:name w:val="List Paragraph"/>
    <w:basedOn w:val="Normal"/>
    <w:uiPriority w:val="34"/>
    <w:qFormat/>
    <w:rsid w:val="007077CC"/>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077CC"/>
    <w:rPr>
      <w:i/>
      <w:iCs/>
      <w:color w:val="0F4761" w:themeColor="accent1" w:themeShade="BF"/>
    </w:rPr>
  </w:style>
  <w:style w:type="paragraph" w:styleId="IntenseQuote">
    <w:name w:val="Intense Quote"/>
    <w:basedOn w:val="Normal"/>
    <w:next w:val="Normal"/>
    <w:link w:val="IntenseQuoteChar"/>
    <w:uiPriority w:val="30"/>
    <w:qFormat/>
    <w:rsid w:val="007077CC"/>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077CC"/>
    <w:rPr>
      <w:i/>
      <w:iCs/>
      <w:color w:val="0F4761" w:themeColor="accent1" w:themeShade="BF"/>
    </w:rPr>
  </w:style>
  <w:style w:type="character" w:styleId="IntenseReference">
    <w:name w:val="Intense Reference"/>
    <w:basedOn w:val="DefaultParagraphFont"/>
    <w:uiPriority w:val="32"/>
    <w:qFormat/>
    <w:rsid w:val="007077CC"/>
    <w:rPr>
      <w:b/>
      <w:bCs/>
      <w:smallCaps/>
      <w:color w:val="0F4761" w:themeColor="accent1" w:themeShade="BF"/>
      <w:spacing w:val="5"/>
    </w:rPr>
  </w:style>
  <w:style w:type="paragraph" w:styleId="NoSpacing">
    <w:name w:val="No Spacing"/>
    <w:uiPriority w:val="1"/>
    <w:qFormat/>
    <w:rsid w:val="007077CC"/>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466</Words>
  <Characters>2641</Characters>
  <Application>Microsoft Office Word</Application>
  <DocSecurity>0</DocSecurity>
  <Lines>66</Lines>
  <Paragraphs>34</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Keenan</dc:creator>
  <cp:keywords/>
  <dc:description/>
  <cp:lastModifiedBy>Katy Keenan</cp:lastModifiedBy>
  <cp:revision>1</cp:revision>
  <dcterms:created xsi:type="dcterms:W3CDTF">2024-09-20T14:48:00Z</dcterms:created>
  <dcterms:modified xsi:type="dcterms:W3CDTF">2024-09-20T14:49:00Z</dcterms:modified>
</cp:coreProperties>
</file>