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5829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Aim 3: Early environment and limbic functional connectivity at 2 years</w:t>
      </w:r>
    </w:p>
    <w:p w14:paraId="3CA1E01B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Research question</w:t>
      </w:r>
    </w:p>
    <w:p w14:paraId="291F4307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Is prenatal early environment associated with limbic and limbic-regulatory functional connectivity at 2 years of age, and are these associations moderated by child sleep duration?</w:t>
      </w:r>
    </w:p>
    <w:p w14:paraId="2F5B3E82" w14:textId="3BE6226A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5A79C855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Data sources and analytic sample</w:t>
      </w:r>
    </w:p>
    <w:p w14:paraId="0D074D2F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Early environment</w:t>
      </w:r>
    </w:p>
    <w:p w14:paraId="6C28B18E" w14:textId="77777777" w:rsidR="00B3672F" w:rsidRPr="00B3672F" w:rsidRDefault="00B3672F" w:rsidP="00B3672F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Source: data_lpa_with_class_K4</w:t>
      </w:r>
    </w:p>
    <w:p w14:paraId="7030783D" w14:textId="77777777" w:rsidR="00B3672F" w:rsidRPr="00B3672F" w:rsidRDefault="00B3672F" w:rsidP="00B3672F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Variables:</w:t>
      </w:r>
    </w:p>
    <w:p w14:paraId="0E81AC7B" w14:textId="77777777" w:rsidR="00B3672F" w:rsidRPr="00B3672F" w:rsidRDefault="00B3672F" w:rsidP="00B3672F">
      <w:pPr>
        <w:numPr>
          <w:ilvl w:val="1"/>
          <w:numId w:val="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Latent profile assignment from 4-class mixed-indicator LPA</w:t>
      </w:r>
    </w:p>
    <w:p w14:paraId="1FC2A8F4" w14:textId="77777777" w:rsidR="00B3672F" w:rsidRPr="00B3672F" w:rsidRDefault="00B3672F" w:rsidP="00B3672F">
      <w:pPr>
        <w:numPr>
          <w:ilvl w:val="1"/>
          <w:numId w:val="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PC scores: PC1_varimax, PC2_varimax, PC3_varimax</w:t>
      </w:r>
    </w:p>
    <w:p w14:paraId="09D849F2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Neuroimaging</w:t>
      </w:r>
    </w:p>
    <w:p w14:paraId="49999052" w14:textId="77777777" w:rsidR="00B3672F" w:rsidRPr="00B3672F" w:rsidRDefault="00B3672F" w:rsidP="00B3672F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Modality: resting-state fMRI at 2 years</w:t>
      </w:r>
    </w:p>
    <w:p w14:paraId="2342779A" w14:textId="77777777" w:rsidR="00B3672F" w:rsidRPr="00B3672F" w:rsidRDefault="00B3672F" w:rsidP="00B3672F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 xml:space="preserve">Source: </w:t>
      </w:r>
      <w:proofErr w:type="spellStart"/>
      <w:r w:rsidRPr="00B3672F">
        <w:rPr>
          <w:rFonts w:asciiTheme="majorHAnsi" w:hAnsiTheme="majorHAnsi"/>
          <w:sz w:val="22"/>
          <w:szCs w:val="22"/>
        </w:rPr>
        <w:t>brain_subset</w:t>
      </w:r>
      <w:proofErr w:type="spellEnd"/>
    </w:p>
    <w:p w14:paraId="47F3124E" w14:textId="77777777" w:rsidR="00B3672F" w:rsidRPr="00B3672F" w:rsidRDefault="00B3672F" w:rsidP="00B3672F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 xml:space="preserve">Atlas: </w:t>
      </w:r>
      <w:r w:rsidRPr="00B3672F">
        <w:rPr>
          <w:rFonts w:asciiTheme="majorHAnsi" w:hAnsiTheme="majorHAnsi"/>
          <w:b/>
          <w:bCs/>
          <w:sz w:val="22"/>
          <w:szCs w:val="22"/>
        </w:rPr>
        <w:t>2-year AAL atlas (AAL-2YRS)</w:t>
      </w:r>
    </w:p>
    <w:p w14:paraId="53121F7D" w14:textId="77777777" w:rsidR="00B3672F" w:rsidRPr="00B3672F" w:rsidRDefault="00B3672F" w:rsidP="00B3672F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Preprocessing notes from data provider:</w:t>
      </w:r>
    </w:p>
    <w:p w14:paraId="794EE07D" w14:textId="77777777" w:rsidR="00B3672F" w:rsidRPr="00B3672F" w:rsidRDefault="00B3672F" w:rsidP="00B3672F">
      <w:pPr>
        <w:numPr>
          <w:ilvl w:val="1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Volumes with &gt; 1 mm motion removed</w:t>
      </w:r>
    </w:p>
    <w:p w14:paraId="620712B2" w14:textId="77777777" w:rsidR="00B3672F" w:rsidRPr="00B3672F" w:rsidRDefault="00B3672F" w:rsidP="00B3672F">
      <w:pPr>
        <w:numPr>
          <w:ilvl w:val="1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Time series truncated after motion removal</w:t>
      </w:r>
    </w:p>
    <w:p w14:paraId="44651719" w14:textId="77777777" w:rsidR="00B3672F" w:rsidRPr="00B3672F" w:rsidRDefault="00B3672F" w:rsidP="00B3672F">
      <w:pPr>
        <w:numPr>
          <w:ilvl w:val="1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Relative mean displacement &lt; 0.25 mm for all participants</w:t>
      </w:r>
    </w:p>
    <w:p w14:paraId="7533EB27" w14:textId="77777777" w:rsidR="00B3672F" w:rsidRPr="00B3672F" w:rsidRDefault="00B3672F" w:rsidP="00B3672F">
      <w:pPr>
        <w:numPr>
          <w:ilvl w:val="1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Motion covariate not included, consistent with prior publications using this dataset</w:t>
      </w:r>
    </w:p>
    <w:p w14:paraId="63D12589" w14:textId="77777777" w:rsidR="00B3672F" w:rsidRPr="00B3672F" w:rsidRDefault="00B3672F" w:rsidP="00B3672F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Covariates:</w:t>
      </w:r>
    </w:p>
    <w:p w14:paraId="6999E809" w14:textId="77777777" w:rsidR="00B3672F" w:rsidRPr="00B3672F" w:rsidRDefault="00B3672F" w:rsidP="00B3672F">
      <w:pPr>
        <w:numPr>
          <w:ilvl w:val="1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Age at scan (days)</w:t>
      </w:r>
    </w:p>
    <w:p w14:paraId="5067975B" w14:textId="77777777" w:rsidR="00B3672F" w:rsidRPr="00B3672F" w:rsidRDefault="00B3672F" w:rsidP="00B3672F">
      <w:pPr>
        <w:numPr>
          <w:ilvl w:val="1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Infant sex (1 = F, 2 = M)</w:t>
      </w:r>
    </w:p>
    <w:p w14:paraId="31266217" w14:textId="77777777" w:rsidR="00B3672F" w:rsidRPr="00B3672F" w:rsidRDefault="00B3672F" w:rsidP="00B3672F">
      <w:pPr>
        <w:numPr>
          <w:ilvl w:val="1"/>
          <w:numId w:val="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Scan site (2 sites)</w:t>
      </w:r>
    </w:p>
    <w:p w14:paraId="288DD2A4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Sleep</w:t>
      </w:r>
    </w:p>
    <w:p w14:paraId="63D69F97" w14:textId="77777777" w:rsidR="00B3672F" w:rsidRPr="00B3672F" w:rsidRDefault="00B3672F" w:rsidP="00B3672F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Source: aim2_sleep_completecases_modelready</w:t>
      </w:r>
    </w:p>
    <w:p w14:paraId="3BB53EAB" w14:textId="77777777" w:rsidR="00B3672F" w:rsidRPr="00B3672F" w:rsidRDefault="00B3672F" w:rsidP="00B3672F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Variable:</w:t>
      </w:r>
    </w:p>
    <w:p w14:paraId="333205A8" w14:textId="77777777" w:rsidR="00B3672F" w:rsidRPr="00B3672F" w:rsidRDefault="00B3672F" w:rsidP="00B3672F">
      <w:pPr>
        <w:numPr>
          <w:ilvl w:val="1"/>
          <w:numId w:val="3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m24_bisq_16_01, index of infant sleep duration at 2 years</w:t>
      </w:r>
    </w:p>
    <w:p w14:paraId="210FC836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Final imaging sample</w:t>
      </w:r>
    </w:p>
    <w:p w14:paraId="758092B6" w14:textId="77777777" w:rsidR="00B3672F" w:rsidRPr="00B3672F" w:rsidRDefault="00B3672F" w:rsidP="00B3672F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Inclusion required complete data for:</w:t>
      </w:r>
    </w:p>
    <w:p w14:paraId="60893AD0" w14:textId="77777777" w:rsidR="00B3672F" w:rsidRPr="00B3672F" w:rsidRDefault="00B3672F" w:rsidP="00B3672F">
      <w:pPr>
        <w:numPr>
          <w:ilvl w:val="1"/>
          <w:numId w:val="4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LPA class</w:t>
      </w:r>
    </w:p>
    <w:p w14:paraId="0BA23095" w14:textId="77777777" w:rsidR="00B3672F" w:rsidRPr="00B3672F" w:rsidRDefault="00B3672F" w:rsidP="00B3672F">
      <w:pPr>
        <w:numPr>
          <w:ilvl w:val="1"/>
          <w:numId w:val="4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PC scores</w:t>
      </w:r>
    </w:p>
    <w:p w14:paraId="682E70A2" w14:textId="77777777" w:rsidR="00B3672F" w:rsidRPr="00B3672F" w:rsidRDefault="00B3672F" w:rsidP="00B3672F">
      <w:pPr>
        <w:numPr>
          <w:ilvl w:val="1"/>
          <w:numId w:val="4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Functional connectivity</w:t>
      </w:r>
    </w:p>
    <w:p w14:paraId="58A3F302" w14:textId="77777777" w:rsidR="00B3672F" w:rsidRPr="00B3672F" w:rsidRDefault="00B3672F" w:rsidP="00B3672F">
      <w:pPr>
        <w:numPr>
          <w:ilvl w:val="1"/>
          <w:numId w:val="4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Covariates</w:t>
      </w:r>
    </w:p>
    <w:p w14:paraId="24AE6CBE" w14:textId="77777777" w:rsidR="00B3672F" w:rsidRPr="00B3672F" w:rsidRDefault="00B3672F" w:rsidP="00B3672F">
      <w:pPr>
        <w:numPr>
          <w:ilvl w:val="0"/>
          <w:numId w:val="4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 xml:space="preserve">Final N = </w:t>
      </w:r>
      <w:r w:rsidRPr="00B3672F">
        <w:rPr>
          <w:rFonts w:asciiTheme="majorHAnsi" w:hAnsiTheme="majorHAnsi"/>
          <w:b/>
          <w:bCs/>
          <w:sz w:val="22"/>
          <w:szCs w:val="22"/>
        </w:rPr>
        <w:t>56</w:t>
      </w:r>
    </w:p>
    <w:p w14:paraId="528E86C5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Imaging subsample by latent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447"/>
      </w:tblGrid>
      <w:tr w:rsidR="00B3672F" w:rsidRPr="00B3672F" w14:paraId="0A87D805" w14:textId="77777777" w:rsidTr="00B05A38">
        <w:tc>
          <w:tcPr>
            <w:tcW w:w="0" w:type="auto"/>
            <w:hideMark/>
          </w:tcPr>
          <w:p w14:paraId="40D513ED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LPA class</w:t>
            </w:r>
          </w:p>
        </w:tc>
        <w:tc>
          <w:tcPr>
            <w:tcW w:w="0" w:type="auto"/>
            <w:hideMark/>
          </w:tcPr>
          <w:p w14:paraId="496A3534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n</w:t>
            </w:r>
          </w:p>
        </w:tc>
      </w:tr>
      <w:tr w:rsidR="00B3672F" w:rsidRPr="00B3672F" w14:paraId="77E27B25" w14:textId="77777777" w:rsidTr="00B05A38">
        <w:tc>
          <w:tcPr>
            <w:tcW w:w="0" w:type="auto"/>
            <w:hideMark/>
          </w:tcPr>
          <w:p w14:paraId="18770046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Class 3</w:t>
            </w:r>
          </w:p>
        </w:tc>
        <w:tc>
          <w:tcPr>
            <w:tcW w:w="0" w:type="auto"/>
            <w:hideMark/>
          </w:tcPr>
          <w:p w14:paraId="285249B5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27</w:t>
            </w:r>
          </w:p>
        </w:tc>
      </w:tr>
      <w:tr w:rsidR="00B3672F" w:rsidRPr="00B3672F" w14:paraId="00120B3F" w14:textId="77777777" w:rsidTr="00B05A38">
        <w:tc>
          <w:tcPr>
            <w:tcW w:w="0" w:type="auto"/>
            <w:hideMark/>
          </w:tcPr>
          <w:p w14:paraId="469B24D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Class 1</w:t>
            </w:r>
          </w:p>
        </w:tc>
        <w:tc>
          <w:tcPr>
            <w:tcW w:w="0" w:type="auto"/>
            <w:hideMark/>
          </w:tcPr>
          <w:p w14:paraId="48E1233F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15</w:t>
            </w:r>
          </w:p>
        </w:tc>
      </w:tr>
      <w:tr w:rsidR="00B3672F" w:rsidRPr="00B3672F" w14:paraId="2F0A6B9F" w14:textId="77777777" w:rsidTr="00B05A38">
        <w:tc>
          <w:tcPr>
            <w:tcW w:w="0" w:type="auto"/>
            <w:hideMark/>
          </w:tcPr>
          <w:p w14:paraId="4F461DD1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Class 2</w:t>
            </w:r>
          </w:p>
        </w:tc>
        <w:tc>
          <w:tcPr>
            <w:tcW w:w="0" w:type="auto"/>
            <w:hideMark/>
          </w:tcPr>
          <w:p w14:paraId="4FF2C20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8</w:t>
            </w:r>
          </w:p>
        </w:tc>
      </w:tr>
      <w:tr w:rsidR="00B3672F" w:rsidRPr="00B3672F" w14:paraId="542AABEE" w14:textId="77777777" w:rsidTr="00B05A38">
        <w:tc>
          <w:tcPr>
            <w:tcW w:w="0" w:type="auto"/>
            <w:hideMark/>
          </w:tcPr>
          <w:p w14:paraId="3DCF8DE0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Class 4</w:t>
            </w:r>
          </w:p>
        </w:tc>
        <w:tc>
          <w:tcPr>
            <w:tcW w:w="0" w:type="auto"/>
            <w:hideMark/>
          </w:tcPr>
          <w:p w14:paraId="5E829F6B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6</w:t>
            </w:r>
          </w:p>
        </w:tc>
      </w:tr>
    </w:tbl>
    <w:p w14:paraId="04129E0F" w14:textId="06C31A9F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59465BB2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Latent profile definitions (full LPA sample)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5024"/>
        <w:gridCol w:w="3577"/>
      </w:tblGrid>
      <w:tr w:rsidR="00B3672F" w:rsidRPr="00B3672F" w14:paraId="11EF2395" w14:textId="77777777" w:rsidTr="00F73E67">
        <w:tc>
          <w:tcPr>
            <w:tcW w:w="0" w:type="auto"/>
            <w:hideMark/>
          </w:tcPr>
          <w:p w14:paraId="7B38A8FB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hideMark/>
          </w:tcPr>
          <w:p w14:paraId="47B7A5E9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Profile summary</w:t>
            </w:r>
          </w:p>
        </w:tc>
        <w:tc>
          <w:tcPr>
            <w:tcW w:w="0" w:type="auto"/>
            <w:hideMark/>
          </w:tcPr>
          <w:p w14:paraId="6B64B7E1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Proposed label</w:t>
            </w:r>
          </w:p>
        </w:tc>
      </w:tr>
      <w:tr w:rsidR="00B3672F" w:rsidRPr="00B3672F" w14:paraId="2888064A" w14:textId="77777777" w:rsidTr="00F73E67">
        <w:tc>
          <w:tcPr>
            <w:tcW w:w="0" w:type="auto"/>
            <w:hideMark/>
          </w:tcPr>
          <w:p w14:paraId="1E34D3E3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BB16D40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Moderate psychosocial distress with intermediate material security and resilience</w:t>
            </w:r>
          </w:p>
        </w:tc>
        <w:tc>
          <w:tcPr>
            <w:tcW w:w="0" w:type="auto"/>
            <w:hideMark/>
          </w:tcPr>
          <w:p w14:paraId="10B91C86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Moderate psychosocial distress</w:t>
            </w:r>
          </w:p>
        </w:tc>
      </w:tr>
      <w:tr w:rsidR="00B3672F" w:rsidRPr="00B3672F" w14:paraId="079A52A8" w14:textId="77777777" w:rsidTr="00F73E67">
        <w:tc>
          <w:tcPr>
            <w:tcW w:w="0" w:type="auto"/>
            <w:hideMark/>
          </w:tcPr>
          <w:p w14:paraId="056614E9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83CE1D2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High psychosocial distress plus material adversity, younger maternal age, lower resilience</w:t>
            </w:r>
          </w:p>
        </w:tc>
        <w:tc>
          <w:tcPr>
            <w:tcW w:w="0" w:type="auto"/>
            <w:hideMark/>
          </w:tcPr>
          <w:p w14:paraId="12B01174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High psychosocial and material adversity</w:t>
            </w:r>
          </w:p>
        </w:tc>
      </w:tr>
      <w:tr w:rsidR="00B3672F" w:rsidRPr="00B3672F" w14:paraId="63464CA7" w14:textId="77777777" w:rsidTr="00F73E67">
        <w:tc>
          <w:tcPr>
            <w:tcW w:w="0" w:type="auto"/>
            <w:hideMark/>
          </w:tcPr>
          <w:p w14:paraId="46619D65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9E00588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Low distress, higher education and income, older maternal age, higher resilience</w:t>
            </w:r>
          </w:p>
        </w:tc>
        <w:tc>
          <w:tcPr>
            <w:tcW w:w="0" w:type="auto"/>
            <w:hideMark/>
          </w:tcPr>
          <w:p w14:paraId="12410415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B3672F">
              <w:rPr>
                <w:rFonts w:asciiTheme="majorHAnsi" w:hAnsiTheme="majorHAnsi"/>
                <w:sz w:val="22"/>
                <w:szCs w:val="22"/>
              </w:rPr>
              <w:t>Sociodemographically</w:t>
            </w:r>
            <w:proofErr w:type="spellEnd"/>
            <w:r w:rsidRPr="00B3672F">
              <w:rPr>
                <w:rFonts w:asciiTheme="majorHAnsi" w:hAnsiTheme="majorHAnsi"/>
                <w:sz w:val="22"/>
                <w:szCs w:val="22"/>
              </w:rPr>
              <w:t xml:space="preserve"> advantaged and low distress</w:t>
            </w:r>
          </w:p>
        </w:tc>
      </w:tr>
      <w:tr w:rsidR="00B3672F" w:rsidRPr="00B3672F" w14:paraId="06DA1288" w14:textId="77777777" w:rsidTr="00F73E67">
        <w:tc>
          <w:tcPr>
            <w:tcW w:w="0" w:type="auto"/>
            <w:hideMark/>
          </w:tcPr>
          <w:p w14:paraId="1AF79742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7728ABB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Lowest psychosocial distress, stable housing and food security, higher resilience</w:t>
            </w:r>
          </w:p>
        </w:tc>
        <w:tc>
          <w:tcPr>
            <w:tcW w:w="0" w:type="auto"/>
            <w:hideMark/>
          </w:tcPr>
          <w:p w14:paraId="7040F3E9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Low psychosocial distress</w:t>
            </w:r>
          </w:p>
        </w:tc>
      </w:tr>
    </w:tbl>
    <w:p w14:paraId="770599A2" w14:textId="0737A438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2CE3DED4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PCA dimensions from Aim 1</w:t>
      </w:r>
    </w:p>
    <w:p w14:paraId="3CE831F9" w14:textId="77777777" w:rsidR="00B3672F" w:rsidRPr="00B3672F" w:rsidRDefault="00B3672F" w:rsidP="00B3672F">
      <w:pPr>
        <w:numPr>
          <w:ilvl w:val="0"/>
          <w:numId w:val="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PC1 (30.3% variance)</w:t>
      </w:r>
      <w:r w:rsidRPr="00B3672F">
        <w:rPr>
          <w:rFonts w:asciiTheme="majorHAnsi" w:hAnsiTheme="majorHAnsi"/>
          <w:sz w:val="22"/>
          <w:szCs w:val="22"/>
        </w:rPr>
        <w:br/>
        <w:t>Psychosocial distress dimension</w:t>
      </w:r>
      <w:r w:rsidRPr="00B3672F">
        <w:rPr>
          <w:rFonts w:asciiTheme="majorHAnsi" w:hAnsiTheme="majorHAnsi"/>
          <w:sz w:val="22"/>
          <w:szCs w:val="22"/>
        </w:rPr>
        <w:br/>
        <w:t>High depressive symptoms, anxiety, sleep disturbance</w:t>
      </w:r>
      <w:r w:rsidRPr="00B3672F">
        <w:rPr>
          <w:rFonts w:asciiTheme="majorHAnsi" w:hAnsiTheme="majorHAnsi"/>
          <w:sz w:val="22"/>
          <w:szCs w:val="22"/>
        </w:rPr>
        <w:br/>
        <w:t>Negative loading for social support</w:t>
      </w:r>
    </w:p>
    <w:p w14:paraId="32D1F7D2" w14:textId="77777777" w:rsidR="00B3672F" w:rsidRPr="00B3672F" w:rsidRDefault="00B3672F" w:rsidP="00B3672F">
      <w:pPr>
        <w:numPr>
          <w:ilvl w:val="0"/>
          <w:numId w:val="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PC2 (14.8% variance)</w:t>
      </w:r>
      <w:r w:rsidRPr="00B3672F">
        <w:rPr>
          <w:rFonts w:asciiTheme="majorHAnsi" w:hAnsiTheme="majorHAnsi"/>
          <w:sz w:val="22"/>
          <w:szCs w:val="22"/>
        </w:rPr>
        <w:br/>
        <w:t>Health behaviors and body composition</w:t>
      </w:r>
      <w:r w:rsidRPr="00B3672F">
        <w:rPr>
          <w:rFonts w:asciiTheme="majorHAnsi" w:hAnsiTheme="majorHAnsi"/>
          <w:sz w:val="22"/>
          <w:szCs w:val="22"/>
        </w:rPr>
        <w:br/>
        <w:t>Higher pre-pregnancy BMI</w:t>
      </w:r>
      <w:r w:rsidRPr="00B3672F">
        <w:rPr>
          <w:rFonts w:asciiTheme="majorHAnsi" w:hAnsiTheme="majorHAnsi"/>
          <w:sz w:val="22"/>
          <w:szCs w:val="22"/>
        </w:rPr>
        <w:br/>
        <w:t>Lower physical activity</w:t>
      </w:r>
      <w:r w:rsidRPr="00B3672F">
        <w:rPr>
          <w:rFonts w:asciiTheme="majorHAnsi" w:hAnsiTheme="majorHAnsi"/>
          <w:sz w:val="22"/>
          <w:szCs w:val="22"/>
        </w:rPr>
        <w:br/>
        <w:t>Lower prenatal alcohol use</w:t>
      </w:r>
    </w:p>
    <w:p w14:paraId="3C1D0F60" w14:textId="77777777" w:rsidR="00B3672F" w:rsidRPr="00B3672F" w:rsidRDefault="00B3672F" w:rsidP="00B3672F">
      <w:pPr>
        <w:numPr>
          <w:ilvl w:val="0"/>
          <w:numId w:val="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PC3 (13.5% variance)</w:t>
      </w:r>
      <w:r w:rsidRPr="00B3672F">
        <w:rPr>
          <w:rFonts w:asciiTheme="majorHAnsi" w:hAnsiTheme="majorHAnsi"/>
          <w:sz w:val="22"/>
          <w:szCs w:val="22"/>
        </w:rPr>
        <w:br/>
        <w:t>Demographic and reproductive context</w:t>
      </w:r>
      <w:r w:rsidRPr="00B3672F">
        <w:rPr>
          <w:rFonts w:asciiTheme="majorHAnsi" w:hAnsiTheme="majorHAnsi"/>
          <w:sz w:val="22"/>
          <w:szCs w:val="22"/>
        </w:rPr>
        <w:br/>
        <w:t>Primarily maternal age</w:t>
      </w:r>
      <w:r w:rsidRPr="00B3672F">
        <w:rPr>
          <w:rFonts w:asciiTheme="majorHAnsi" w:hAnsiTheme="majorHAnsi"/>
          <w:sz w:val="22"/>
          <w:szCs w:val="22"/>
        </w:rPr>
        <w:br/>
        <w:t>Secondary contribution from prenatal alcohol use</w:t>
      </w:r>
    </w:p>
    <w:p w14:paraId="41E3B8C8" w14:textId="05E0FEA3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5834A181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Functional connectivity data structure</w:t>
      </w:r>
    </w:p>
    <w:p w14:paraId="7624AB53" w14:textId="77777777" w:rsidR="00B3672F" w:rsidRPr="00B3672F" w:rsidRDefault="00B3672F" w:rsidP="00B3672F">
      <w:pPr>
        <w:numPr>
          <w:ilvl w:val="0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Connectivity matrix: 10 × 10 × 66</w:t>
      </w:r>
    </w:p>
    <w:p w14:paraId="77CD8AB5" w14:textId="77777777" w:rsidR="00B3672F" w:rsidRPr="00B3672F" w:rsidRDefault="00B3672F" w:rsidP="00B3672F">
      <w:pPr>
        <w:numPr>
          <w:ilvl w:val="0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ROIs included:</w:t>
      </w:r>
    </w:p>
    <w:p w14:paraId="234F2FD3" w14:textId="77777777" w:rsidR="00B3672F" w:rsidRPr="00B3672F" w:rsidRDefault="00B3672F" w:rsidP="00B3672F">
      <w:pPr>
        <w:numPr>
          <w:ilvl w:val="1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Amygdala L and R</w:t>
      </w:r>
    </w:p>
    <w:p w14:paraId="2FEA850D" w14:textId="77777777" w:rsidR="00B3672F" w:rsidRPr="00B3672F" w:rsidRDefault="00B3672F" w:rsidP="00B3672F">
      <w:pPr>
        <w:numPr>
          <w:ilvl w:val="1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Thalamus L and R</w:t>
      </w:r>
    </w:p>
    <w:p w14:paraId="52FEFD91" w14:textId="77777777" w:rsidR="00B3672F" w:rsidRPr="00B3672F" w:rsidRDefault="00B3672F" w:rsidP="00B3672F">
      <w:pPr>
        <w:numPr>
          <w:ilvl w:val="1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Inferior frontal gyrus L and R</w:t>
      </w:r>
    </w:p>
    <w:p w14:paraId="1B528636" w14:textId="77777777" w:rsidR="00B3672F" w:rsidRPr="00B3672F" w:rsidRDefault="00B3672F" w:rsidP="00B3672F">
      <w:pPr>
        <w:numPr>
          <w:ilvl w:val="1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Superior orbitofrontal cortex L and R</w:t>
      </w:r>
    </w:p>
    <w:p w14:paraId="47F3739F" w14:textId="77777777" w:rsidR="00B3672F" w:rsidRPr="00B3672F" w:rsidRDefault="00B3672F" w:rsidP="00B3672F">
      <w:pPr>
        <w:numPr>
          <w:ilvl w:val="1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Posterior cingulate cortex L and R</w:t>
      </w:r>
    </w:p>
    <w:p w14:paraId="61A788D4" w14:textId="77777777" w:rsidR="00B3672F" w:rsidRPr="00B3672F" w:rsidRDefault="00B3672F" w:rsidP="00B3672F">
      <w:pPr>
        <w:numPr>
          <w:ilvl w:val="0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Values:</w:t>
      </w:r>
    </w:p>
    <w:p w14:paraId="733926B2" w14:textId="77777777" w:rsidR="00B3672F" w:rsidRPr="00B3672F" w:rsidRDefault="00B3672F" w:rsidP="00B3672F">
      <w:pPr>
        <w:numPr>
          <w:ilvl w:val="1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Fisher z–transformed correlations</w:t>
      </w:r>
    </w:p>
    <w:p w14:paraId="728E7A44" w14:textId="77777777" w:rsidR="00B3672F" w:rsidRPr="00B3672F" w:rsidRDefault="00B3672F" w:rsidP="00B3672F">
      <w:pPr>
        <w:numPr>
          <w:ilvl w:val="1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Symmetric matrices</w:t>
      </w:r>
    </w:p>
    <w:p w14:paraId="5EF5696E" w14:textId="77777777" w:rsidR="00B3672F" w:rsidRPr="00B3672F" w:rsidRDefault="00B3672F" w:rsidP="00B3672F">
      <w:pPr>
        <w:numPr>
          <w:ilvl w:val="1"/>
          <w:numId w:val="6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Diagonal set to NA</w:t>
      </w:r>
    </w:p>
    <w:p w14:paraId="07DA7C01" w14:textId="23956186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63D3DA13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Functional connectivity composites</w:t>
      </w:r>
    </w:p>
    <w:p w14:paraId="5161EF15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How composites were calculated</w:t>
      </w:r>
    </w:p>
    <w:p w14:paraId="351DCCD9" w14:textId="77777777" w:rsidR="00B3672F" w:rsidRPr="00B3672F" w:rsidRDefault="00B3672F" w:rsidP="00B3672F">
      <w:pPr>
        <w:numPr>
          <w:ilvl w:val="0"/>
          <w:numId w:val="7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For each participant:</w:t>
      </w:r>
    </w:p>
    <w:p w14:paraId="534880F7" w14:textId="77777777" w:rsidR="00B3672F" w:rsidRPr="00B3672F" w:rsidRDefault="00B3672F" w:rsidP="00B3672F">
      <w:pPr>
        <w:numPr>
          <w:ilvl w:val="1"/>
          <w:numId w:val="7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Connectivity was extracted for predefined ROI pairs</w:t>
      </w:r>
    </w:p>
    <w:p w14:paraId="1F885F4C" w14:textId="77777777" w:rsidR="00B3672F" w:rsidRPr="00B3672F" w:rsidRDefault="00B3672F" w:rsidP="00B3672F">
      <w:pPr>
        <w:numPr>
          <w:ilvl w:val="1"/>
          <w:numId w:val="7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Fisher z values were averaged across all specified edges</w:t>
      </w:r>
    </w:p>
    <w:p w14:paraId="4DBC98BC" w14:textId="77777777" w:rsidR="00B3672F" w:rsidRPr="00B3672F" w:rsidRDefault="00B3672F" w:rsidP="00B3672F">
      <w:pPr>
        <w:numPr>
          <w:ilvl w:val="0"/>
          <w:numId w:val="7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 xml:space="preserve">Each composite therefore represents a </w:t>
      </w:r>
      <w:r w:rsidRPr="00B3672F">
        <w:rPr>
          <w:rFonts w:asciiTheme="majorHAnsi" w:hAnsiTheme="majorHAnsi"/>
          <w:b/>
          <w:bCs/>
          <w:sz w:val="22"/>
          <w:szCs w:val="22"/>
        </w:rPr>
        <w:t>mean connectivity strength</w:t>
      </w:r>
      <w:r w:rsidRPr="00B3672F">
        <w:rPr>
          <w:rFonts w:asciiTheme="majorHAnsi" w:hAnsiTheme="majorHAnsi"/>
          <w:sz w:val="22"/>
          <w:szCs w:val="22"/>
        </w:rPr>
        <w:t xml:space="preserve"> between two sets of regions</w:t>
      </w:r>
    </w:p>
    <w:p w14:paraId="573C51FE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A priori connectivity composites and 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2421"/>
        <w:gridCol w:w="5340"/>
      </w:tblGrid>
      <w:tr w:rsidR="00B3672F" w:rsidRPr="00B3672F" w14:paraId="0FE20F10" w14:textId="77777777" w:rsidTr="00F73E67">
        <w:tc>
          <w:tcPr>
            <w:tcW w:w="0" w:type="auto"/>
            <w:hideMark/>
          </w:tcPr>
          <w:p w14:paraId="4022541E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Composite</w:t>
            </w:r>
          </w:p>
        </w:tc>
        <w:tc>
          <w:tcPr>
            <w:tcW w:w="0" w:type="auto"/>
            <w:hideMark/>
          </w:tcPr>
          <w:p w14:paraId="0001CA62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ROI pairs included</w:t>
            </w:r>
          </w:p>
        </w:tc>
        <w:tc>
          <w:tcPr>
            <w:tcW w:w="0" w:type="auto"/>
            <w:hideMark/>
          </w:tcPr>
          <w:p w14:paraId="5FBDD004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Rationale and relevance to sleep</w:t>
            </w:r>
          </w:p>
        </w:tc>
      </w:tr>
      <w:tr w:rsidR="00B3672F" w:rsidRPr="00B3672F" w14:paraId="10D9163F" w14:textId="77777777" w:rsidTr="00F73E67">
        <w:tc>
          <w:tcPr>
            <w:tcW w:w="0" w:type="auto"/>
            <w:hideMark/>
          </w:tcPr>
          <w:p w14:paraId="6E687F79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Amygdala–OFC</w:t>
            </w:r>
          </w:p>
        </w:tc>
        <w:tc>
          <w:tcPr>
            <w:tcW w:w="0" w:type="auto"/>
            <w:hideMark/>
          </w:tcPr>
          <w:p w14:paraId="39EF3AAC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Amygdala L/R ↔ superior orbitofrontal L/R</w:t>
            </w:r>
          </w:p>
        </w:tc>
        <w:tc>
          <w:tcPr>
            <w:tcW w:w="0" w:type="auto"/>
            <w:hideMark/>
          </w:tcPr>
          <w:p w14:paraId="29AA99C0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OFC is involved in affective valuation and emotion regulation, processes linked to arousal regulation and sleep–wake stability</w:t>
            </w:r>
          </w:p>
        </w:tc>
      </w:tr>
      <w:tr w:rsidR="00B3672F" w:rsidRPr="00B3672F" w14:paraId="4FBC4688" w14:textId="77777777" w:rsidTr="00F73E67">
        <w:tc>
          <w:tcPr>
            <w:tcW w:w="0" w:type="auto"/>
            <w:hideMark/>
          </w:tcPr>
          <w:p w14:paraId="73372AE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lastRenderedPageBreak/>
              <w:t>Amygdala–IFG</w:t>
            </w:r>
          </w:p>
        </w:tc>
        <w:tc>
          <w:tcPr>
            <w:tcW w:w="0" w:type="auto"/>
            <w:hideMark/>
          </w:tcPr>
          <w:p w14:paraId="2675CCB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Amygdala L/R ↔ inferior frontal gyrus L/R</w:t>
            </w:r>
          </w:p>
        </w:tc>
        <w:tc>
          <w:tcPr>
            <w:tcW w:w="0" w:type="auto"/>
            <w:hideMark/>
          </w:tcPr>
          <w:p w14:paraId="103B586F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IFG supports top-down regulatory control and inhibition, relevant to emotional arousal and behavioral regulation during sleep</w:t>
            </w:r>
          </w:p>
        </w:tc>
      </w:tr>
      <w:tr w:rsidR="00B3672F" w:rsidRPr="00B3672F" w14:paraId="518BB345" w14:textId="77777777" w:rsidTr="00F73E67">
        <w:tc>
          <w:tcPr>
            <w:tcW w:w="0" w:type="auto"/>
            <w:hideMark/>
          </w:tcPr>
          <w:p w14:paraId="04EAAFB1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Thalamus–Amygdala</w:t>
            </w:r>
          </w:p>
        </w:tc>
        <w:tc>
          <w:tcPr>
            <w:tcW w:w="0" w:type="auto"/>
            <w:hideMark/>
          </w:tcPr>
          <w:p w14:paraId="3A62DC70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Thalamus L/R ↔ amygdala L/R</w:t>
            </w:r>
          </w:p>
        </w:tc>
        <w:tc>
          <w:tcPr>
            <w:tcW w:w="0" w:type="auto"/>
            <w:hideMark/>
          </w:tcPr>
          <w:p w14:paraId="7DAF84EF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Core limbic and arousal circuitry, integrating sensory input and emotional salience, central to sleep–wake processes</w:t>
            </w:r>
          </w:p>
        </w:tc>
      </w:tr>
      <w:tr w:rsidR="00B3672F" w:rsidRPr="00B3672F" w14:paraId="1FCCF81C" w14:textId="77777777" w:rsidTr="00F73E67">
        <w:tc>
          <w:tcPr>
            <w:tcW w:w="0" w:type="auto"/>
            <w:hideMark/>
          </w:tcPr>
          <w:p w14:paraId="77692E03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Thalamus–PCC</w:t>
            </w:r>
          </w:p>
        </w:tc>
        <w:tc>
          <w:tcPr>
            <w:tcW w:w="0" w:type="auto"/>
            <w:hideMark/>
          </w:tcPr>
          <w:p w14:paraId="1917220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Thalamus L/R ↔ posterior cingulate L/R</w:t>
            </w:r>
          </w:p>
        </w:tc>
        <w:tc>
          <w:tcPr>
            <w:tcW w:w="0" w:type="auto"/>
            <w:hideMark/>
          </w:tcPr>
          <w:p w14:paraId="2781209D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Links arousal systems with default mode network hubs, implicated in sleep depth and transitions</w:t>
            </w:r>
          </w:p>
        </w:tc>
      </w:tr>
    </w:tbl>
    <w:p w14:paraId="1557122E" w14:textId="34CB0EE6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4861378B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Statistical approach</w:t>
      </w:r>
    </w:p>
    <w:p w14:paraId="549C9840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Option A: Profile-based analyses</w:t>
      </w:r>
    </w:p>
    <w:p w14:paraId="1689B767" w14:textId="77777777" w:rsidR="00B3672F" w:rsidRPr="00B3672F" w:rsidRDefault="00B3672F" w:rsidP="00B3672F">
      <w:pPr>
        <w:numPr>
          <w:ilvl w:val="0"/>
          <w:numId w:val="8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Model:</w:t>
      </w:r>
    </w:p>
    <w:p w14:paraId="3C4DB054" w14:textId="77777777" w:rsidR="00B3672F" w:rsidRPr="00B3672F" w:rsidRDefault="00B3672F" w:rsidP="00B3672F">
      <w:pPr>
        <w:numPr>
          <w:ilvl w:val="1"/>
          <w:numId w:val="8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Connectivity ~ LPA class + age at scan + infant sex + site</w:t>
      </w:r>
    </w:p>
    <w:p w14:paraId="0B724C0D" w14:textId="77777777" w:rsidR="00B3672F" w:rsidRPr="00B3672F" w:rsidRDefault="00B3672F" w:rsidP="00B3672F">
      <w:pPr>
        <w:numPr>
          <w:ilvl w:val="0"/>
          <w:numId w:val="8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Omnibus test for class effects</w:t>
      </w:r>
    </w:p>
    <w:p w14:paraId="3ADC57C7" w14:textId="77777777" w:rsidR="00B3672F" w:rsidRPr="00B3672F" w:rsidRDefault="00B3672F" w:rsidP="00B3672F">
      <w:pPr>
        <w:numPr>
          <w:ilvl w:val="0"/>
          <w:numId w:val="8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Pairwise contrasts using estimated marginal means</w:t>
      </w:r>
    </w:p>
    <w:p w14:paraId="32204AF4" w14:textId="77777777" w:rsidR="00B3672F" w:rsidRPr="00B3672F" w:rsidRDefault="00B3672F" w:rsidP="00B3672F">
      <w:pPr>
        <w:numPr>
          <w:ilvl w:val="0"/>
          <w:numId w:val="8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FDR correction across the four connectivity composites</w:t>
      </w:r>
    </w:p>
    <w:p w14:paraId="1BE84E6E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Option B: Continuous PC analyses</w:t>
      </w:r>
    </w:p>
    <w:p w14:paraId="3A1598FE" w14:textId="77777777" w:rsidR="00B3672F" w:rsidRPr="00B3672F" w:rsidRDefault="00B3672F" w:rsidP="00B3672F">
      <w:pPr>
        <w:numPr>
          <w:ilvl w:val="0"/>
          <w:numId w:val="9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Model:</w:t>
      </w:r>
    </w:p>
    <w:p w14:paraId="699B299A" w14:textId="77777777" w:rsidR="00B3672F" w:rsidRPr="00B3672F" w:rsidRDefault="00B3672F" w:rsidP="00B3672F">
      <w:pPr>
        <w:numPr>
          <w:ilvl w:val="1"/>
          <w:numId w:val="9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Connectivity ~ PC1 + PC2 + PC3 + age at scan + infant sex + site</w:t>
      </w:r>
    </w:p>
    <w:p w14:paraId="0097F747" w14:textId="77777777" w:rsidR="00B3672F" w:rsidRPr="00B3672F" w:rsidRDefault="00B3672F" w:rsidP="00B3672F">
      <w:pPr>
        <w:numPr>
          <w:ilvl w:val="0"/>
          <w:numId w:val="9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FDR correction across outcomes for each PC</w:t>
      </w:r>
    </w:p>
    <w:p w14:paraId="60F61BB5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Sleep moderation</w:t>
      </w:r>
    </w:p>
    <w:p w14:paraId="5C91E271" w14:textId="77777777" w:rsidR="00B3672F" w:rsidRPr="00B3672F" w:rsidRDefault="00B3672F" w:rsidP="00B3672F">
      <w:pPr>
        <w:numPr>
          <w:ilvl w:val="0"/>
          <w:numId w:val="10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Tested:</w:t>
      </w:r>
    </w:p>
    <w:p w14:paraId="63A8FFBC" w14:textId="77777777" w:rsidR="00B3672F" w:rsidRPr="00B3672F" w:rsidRDefault="00B3672F" w:rsidP="00B3672F">
      <w:pPr>
        <w:numPr>
          <w:ilvl w:val="1"/>
          <w:numId w:val="10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LPA class × sleep duration</w:t>
      </w:r>
    </w:p>
    <w:p w14:paraId="6567C4B5" w14:textId="77777777" w:rsidR="00B3672F" w:rsidRPr="00B3672F" w:rsidRDefault="00B3672F" w:rsidP="00B3672F">
      <w:pPr>
        <w:numPr>
          <w:ilvl w:val="1"/>
          <w:numId w:val="10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PC × sleep duration</w:t>
      </w:r>
    </w:p>
    <w:p w14:paraId="58F245CB" w14:textId="77777777" w:rsidR="00B3672F" w:rsidRPr="00B3672F" w:rsidRDefault="00B3672F" w:rsidP="00B3672F">
      <w:pPr>
        <w:numPr>
          <w:ilvl w:val="0"/>
          <w:numId w:val="10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Same covariates as above</w:t>
      </w:r>
    </w:p>
    <w:p w14:paraId="616C681E" w14:textId="77777777" w:rsidR="00B3672F" w:rsidRPr="00B3672F" w:rsidRDefault="00B3672F" w:rsidP="00B3672F">
      <w:pPr>
        <w:numPr>
          <w:ilvl w:val="0"/>
          <w:numId w:val="10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Sleep duration mean-centered</w:t>
      </w:r>
    </w:p>
    <w:p w14:paraId="16E32BE8" w14:textId="77777777" w:rsidR="00B3672F" w:rsidRPr="00B3672F" w:rsidRDefault="00B3672F" w:rsidP="00B3672F">
      <w:pPr>
        <w:numPr>
          <w:ilvl w:val="0"/>
          <w:numId w:val="10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FDR correction applied</w:t>
      </w:r>
    </w:p>
    <w:p w14:paraId="24181111" w14:textId="6D075063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4A536BFA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Results: Option A (latent profile differences)</w:t>
      </w:r>
    </w:p>
    <w:p w14:paraId="7D623580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Omnibus tests for class effects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1778"/>
        <w:gridCol w:w="2290"/>
        <w:gridCol w:w="2131"/>
      </w:tblGrid>
      <w:tr w:rsidR="00B3672F" w:rsidRPr="00B3672F" w14:paraId="69489329" w14:textId="77777777" w:rsidTr="00F73E67">
        <w:tc>
          <w:tcPr>
            <w:tcW w:w="0" w:type="auto"/>
            <w:hideMark/>
          </w:tcPr>
          <w:p w14:paraId="3BAB6DFB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Connectivity composite</w:t>
            </w:r>
          </w:p>
        </w:tc>
        <w:tc>
          <w:tcPr>
            <w:tcW w:w="0" w:type="auto"/>
            <w:hideMark/>
          </w:tcPr>
          <w:p w14:paraId="3AA7010A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Omnibus p value</w:t>
            </w:r>
          </w:p>
        </w:tc>
        <w:tc>
          <w:tcPr>
            <w:tcW w:w="0" w:type="auto"/>
            <w:hideMark/>
          </w:tcPr>
          <w:p w14:paraId="33DFA1B8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Significant before FDR</w:t>
            </w:r>
          </w:p>
        </w:tc>
        <w:tc>
          <w:tcPr>
            <w:tcW w:w="0" w:type="auto"/>
            <w:hideMark/>
          </w:tcPr>
          <w:p w14:paraId="254BD574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Significant after FDR</w:t>
            </w:r>
          </w:p>
        </w:tc>
      </w:tr>
      <w:tr w:rsidR="00B3672F" w:rsidRPr="00B3672F" w14:paraId="0A2360A3" w14:textId="77777777" w:rsidTr="00F73E67">
        <w:tc>
          <w:tcPr>
            <w:tcW w:w="0" w:type="auto"/>
            <w:hideMark/>
          </w:tcPr>
          <w:p w14:paraId="20428BCD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Amygdala–OFC</w:t>
            </w:r>
          </w:p>
        </w:tc>
        <w:tc>
          <w:tcPr>
            <w:tcW w:w="0" w:type="auto"/>
            <w:hideMark/>
          </w:tcPr>
          <w:p w14:paraId="33F9ED46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p = 0.417</w:t>
            </w:r>
          </w:p>
        </w:tc>
        <w:tc>
          <w:tcPr>
            <w:tcW w:w="0" w:type="auto"/>
            <w:hideMark/>
          </w:tcPr>
          <w:p w14:paraId="161059F1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C573F48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</w:tr>
      <w:tr w:rsidR="00B3672F" w:rsidRPr="00B3672F" w14:paraId="0B2F62FC" w14:textId="77777777" w:rsidTr="00F73E67">
        <w:tc>
          <w:tcPr>
            <w:tcW w:w="0" w:type="auto"/>
            <w:hideMark/>
          </w:tcPr>
          <w:p w14:paraId="0A3EF88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Amygdala–IFG</w:t>
            </w:r>
          </w:p>
        </w:tc>
        <w:tc>
          <w:tcPr>
            <w:tcW w:w="0" w:type="auto"/>
            <w:hideMark/>
          </w:tcPr>
          <w:p w14:paraId="2CD10612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p = 0.0268</w:t>
            </w:r>
          </w:p>
        </w:tc>
        <w:tc>
          <w:tcPr>
            <w:tcW w:w="0" w:type="auto"/>
            <w:hideMark/>
          </w:tcPr>
          <w:p w14:paraId="69E2AEC3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85760F5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</w:tr>
      <w:tr w:rsidR="00B3672F" w:rsidRPr="00B3672F" w14:paraId="480FB348" w14:textId="77777777" w:rsidTr="00F73E67">
        <w:tc>
          <w:tcPr>
            <w:tcW w:w="0" w:type="auto"/>
            <w:hideMark/>
          </w:tcPr>
          <w:p w14:paraId="33F51811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Thalamus–Amygdala</w:t>
            </w:r>
          </w:p>
        </w:tc>
        <w:tc>
          <w:tcPr>
            <w:tcW w:w="0" w:type="auto"/>
            <w:hideMark/>
          </w:tcPr>
          <w:p w14:paraId="5CA918B2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p = 0.774</w:t>
            </w:r>
          </w:p>
        </w:tc>
        <w:tc>
          <w:tcPr>
            <w:tcW w:w="0" w:type="auto"/>
            <w:hideMark/>
          </w:tcPr>
          <w:p w14:paraId="5E253A4E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53AB3C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</w:tr>
      <w:tr w:rsidR="00B3672F" w:rsidRPr="00B3672F" w14:paraId="0F5A494C" w14:textId="77777777" w:rsidTr="00F73E67">
        <w:tc>
          <w:tcPr>
            <w:tcW w:w="0" w:type="auto"/>
            <w:hideMark/>
          </w:tcPr>
          <w:p w14:paraId="1D5DB0C4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Thalamus–PCC</w:t>
            </w:r>
          </w:p>
        </w:tc>
        <w:tc>
          <w:tcPr>
            <w:tcW w:w="0" w:type="auto"/>
            <w:hideMark/>
          </w:tcPr>
          <w:p w14:paraId="2E53205A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p = 0.471</w:t>
            </w:r>
          </w:p>
        </w:tc>
        <w:tc>
          <w:tcPr>
            <w:tcW w:w="0" w:type="auto"/>
            <w:hideMark/>
          </w:tcPr>
          <w:p w14:paraId="460CEBAB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8B9EA31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</w:tr>
    </w:tbl>
    <w:p w14:paraId="15BAA6E1" w14:textId="7CA3AF0A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34A0B70B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Pairwise contrasts for amygdala–IFG connectivity</w:t>
      </w:r>
    </w:p>
    <w:p w14:paraId="149AE868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Pairwise comparisons adjusted for multiple testing within this outcome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1049"/>
        <w:gridCol w:w="884"/>
      </w:tblGrid>
      <w:tr w:rsidR="00B3672F" w:rsidRPr="00B3672F" w14:paraId="44F83CA3" w14:textId="77777777" w:rsidTr="008454DC">
        <w:tc>
          <w:tcPr>
            <w:tcW w:w="0" w:type="auto"/>
            <w:hideMark/>
          </w:tcPr>
          <w:p w14:paraId="15D2953B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Contrast</w:t>
            </w:r>
          </w:p>
        </w:tc>
        <w:tc>
          <w:tcPr>
            <w:tcW w:w="0" w:type="auto"/>
            <w:hideMark/>
          </w:tcPr>
          <w:p w14:paraId="4AB3BBCB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0" w:type="auto"/>
            <w:hideMark/>
          </w:tcPr>
          <w:p w14:paraId="6C383FE6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p value</w:t>
            </w:r>
          </w:p>
        </w:tc>
      </w:tr>
      <w:tr w:rsidR="00B3672F" w:rsidRPr="00B3672F" w14:paraId="5F94A9F3" w14:textId="77777777" w:rsidTr="008454DC">
        <w:tc>
          <w:tcPr>
            <w:tcW w:w="0" w:type="auto"/>
            <w:hideMark/>
          </w:tcPr>
          <w:p w14:paraId="023B0A3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Class 1 vs Class 4</w:t>
            </w:r>
          </w:p>
        </w:tc>
        <w:tc>
          <w:tcPr>
            <w:tcW w:w="0" w:type="auto"/>
            <w:hideMark/>
          </w:tcPr>
          <w:p w14:paraId="2E03A105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+0.155</w:t>
            </w:r>
          </w:p>
        </w:tc>
        <w:tc>
          <w:tcPr>
            <w:tcW w:w="0" w:type="auto"/>
            <w:hideMark/>
          </w:tcPr>
          <w:p w14:paraId="5C4509C5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0.023</w:t>
            </w:r>
          </w:p>
        </w:tc>
      </w:tr>
      <w:tr w:rsidR="00B3672F" w:rsidRPr="00B3672F" w14:paraId="6252A0E8" w14:textId="77777777" w:rsidTr="008454DC">
        <w:tc>
          <w:tcPr>
            <w:tcW w:w="0" w:type="auto"/>
            <w:hideMark/>
          </w:tcPr>
          <w:p w14:paraId="6548B1E2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Class 2 vs Class 4</w:t>
            </w:r>
          </w:p>
        </w:tc>
        <w:tc>
          <w:tcPr>
            <w:tcW w:w="0" w:type="auto"/>
            <w:hideMark/>
          </w:tcPr>
          <w:p w14:paraId="30DD0671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+0.163</w:t>
            </w:r>
          </w:p>
        </w:tc>
        <w:tc>
          <w:tcPr>
            <w:tcW w:w="0" w:type="auto"/>
            <w:hideMark/>
          </w:tcPr>
          <w:p w14:paraId="2A4CE0A3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0.023</w:t>
            </w:r>
          </w:p>
        </w:tc>
      </w:tr>
      <w:tr w:rsidR="00B3672F" w:rsidRPr="00B3672F" w14:paraId="404056DF" w14:textId="77777777" w:rsidTr="008454DC">
        <w:tc>
          <w:tcPr>
            <w:tcW w:w="0" w:type="auto"/>
            <w:hideMark/>
          </w:tcPr>
          <w:p w14:paraId="16F3E05E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Class 3 vs Class 4</w:t>
            </w:r>
          </w:p>
        </w:tc>
        <w:tc>
          <w:tcPr>
            <w:tcW w:w="0" w:type="auto"/>
            <w:hideMark/>
          </w:tcPr>
          <w:p w14:paraId="24F321D5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+0.167</w:t>
            </w:r>
          </w:p>
        </w:tc>
        <w:tc>
          <w:tcPr>
            <w:tcW w:w="0" w:type="auto"/>
            <w:hideMark/>
          </w:tcPr>
          <w:p w14:paraId="1E65BE40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0.012</w:t>
            </w:r>
          </w:p>
        </w:tc>
      </w:tr>
    </w:tbl>
    <w:p w14:paraId="7F5176A2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Interpretation of pattern</w:t>
      </w:r>
    </w:p>
    <w:p w14:paraId="73412BF2" w14:textId="77777777" w:rsidR="00B3672F" w:rsidRPr="00B3672F" w:rsidRDefault="00B3672F" w:rsidP="00B3672F">
      <w:pPr>
        <w:numPr>
          <w:ilvl w:val="0"/>
          <w:numId w:val="1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 xml:space="preserve">Class 4 showed </w:t>
      </w:r>
      <w:r w:rsidRPr="00B3672F">
        <w:rPr>
          <w:rFonts w:asciiTheme="majorHAnsi" w:hAnsiTheme="majorHAnsi"/>
          <w:b/>
          <w:bCs/>
          <w:sz w:val="22"/>
          <w:szCs w:val="22"/>
        </w:rPr>
        <w:t>lower amygdala–IFG connectivity</w:t>
      </w:r>
      <w:r w:rsidRPr="00B3672F">
        <w:rPr>
          <w:rFonts w:asciiTheme="majorHAnsi" w:hAnsiTheme="majorHAnsi"/>
          <w:sz w:val="22"/>
          <w:szCs w:val="22"/>
        </w:rPr>
        <w:t xml:space="preserve"> compared with all other classes</w:t>
      </w:r>
    </w:p>
    <w:p w14:paraId="263FCFF0" w14:textId="77777777" w:rsidR="00B3672F" w:rsidRPr="00B3672F" w:rsidRDefault="00B3672F" w:rsidP="00B3672F">
      <w:pPr>
        <w:numPr>
          <w:ilvl w:val="0"/>
          <w:numId w:val="1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Effect sizes were similar across contrasts, indicating a coherent pattern rather than an isolated comparison</w:t>
      </w:r>
    </w:p>
    <w:p w14:paraId="7918E8C0" w14:textId="77777777" w:rsidR="00B3672F" w:rsidRPr="00B3672F" w:rsidRDefault="00B3672F" w:rsidP="00B3672F">
      <w:pPr>
        <w:numPr>
          <w:ilvl w:val="0"/>
          <w:numId w:val="1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However:</w:t>
      </w:r>
    </w:p>
    <w:p w14:paraId="4BA6014A" w14:textId="77777777" w:rsidR="00B3672F" w:rsidRPr="00B3672F" w:rsidRDefault="00B3672F" w:rsidP="00B3672F">
      <w:pPr>
        <w:numPr>
          <w:ilvl w:val="1"/>
          <w:numId w:val="1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Class 4 had n = 6</w:t>
      </w:r>
    </w:p>
    <w:p w14:paraId="3A8C5152" w14:textId="77777777" w:rsidR="00B3672F" w:rsidRPr="00B3672F" w:rsidRDefault="00B3672F" w:rsidP="00B3672F">
      <w:pPr>
        <w:numPr>
          <w:ilvl w:val="1"/>
          <w:numId w:val="1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lastRenderedPageBreak/>
        <w:t>The omnibus class effect did not remain significant after FDR correction across outcomes</w:t>
      </w:r>
    </w:p>
    <w:p w14:paraId="34187DAC" w14:textId="77777777" w:rsidR="00B3672F" w:rsidRPr="00B3672F" w:rsidRDefault="00B3672F" w:rsidP="00B3672F">
      <w:pPr>
        <w:numPr>
          <w:ilvl w:val="0"/>
          <w:numId w:val="11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 xml:space="preserve">Therefore, these pairwise results are </w:t>
      </w:r>
      <w:r w:rsidRPr="00B3672F">
        <w:rPr>
          <w:rFonts w:asciiTheme="majorHAnsi" w:hAnsiTheme="majorHAnsi"/>
          <w:b/>
          <w:bCs/>
          <w:sz w:val="22"/>
          <w:szCs w:val="22"/>
        </w:rPr>
        <w:t>exploratory and descriptive</w:t>
      </w:r>
      <w:r w:rsidRPr="00B3672F">
        <w:rPr>
          <w:rFonts w:asciiTheme="majorHAnsi" w:hAnsiTheme="majorHAnsi"/>
          <w:sz w:val="22"/>
          <w:szCs w:val="22"/>
        </w:rPr>
        <w:t>, not confirmatory</w:t>
      </w:r>
    </w:p>
    <w:p w14:paraId="2A9A02E2" w14:textId="4CA3E711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716D51F2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Results: Option B (PC predictors)</w:t>
      </w:r>
    </w:p>
    <w:p w14:paraId="09ED9373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Associations between PCs and connectivity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858"/>
        <w:gridCol w:w="888"/>
        <w:gridCol w:w="2290"/>
        <w:gridCol w:w="2131"/>
      </w:tblGrid>
      <w:tr w:rsidR="00B3672F" w:rsidRPr="00B3672F" w14:paraId="1B731A11" w14:textId="77777777" w:rsidTr="00F73E67">
        <w:tc>
          <w:tcPr>
            <w:tcW w:w="0" w:type="auto"/>
            <w:hideMark/>
          </w:tcPr>
          <w:p w14:paraId="7A3E50DB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Connectivity composite</w:t>
            </w:r>
          </w:p>
        </w:tc>
        <w:tc>
          <w:tcPr>
            <w:tcW w:w="0" w:type="auto"/>
            <w:hideMark/>
          </w:tcPr>
          <w:p w14:paraId="43B0D699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PC</w:t>
            </w:r>
          </w:p>
        </w:tc>
        <w:tc>
          <w:tcPr>
            <w:tcW w:w="0" w:type="auto"/>
            <w:hideMark/>
          </w:tcPr>
          <w:p w14:paraId="72257AEE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p value</w:t>
            </w:r>
          </w:p>
        </w:tc>
        <w:tc>
          <w:tcPr>
            <w:tcW w:w="0" w:type="auto"/>
            <w:hideMark/>
          </w:tcPr>
          <w:p w14:paraId="22E9E404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Significant before FDR</w:t>
            </w:r>
          </w:p>
        </w:tc>
        <w:tc>
          <w:tcPr>
            <w:tcW w:w="0" w:type="auto"/>
            <w:hideMark/>
          </w:tcPr>
          <w:p w14:paraId="01DD2222" w14:textId="77777777" w:rsidR="00B3672F" w:rsidRPr="00B3672F" w:rsidRDefault="00B3672F" w:rsidP="00B3672F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3672F">
              <w:rPr>
                <w:rFonts w:asciiTheme="majorHAnsi" w:hAnsiTheme="majorHAnsi"/>
                <w:b/>
                <w:bCs/>
                <w:sz w:val="22"/>
                <w:szCs w:val="22"/>
              </w:rPr>
              <w:t>Significant after FDR</w:t>
            </w:r>
          </w:p>
        </w:tc>
      </w:tr>
      <w:tr w:rsidR="00B3672F" w:rsidRPr="00B3672F" w14:paraId="771D47D9" w14:textId="77777777" w:rsidTr="00F73E67">
        <w:tc>
          <w:tcPr>
            <w:tcW w:w="0" w:type="auto"/>
            <w:hideMark/>
          </w:tcPr>
          <w:p w14:paraId="29BBBBFF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Amygdala–IFG</w:t>
            </w:r>
          </w:p>
        </w:tc>
        <w:tc>
          <w:tcPr>
            <w:tcW w:w="0" w:type="auto"/>
            <w:hideMark/>
          </w:tcPr>
          <w:p w14:paraId="2227EA7F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PC2</w:t>
            </w:r>
          </w:p>
        </w:tc>
        <w:tc>
          <w:tcPr>
            <w:tcW w:w="0" w:type="auto"/>
            <w:hideMark/>
          </w:tcPr>
          <w:p w14:paraId="705BE133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0.0428</w:t>
            </w:r>
          </w:p>
        </w:tc>
        <w:tc>
          <w:tcPr>
            <w:tcW w:w="0" w:type="auto"/>
            <w:hideMark/>
          </w:tcPr>
          <w:p w14:paraId="0FDB6448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EA2D048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</w:tr>
      <w:tr w:rsidR="00B3672F" w:rsidRPr="00B3672F" w14:paraId="2E830C73" w14:textId="77777777" w:rsidTr="00F73E67">
        <w:tc>
          <w:tcPr>
            <w:tcW w:w="0" w:type="auto"/>
            <w:hideMark/>
          </w:tcPr>
          <w:p w14:paraId="395A4D0A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Amygdala–IFG</w:t>
            </w:r>
          </w:p>
        </w:tc>
        <w:tc>
          <w:tcPr>
            <w:tcW w:w="0" w:type="auto"/>
            <w:hideMark/>
          </w:tcPr>
          <w:p w14:paraId="584A4030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PC1</w:t>
            </w:r>
          </w:p>
        </w:tc>
        <w:tc>
          <w:tcPr>
            <w:tcW w:w="0" w:type="auto"/>
            <w:hideMark/>
          </w:tcPr>
          <w:p w14:paraId="338D5D2F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0.0535</w:t>
            </w:r>
          </w:p>
        </w:tc>
        <w:tc>
          <w:tcPr>
            <w:tcW w:w="0" w:type="auto"/>
            <w:hideMark/>
          </w:tcPr>
          <w:p w14:paraId="513CB58E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10DEE7E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</w:tr>
      <w:tr w:rsidR="00B3672F" w:rsidRPr="00B3672F" w14:paraId="3C9B742C" w14:textId="77777777" w:rsidTr="00F73E67">
        <w:tc>
          <w:tcPr>
            <w:tcW w:w="0" w:type="auto"/>
            <w:hideMark/>
          </w:tcPr>
          <w:p w14:paraId="748165DA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Amygdala–OFC</w:t>
            </w:r>
          </w:p>
        </w:tc>
        <w:tc>
          <w:tcPr>
            <w:tcW w:w="0" w:type="auto"/>
            <w:hideMark/>
          </w:tcPr>
          <w:p w14:paraId="232D4060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Any PC</w:t>
            </w:r>
          </w:p>
        </w:tc>
        <w:tc>
          <w:tcPr>
            <w:tcW w:w="0" w:type="auto"/>
            <w:hideMark/>
          </w:tcPr>
          <w:p w14:paraId="1A0B772C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&gt; 0.17</w:t>
            </w:r>
          </w:p>
        </w:tc>
        <w:tc>
          <w:tcPr>
            <w:tcW w:w="0" w:type="auto"/>
            <w:hideMark/>
          </w:tcPr>
          <w:p w14:paraId="44E793B9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31AF7A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</w:tr>
      <w:tr w:rsidR="00B3672F" w:rsidRPr="00B3672F" w14:paraId="713D0D21" w14:textId="77777777" w:rsidTr="00F73E67">
        <w:tc>
          <w:tcPr>
            <w:tcW w:w="0" w:type="auto"/>
            <w:hideMark/>
          </w:tcPr>
          <w:p w14:paraId="32C47FCC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Thalamus–Amygdala</w:t>
            </w:r>
          </w:p>
        </w:tc>
        <w:tc>
          <w:tcPr>
            <w:tcW w:w="0" w:type="auto"/>
            <w:hideMark/>
          </w:tcPr>
          <w:p w14:paraId="37678E5A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Any PC</w:t>
            </w:r>
          </w:p>
        </w:tc>
        <w:tc>
          <w:tcPr>
            <w:tcW w:w="0" w:type="auto"/>
            <w:hideMark/>
          </w:tcPr>
          <w:p w14:paraId="1ACCD2FD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&gt; 0.056</w:t>
            </w:r>
          </w:p>
        </w:tc>
        <w:tc>
          <w:tcPr>
            <w:tcW w:w="0" w:type="auto"/>
            <w:hideMark/>
          </w:tcPr>
          <w:p w14:paraId="3EC6E18B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EC75CB9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</w:tr>
      <w:tr w:rsidR="00B3672F" w:rsidRPr="00B3672F" w14:paraId="0D81E7BC" w14:textId="77777777" w:rsidTr="00F73E67">
        <w:tc>
          <w:tcPr>
            <w:tcW w:w="0" w:type="auto"/>
            <w:hideMark/>
          </w:tcPr>
          <w:p w14:paraId="4E2DA8CB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Thalamus–PCC</w:t>
            </w:r>
          </w:p>
        </w:tc>
        <w:tc>
          <w:tcPr>
            <w:tcW w:w="0" w:type="auto"/>
            <w:hideMark/>
          </w:tcPr>
          <w:p w14:paraId="48B14CB0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Any PC</w:t>
            </w:r>
          </w:p>
        </w:tc>
        <w:tc>
          <w:tcPr>
            <w:tcW w:w="0" w:type="auto"/>
            <w:hideMark/>
          </w:tcPr>
          <w:p w14:paraId="54D7C6B7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&gt; 0.058</w:t>
            </w:r>
          </w:p>
        </w:tc>
        <w:tc>
          <w:tcPr>
            <w:tcW w:w="0" w:type="auto"/>
            <w:hideMark/>
          </w:tcPr>
          <w:p w14:paraId="74EF3EF5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94F2D19" w14:textId="77777777" w:rsidR="00B3672F" w:rsidRPr="00B3672F" w:rsidRDefault="00B3672F" w:rsidP="00B3672F">
            <w:pPr>
              <w:rPr>
                <w:rFonts w:asciiTheme="majorHAnsi" w:hAnsiTheme="majorHAnsi"/>
                <w:sz w:val="22"/>
                <w:szCs w:val="22"/>
              </w:rPr>
            </w:pPr>
            <w:r w:rsidRPr="00B3672F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</w:tr>
    </w:tbl>
    <w:p w14:paraId="4BA3CDFF" w14:textId="77777777" w:rsidR="00B3672F" w:rsidRPr="00B3672F" w:rsidRDefault="00B3672F" w:rsidP="00B3672F">
      <w:pPr>
        <w:numPr>
          <w:ilvl w:val="0"/>
          <w:numId w:val="1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No PC associations survived FDR correction</w:t>
      </w:r>
    </w:p>
    <w:p w14:paraId="66227A0A" w14:textId="77777777" w:rsidR="00B3672F" w:rsidRPr="00B3672F" w:rsidRDefault="00B3672F" w:rsidP="00B3672F">
      <w:pPr>
        <w:numPr>
          <w:ilvl w:val="0"/>
          <w:numId w:val="12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Effects were specific to amygdala–IFG connectivity</w:t>
      </w:r>
    </w:p>
    <w:p w14:paraId="53B0B9A2" w14:textId="46E44FD1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3DCE5A30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Results: Sleep moderation</w:t>
      </w:r>
    </w:p>
    <w:p w14:paraId="3066B137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LPA class × sleep duration</w:t>
      </w:r>
    </w:p>
    <w:p w14:paraId="6EA95349" w14:textId="77777777" w:rsidR="00B3672F" w:rsidRPr="00B3672F" w:rsidRDefault="00B3672F" w:rsidP="00B3672F">
      <w:pPr>
        <w:numPr>
          <w:ilvl w:val="0"/>
          <w:numId w:val="13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No interaction effects were significant before or after FDR adjustment for any connectivity composite</w:t>
      </w:r>
    </w:p>
    <w:p w14:paraId="70ECFC38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PC × sleep duration</w:t>
      </w:r>
    </w:p>
    <w:p w14:paraId="4E94F557" w14:textId="77777777" w:rsidR="00B3672F" w:rsidRPr="00B3672F" w:rsidRDefault="00B3672F" w:rsidP="00B3672F">
      <w:pPr>
        <w:numPr>
          <w:ilvl w:val="0"/>
          <w:numId w:val="14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B3672F">
        <w:rPr>
          <w:rFonts w:asciiTheme="majorHAnsi" w:hAnsiTheme="majorHAnsi"/>
          <w:sz w:val="22"/>
          <w:szCs w:val="22"/>
        </w:rPr>
        <w:t>No interaction effects were significant before or after FDR adjustment for any connectivity composite</w:t>
      </w:r>
    </w:p>
    <w:p w14:paraId="4394F454" w14:textId="3FD6DA32" w:rsidR="00B3672F" w:rsidRPr="00B3672F" w:rsidRDefault="00B3672F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p w14:paraId="446E1FAB" w14:textId="77777777" w:rsidR="00B3672F" w:rsidRPr="00B3672F" w:rsidRDefault="00B3672F" w:rsidP="00B3672F">
      <w:pPr>
        <w:spacing w:after="0" w:line="240" w:lineRule="auto"/>
        <w:rPr>
          <w:rFonts w:asciiTheme="majorHAnsi" w:hAnsiTheme="majorHAnsi"/>
          <w:b/>
          <w:bCs/>
          <w:sz w:val="22"/>
          <w:szCs w:val="22"/>
        </w:rPr>
      </w:pPr>
      <w:r w:rsidRPr="00B3672F">
        <w:rPr>
          <w:rFonts w:asciiTheme="majorHAnsi" w:hAnsiTheme="majorHAnsi"/>
          <w:b/>
          <w:bCs/>
          <w:sz w:val="22"/>
          <w:szCs w:val="22"/>
        </w:rPr>
        <w:t>Overall summary of Aim 3 findings</w:t>
      </w:r>
    </w:p>
    <w:p w14:paraId="4FC1C534" w14:textId="77777777" w:rsidR="00B3672F" w:rsidRPr="001C6028" w:rsidRDefault="00B3672F" w:rsidP="00B3672F">
      <w:pPr>
        <w:numPr>
          <w:ilvl w:val="0"/>
          <w:numId w:val="1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1C6028">
        <w:rPr>
          <w:rFonts w:asciiTheme="majorHAnsi" w:hAnsiTheme="majorHAnsi"/>
          <w:sz w:val="22"/>
          <w:szCs w:val="22"/>
        </w:rPr>
        <w:t>Prenatal early environment was not associated with broad differences in limbic connectivity at 2 years</w:t>
      </w:r>
    </w:p>
    <w:p w14:paraId="57B72CD0" w14:textId="77777777" w:rsidR="00B3672F" w:rsidRPr="001C6028" w:rsidRDefault="00B3672F" w:rsidP="00B3672F">
      <w:pPr>
        <w:numPr>
          <w:ilvl w:val="0"/>
          <w:numId w:val="1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1C6028">
        <w:rPr>
          <w:rFonts w:asciiTheme="majorHAnsi" w:hAnsiTheme="majorHAnsi"/>
          <w:sz w:val="22"/>
          <w:szCs w:val="22"/>
        </w:rPr>
        <w:t>Amygdala–inferior frontal gyrus connectivity showed:</w:t>
      </w:r>
    </w:p>
    <w:p w14:paraId="293F07FF" w14:textId="77777777" w:rsidR="00B3672F" w:rsidRPr="001C6028" w:rsidRDefault="00B3672F" w:rsidP="00B3672F">
      <w:pPr>
        <w:numPr>
          <w:ilvl w:val="1"/>
          <w:numId w:val="1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1C6028">
        <w:rPr>
          <w:rFonts w:asciiTheme="majorHAnsi" w:hAnsiTheme="majorHAnsi"/>
          <w:sz w:val="22"/>
          <w:szCs w:val="22"/>
        </w:rPr>
        <w:t>Significant associations with LPA class and PC2 before FDR adjustment</w:t>
      </w:r>
    </w:p>
    <w:p w14:paraId="722292B5" w14:textId="77777777" w:rsidR="00B3672F" w:rsidRPr="001C6028" w:rsidRDefault="00B3672F" w:rsidP="00B3672F">
      <w:pPr>
        <w:numPr>
          <w:ilvl w:val="1"/>
          <w:numId w:val="1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1C6028">
        <w:rPr>
          <w:rFonts w:asciiTheme="majorHAnsi" w:hAnsiTheme="majorHAnsi"/>
          <w:sz w:val="22"/>
          <w:szCs w:val="22"/>
        </w:rPr>
        <w:t>No associations that remained significant after FDR adjustment</w:t>
      </w:r>
    </w:p>
    <w:p w14:paraId="33631820" w14:textId="77777777" w:rsidR="00B3672F" w:rsidRPr="001C6028" w:rsidRDefault="00B3672F" w:rsidP="00B3672F">
      <w:pPr>
        <w:numPr>
          <w:ilvl w:val="0"/>
          <w:numId w:val="1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1C6028">
        <w:rPr>
          <w:rFonts w:asciiTheme="majorHAnsi" w:hAnsiTheme="majorHAnsi"/>
          <w:sz w:val="22"/>
          <w:szCs w:val="22"/>
        </w:rPr>
        <w:t>Pairwise profile comparisons indicated consistently lower amygdala–IFG connectivity in the low psychosocial distress class, but these findings are exploratory due to small class size and lack of FDR-corrected omnibus effects</w:t>
      </w:r>
    </w:p>
    <w:p w14:paraId="7BA14C87" w14:textId="77777777" w:rsidR="00B3672F" w:rsidRPr="001C6028" w:rsidRDefault="00B3672F" w:rsidP="00B3672F">
      <w:pPr>
        <w:numPr>
          <w:ilvl w:val="0"/>
          <w:numId w:val="1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1C6028">
        <w:rPr>
          <w:rFonts w:asciiTheme="majorHAnsi" w:hAnsiTheme="majorHAnsi"/>
          <w:sz w:val="22"/>
          <w:szCs w:val="22"/>
        </w:rPr>
        <w:t>No evidence was found for associations involving:</w:t>
      </w:r>
    </w:p>
    <w:p w14:paraId="7601CD21" w14:textId="77777777" w:rsidR="00B3672F" w:rsidRPr="001C6028" w:rsidRDefault="00B3672F" w:rsidP="00B3672F">
      <w:pPr>
        <w:numPr>
          <w:ilvl w:val="1"/>
          <w:numId w:val="1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1C6028">
        <w:rPr>
          <w:rFonts w:asciiTheme="majorHAnsi" w:hAnsiTheme="majorHAnsi"/>
          <w:sz w:val="22"/>
          <w:szCs w:val="22"/>
        </w:rPr>
        <w:t>Amygdala–orbitofrontal connectivity</w:t>
      </w:r>
    </w:p>
    <w:p w14:paraId="3E274F05" w14:textId="77777777" w:rsidR="00B3672F" w:rsidRPr="001C6028" w:rsidRDefault="00B3672F" w:rsidP="00B3672F">
      <w:pPr>
        <w:numPr>
          <w:ilvl w:val="1"/>
          <w:numId w:val="1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1C6028">
        <w:rPr>
          <w:rFonts w:asciiTheme="majorHAnsi" w:hAnsiTheme="majorHAnsi"/>
          <w:sz w:val="22"/>
          <w:szCs w:val="22"/>
        </w:rPr>
        <w:t>Thalamic connectivity composites</w:t>
      </w:r>
    </w:p>
    <w:p w14:paraId="050F392E" w14:textId="77777777" w:rsidR="00B3672F" w:rsidRPr="001C6028" w:rsidRDefault="00B3672F" w:rsidP="00B3672F">
      <w:pPr>
        <w:numPr>
          <w:ilvl w:val="0"/>
          <w:numId w:val="15"/>
        </w:numPr>
        <w:spacing w:after="0" w:line="240" w:lineRule="auto"/>
        <w:rPr>
          <w:rFonts w:asciiTheme="majorHAnsi" w:hAnsiTheme="majorHAnsi"/>
          <w:sz w:val="22"/>
          <w:szCs w:val="22"/>
        </w:rPr>
      </w:pPr>
      <w:r w:rsidRPr="001C6028">
        <w:rPr>
          <w:rFonts w:asciiTheme="majorHAnsi" w:hAnsiTheme="majorHAnsi"/>
          <w:sz w:val="22"/>
          <w:szCs w:val="22"/>
        </w:rPr>
        <w:t>Child sleep duration at 2 years did not moderate associations between prenatal environment and brain connectivity</w:t>
      </w:r>
    </w:p>
    <w:p w14:paraId="188A67BD" w14:textId="77777777" w:rsidR="00690835" w:rsidRPr="00B3672F" w:rsidRDefault="00690835" w:rsidP="00B3672F">
      <w:pPr>
        <w:spacing w:after="0" w:line="240" w:lineRule="auto"/>
        <w:rPr>
          <w:rFonts w:asciiTheme="majorHAnsi" w:hAnsiTheme="majorHAnsi"/>
          <w:sz w:val="22"/>
          <w:szCs w:val="22"/>
        </w:rPr>
      </w:pPr>
    </w:p>
    <w:sectPr w:rsidR="00690835" w:rsidRPr="00B367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22DF"/>
    <w:multiLevelType w:val="multilevel"/>
    <w:tmpl w:val="05F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0A33"/>
    <w:multiLevelType w:val="multilevel"/>
    <w:tmpl w:val="D5B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3391F"/>
    <w:multiLevelType w:val="multilevel"/>
    <w:tmpl w:val="184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E6A05"/>
    <w:multiLevelType w:val="multilevel"/>
    <w:tmpl w:val="377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40288"/>
    <w:multiLevelType w:val="multilevel"/>
    <w:tmpl w:val="8968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C1538"/>
    <w:multiLevelType w:val="multilevel"/>
    <w:tmpl w:val="7BF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63909"/>
    <w:multiLevelType w:val="multilevel"/>
    <w:tmpl w:val="94C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17D09"/>
    <w:multiLevelType w:val="multilevel"/>
    <w:tmpl w:val="08E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61DB1"/>
    <w:multiLevelType w:val="multilevel"/>
    <w:tmpl w:val="A372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551D4"/>
    <w:multiLevelType w:val="multilevel"/>
    <w:tmpl w:val="E6BE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87F35"/>
    <w:multiLevelType w:val="multilevel"/>
    <w:tmpl w:val="E52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37D4C"/>
    <w:multiLevelType w:val="multilevel"/>
    <w:tmpl w:val="523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F4B8D"/>
    <w:multiLevelType w:val="multilevel"/>
    <w:tmpl w:val="41D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91A56"/>
    <w:multiLevelType w:val="multilevel"/>
    <w:tmpl w:val="01B4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23B5E"/>
    <w:multiLevelType w:val="multilevel"/>
    <w:tmpl w:val="9A5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052657">
    <w:abstractNumId w:val="12"/>
  </w:num>
  <w:num w:numId="2" w16cid:durableId="972641810">
    <w:abstractNumId w:val="3"/>
  </w:num>
  <w:num w:numId="3" w16cid:durableId="611327304">
    <w:abstractNumId w:val="11"/>
  </w:num>
  <w:num w:numId="4" w16cid:durableId="884102267">
    <w:abstractNumId w:val="2"/>
  </w:num>
  <w:num w:numId="5" w16cid:durableId="440151642">
    <w:abstractNumId w:val="5"/>
  </w:num>
  <w:num w:numId="6" w16cid:durableId="632977422">
    <w:abstractNumId w:val="14"/>
  </w:num>
  <w:num w:numId="7" w16cid:durableId="1897425409">
    <w:abstractNumId w:val="13"/>
  </w:num>
  <w:num w:numId="8" w16cid:durableId="1454983426">
    <w:abstractNumId w:val="0"/>
  </w:num>
  <w:num w:numId="9" w16cid:durableId="1795054439">
    <w:abstractNumId w:val="4"/>
  </w:num>
  <w:num w:numId="10" w16cid:durableId="36979138">
    <w:abstractNumId w:val="9"/>
  </w:num>
  <w:num w:numId="11" w16cid:durableId="1631398397">
    <w:abstractNumId w:val="7"/>
  </w:num>
  <w:num w:numId="12" w16cid:durableId="1479106736">
    <w:abstractNumId w:val="8"/>
  </w:num>
  <w:num w:numId="13" w16cid:durableId="52972350">
    <w:abstractNumId w:val="1"/>
  </w:num>
  <w:num w:numId="14" w16cid:durableId="1517502095">
    <w:abstractNumId w:val="10"/>
  </w:num>
  <w:num w:numId="15" w16cid:durableId="667442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18"/>
    <w:rsid w:val="000454EE"/>
    <w:rsid w:val="000525DE"/>
    <w:rsid w:val="00105F84"/>
    <w:rsid w:val="001C6028"/>
    <w:rsid w:val="0020374F"/>
    <w:rsid w:val="005C5F0B"/>
    <w:rsid w:val="005F6EA7"/>
    <w:rsid w:val="00690835"/>
    <w:rsid w:val="008454DC"/>
    <w:rsid w:val="009F42FE"/>
    <w:rsid w:val="00B05A38"/>
    <w:rsid w:val="00B3672F"/>
    <w:rsid w:val="00BA6018"/>
    <w:rsid w:val="00E12558"/>
    <w:rsid w:val="00F00D7A"/>
    <w:rsid w:val="00F73E67"/>
    <w:rsid w:val="00F9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CAFA"/>
  <w15:chartTrackingRefBased/>
  <w15:docId w15:val="{4F62ED7B-1D15-4AFD-95D1-88008047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Hu</dc:creator>
  <cp:keywords/>
  <dc:description/>
  <cp:lastModifiedBy>Daisy Hu</cp:lastModifiedBy>
  <cp:revision>8</cp:revision>
  <dcterms:created xsi:type="dcterms:W3CDTF">2026-01-21T07:56:00Z</dcterms:created>
  <dcterms:modified xsi:type="dcterms:W3CDTF">2026-01-21T16:00:00Z</dcterms:modified>
</cp:coreProperties>
</file>