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JacquesFrancoisShad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2">
      <w:pPr>
        <w:ind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3">
      <w:pPr>
        <w:ind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OBJETO DA ANÁLISE:</w:t>
      </w:r>
    </w:p>
    <w:p w:rsidR="00000000" w:rsidDel="00000000" w:rsidP="00000000" w:rsidRDefault="00000000" w:rsidRPr="00000000" w14:paraId="00000005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</w:p>
    <w:p w:rsidR="00000000" w:rsidDel="00000000" w:rsidP="00000000" w:rsidRDefault="00000000" w:rsidRPr="00000000" w14:paraId="00000006">
      <w:pPr>
        <w:ind w:firstLine="709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IDENTIFICAÇÃO DO PROCESSO: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PROCESSO SEI: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21593.000041/1991-36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B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N° TÍTULO: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MS002600000108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EMISSÃO: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20/10/1989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INDAIA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LOTE: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089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Município: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ITAQUIRAI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TITULAR: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IVONE SANTANA BRITO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CPF: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>338.113.931-20</w:t>
            </w:r>
          </w:p>
        </w:tc>
      </w:tr>
    </w:tbl>
    <w:p w:rsidR="00000000" w:rsidDel="00000000" w:rsidP="00000000" w:rsidRDefault="00000000" w:rsidRPr="00000000" w14:paraId="0000001D">
      <w:pPr>
        <w:ind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CONCLUSÃO:</w:t>
      </w:r>
    </w:p>
    <w:p w:rsidR="00000000" w:rsidDel="00000000" w:rsidP="00000000" w:rsidRDefault="00000000" w:rsidRPr="00000000" w14:paraId="0000001F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Após análise do requerimento realizado e da documentação constante nos autos,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não foi possível emitir a GRU solicitada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em razão da constatação de inadimplência do Título de Domínio emitido antes da vigência da IN 99/2019 (31/12/2019).</w:t>
      </w:r>
    </w:p>
    <w:p w:rsidR="00000000" w:rsidDel="00000000" w:rsidP="00000000" w:rsidRDefault="00000000" w:rsidRPr="00000000" w14:paraId="00000021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 atendimento ao Requerimento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27248393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segue Extrato de Prestações com o valor atualizado dos débitos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28582144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Considerando a inadimplência no pagamento do título de domínio, foi juntado o Despacho de autorização de cobrança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28582146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para conhecimento e manifestação da área finalística quanto ao interesse na continuidade da cobrança das parcelas, ato este que deve preceder a geração de GRU, nos termos da Portaria nº 2121/2021 (Sei 11148084).</w:t>
      </w:r>
    </w:p>
    <w:p w:rsidR="00000000" w:rsidDel="00000000" w:rsidP="00000000" w:rsidRDefault="00000000" w:rsidRPr="00000000" w14:paraId="00000022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Nada obstante, conforme Demonstrativo de Simulação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28582143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uma possível modificação contratual para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alteração das condições de pagamento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seria favorável ao beneficiário 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(§4º do art. 39 do Decreto 9.311/2018​).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Neste sentido, e considerando que a revisão das condições do pagamento por termo aditivo não é uma medida de ofício da Instituição, mas um direito que assiste aos beneficiários, foi juntado Modelo de Requerimento de Revisão das Condições de Pagamento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>28582147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ind w:firstLine="70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Posto isso, retornam-se os autos à Divisão de Governança Fundiária para as demais providências.</w:t>
      </w:r>
    </w:p>
    <w:p w:rsidR="00000000" w:rsidDel="00000000" w:rsidP="00000000" w:rsidRDefault="00000000" w:rsidRPr="00000000" w14:paraId="00000025">
      <w:pPr>
        <w:ind w:firstLine="56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 Grande,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B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C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E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righ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360" w:firstLine="1701"/>
      <w:jc w:val="both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righ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5400"/>
      </w:tabs>
      <w:spacing w:after="0" w:before="0" w:line="360" w:lineRule="auto"/>
      <w:ind w:left="0" w:right="360" w:firstLine="1701"/>
      <w:jc w:val="both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center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both"/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1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both"/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b="0" l="0" r="0" t="0"/>
          <wp:wrapNone/>
          <wp:docPr id="4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1701"/>
      <w:jc w:val="both"/>
      <w:rPr>
        <w:rFonts w:ascii="Jacques Francois Shadow" w:cs="Jacques Francois Shadow" w:eastAsia="Jacques Francois Shadow" w:hAnsi="Jacques Francois Shadow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less" w:cs="Timeless" w:eastAsia="Timeless" w:hAnsi="Timeles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lk1L4Hahs0vgjR6KgvLUK5Ekg==">CgMxLjA4AHIhMVphZ3NzMTd5d01kOXhrbU8xUm5wSkZmcEFUWS1mNG1h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