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JacquesFrancoisShadow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TÉCNICA </w:t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ASSUNTO: EMISSÃO DE GRU</w:t>
      </w:r>
    </w:p>
    <w:p w:rsidR="00000000" w:rsidDel="00000000" w:rsidP="00000000" w:rsidRDefault="00000000" w:rsidRPr="00000000" w14:paraId="00000004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OBJETO DA ANÁLISE:</w:t>
      </w:r>
    </w:p>
    <w:p w:rsidR="00000000" w:rsidDel="00000000" w:rsidP="00000000" w:rsidRDefault="00000000" w:rsidRPr="00000000" w14:paraId="00000006">
      <w:pPr>
        <w:ind w:firstLine="709"/>
        <w:rPr>
          <w:b w:val="1"/>
          <w:bCs w:val="1"/>
        </w:rPr>
      </w:pPr>
      <w:r w:rsidDel="00000000" w:rsidR="00000000" w:rsidRPr="00000000">
        <w:rPr>
          <w:rtl w:val="0"/>
        </w:rPr>
        <w:t xml:space="preserve">O presente documento tem por finalidade realizar análise processual para emissão de guia de recolhimento da União (GRU), para pagamento do Título de Domínio emitido para o beneficiário abaixo identificado: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IDENTIFICAÇÃO DO PROCESSO:</w:t>
      </w:r>
    </w:p>
    <w:tbl>
      <w:tblPr>
        <w:tblStyle w:val="Table1"/>
        <w:tblW w:w="977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90"/>
        <w:gridCol w:w="1417"/>
        <w:gridCol w:w="142"/>
        <w:gridCol w:w="1276"/>
        <w:gridCol w:w="2551"/>
        <w:tblGridChange w:id="0">
          <w:tblGrid>
            <w:gridCol w:w="4390"/>
            <w:gridCol w:w="1417"/>
            <w:gridCol w:w="142"/>
            <w:gridCol w:w="1276"/>
            <w:gridCol w:w="2551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8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PROCESSO SEI: </w:t>
            </w:r>
            <w:r w:rsidDel="00000000" w:rsidR="00000000" w:rsidRPr="00000000">
              <w:rPr>
                <w:b w:val="1"/>
                <w:bCs w:val="1"/>
                <w:rtl w:val="0"/>
              </w:rPr>
              <w:t>54290.001655/2006-18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SR(MS) 16 </w:t>
            </w:r>
          </w:p>
        </w:tc>
      </w:tr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D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N° TÍTULO: </w:t>
            </w:r>
            <w:r w:rsidDel="00000000" w:rsidR="00000000" w:rsidRPr="00000000">
              <w:rPr>
                <w:b w:val="1"/>
                <w:bCs w:val="1"/>
                <w:rtl w:val="0"/>
              </w:rPr>
              <w:t>MS013000000105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F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DATA EMISSÃO: </w:t>
            </w:r>
            <w:r w:rsidDel="00000000" w:rsidR="00000000" w:rsidRPr="00000000">
              <w:rPr>
                <w:b w:val="1"/>
                <w:bCs w:val="1"/>
                <w:rtl w:val="0"/>
              </w:rPr>
              <w:t>14/01/2022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PA: </w:t>
            </w:r>
            <w:r w:rsidDel="00000000" w:rsidR="00000000" w:rsidRPr="00000000">
              <w:rPr>
                <w:b w:val="1"/>
                <w:bCs w:val="1"/>
                <w:rtl w:val="0"/>
              </w:rPr>
              <w:t>SANTA MONICA - FETAGRI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LOTE: </w:t>
            </w:r>
            <w:r w:rsidDel="00000000" w:rsidR="00000000" w:rsidRPr="00000000">
              <w:rPr>
                <w:b w:val="1"/>
                <w:bCs w:val="1"/>
                <w:rtl w:val="0"/>
              </w:rPr>
              <w:t>334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5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Município: </w:t>
            </w:r>
            <w:r w:rsidDel="00000000" w:rsidR="00000000" w:rsidRPr="00000000">
              <w:rPr>
                <w:b w:val="1"/>
                <w:bCs w:val="1"/>
                <w:rtl w:val="0"/>
              </w:rPr>
              <w:t>TERENOS</w:t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7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BENEFICIÁRIO: </w:t>
            </w:r>
            <w:r w:rsidDel="00000000" w:rsidR="00000000" w:rsidRPr="00000000">
              <w:rPr>
                <w:b w:val="1"/>
                <w:bCs w:val="1"/>
                <w:rtl w:val="0"/>
              </w:rPr>
              <w:t>ETELVINA ESPINDOLA ARCE DOS SANTOS</w:t>
            </w:r>
          </w:p>
        </w:tc>
        <w:tc>
          <w:tcPr/>
          <w:p w:rsidR="00000000" w:rsidDel="00000000" w:rsidP="00000000" w:rsidRDefault="00000000" w:rsidRPr="00000000" w14:paraId="0000001B">
            <w:pPr>
              <w:ind w:firstLine="0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CPF: </w:t>
            </w:r>
            <w:r w:rsidDel="00000000" w:rsidR="00000000" w:rsidRPr="00000000">
              <w:rPr>
                <w:b w:val="1"/>
                <w:bCs w:val="1"/>
                <w:rtl w:val="0"/>
              </w:rPr>
              <w:t>273.414.961-34</w:t>
            </w:r>
          </w:p>
        </w:tc>
      </w:tr>
    </w:tbl>
    <w:p w:rsidR="00000000" w:rsidDel="00000000" w:rsidP="00000000" w:rsidRDefault="00000000" w:rsidRPr="00000000" w14:paraId="0000001C">
      <w:pPr>
        <w:ind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bCs w:val="1"/>
          <w:color w:val="000000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CONCLUSÃO:</w:t>
      </w:r>
    </w:p>
    <w:p w:rsidR="00000000" w:rsidDel="00000000" w:rsidP="00000000" w:rsidRDefault="00000000" w:rsidRPr="00000000" w14:paraId="0000001E">
      <w:pPr>
        <w:ind w:firstLine="709"/>
        <w:rPr/>
      </w:pPr>
      <w:r w:rsidDel="00000000" w:rsidR="00000000" w:rsidRPr="00000000">
        <w:rPr>
          <w:rtl w:val="0"/>
        </w:rPr>
        <w:t xml:space="preserve">Após análise processual, em atendimento ao Requerimento ([numRequerimento]) </w:t>
      </w:r>
      <w:r w:rsidDel="00000000" w:rsidR="00000000" w:rsidRPr="00000000">
        <w:rPr>
          <w:b w:val="1"/>
          <w:bCs w:val="1"/>
          <w:rtl w:val="0"/>
        </w:rPr>
        <w:t xml:space="preserve">emitiu-se o extrato de prestações ([numExtrato]), a memória de cálculo ([numMemoria]) e a GRU ([numGuiaGRU) solicitada</w:t>
      </w:r>
      <w:r w:rsidDel="00000000" w:rsidR="00000000" w:rsidRPr="00000000">
        <w:rPr>
          <w:rtl w:val="0"/>
        </w:rPr>
        <w:t xml:space="preserve"> que foram anexados ao processo, concluindo a análise técnica do processo.</w:t>
      </w:r>
    </w:p>
    <w:p w:rsidR="00000000" w:rsidDel="00000000" w:rsidP="00000000" w:rsidRDefault="00000000" w:rsidRPr="00000000" w14:paraId="0000001F">
      <w:pPr>
        <w:ind w:firstLine="709"/>
        <w:rPr/>
      </w:pPr>
      <w:r w:rsidDel="00000000" w:rsidR="00000000" w:rsidRPr="00000000">
        <w:rPr>
          <w:rtl w:val="0"/>
        </w:rPr>
        <w:t xml:space="preserve">Posto isso, retornam-se os autos ao Setor de Orçamento e Finanças para as demais providências</w:t>
      </w:r>
    </w:p>
    <w:p w:rsidR="00000000" w:rsidDel="00000000" w:rsidP="00000000" w:rsidRDefault="00000000" w:rsidRPr="00000000" w14:paraId="00000020">
      <w:pPr>
        <w:ind w:firstLine="567"/>
        <w:rPr/>
      </w:pPr>
      <w:r w:rsidDel="00000000" w:rsidR="00000000" w:rsidRPr="00000000">
        <w:rPr>
          <w:rtl w:val="0"/>
        </w:rPr>
        <w:t xml:space="preserve">Campo Grande, </w:t>
      </w:r>
      <w:r w:rsidDel="00000000" w:rsidR="00000000" w:rsidRPr="00000000">
        <w:rPr>
          <w:i w:val="1"/>
          <w:iCs w:val="1"/>
          <w:rtl w:val="0"/>
        </w:rPr>
        <w:t xml:space="preserve">data da assinatura eletrônica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ÉLIN TERUKO TOKKO</w:t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CPF 820.352.701-97</w:t>
      </w:r>
    </w:p>
    <w:p w:rsidR="00000000" w:rsidDel="00000000" w:rsidP="00000000" w:rsidRDefault="00000000" w:rsidRPr="00000000" w14:paraId="00000027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Coordenadora Técnica Dionízio &amp; Cruvinel</w:t>
      </w:r>
    </w:p>
    <w:p w:rsidR="00000000" w:rsidDel="00000000" w:rsidP="00000000" w:rsidRDefault="00000000" w:rsidRPr="00000000" w14:paraId="00000028">
      <w:pPr>
        <w:spacing w:line="240" w:lineRule="auto"/>
        <w:ind w:left="5103"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FAPEC nº 208/2025</w:t>
      </w:r>
    </w:p>
    <w:p w:rsidR="00000000" w:rsidDel="00000000" w:rsidP="00000000" w:rsidRDefault="00000000" w:rsidRPr="00000000" w14:paraId="00000029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CONTRATO UFMS/FAPEC 114/2021</w:t>
      </w:r>
    </w:p>
    <w:p w:rsidR="00000000" w:rsidDel="00000000" w:rsidP="00000000" w:rsidRDefault="00000000" w:rsidRPr="00000000" w14:paraId="0000002A">
      <w:pPr>
        <w:spacing w:line="240" w:lineRule="auto"/>
        <w:ind w:firstLine="0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TED INCRA/UFMS 10/2021</w:t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40" w:w="11907" w:orient="portrait"/>
      <w:pgMar w:bottom="1418" w:top="1985" w:left="1134" w:right="992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Jacques Francois Shadow">
    <w:embedRegular w:fontKey="{00000000-0000-0000-0000-000000000000}" r:id="rId1" w:subsetted="0"/>
  </w:font>
  <w:font w:name="Timeless"/>
  <w:font w:name="Book Antiqua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  <w:tab w:val="left" w:leader="none" w:pos="5400"/>
      </w:tabs>
      <w:ind w:right="360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color w:val="000000"/>
        <w:sz w:val="20"/>
        <w:szCs w:val="20"/>
        <w:rtl w:val="0"/>
      </w:rPr>
      <w:tab/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1944052</wp:posOffset>
              </wp:positionH>
              <wp:positionV relativeFrom="paragraph">
                <wp:posOffset>163513</wp:posOffset>
              </wp:positionV>
              <wp:extent cx="640715" cy="2298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1944052</wp:posOffset>
              </wp:positionH>
              <wp:positionV relativeFrom="paragraph">
                <wp:posOffset>163513</wp:posOffset>
              </wp:positionV>
              <wp:extent cx="640715" cy="229870"/>
              <wp:effectExtent b="0" l="0" r="0" t="0"/>
              <wp:wrapNone/>
              <wp:docPr id="2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0715" cy="2298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-9202</wp:posOffset>
              </wp:positionH>
              <wp:positionV relativeFrom="paragraph">
                <wp:posOffset>381953</wp:posOffset>
              </wp:positionV>
              <wp:extent cx="4881880" cy="295275"/>
              <wp:effectExtent b="0" l="0" r="0" t="0"/>
              <wp:wrapSquare wrapText="bothSides" distB="0" distT="0" distL="114300" distR="114300"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360"/>
                            <w:ind w:left="0" w:right="0" w:firstLine="1701.0000610351562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-9202</wp:posOffset>
              </wp:positionH>
              <wp:positionV relativeFrom="paragraph">
                <wp:posOffset>381953</wp:posOffset>
              </wp:positionV>
              <wp:extent cx="4881880" cy="295275"/>
              <wp:effectExtent b="0" l="0" r="0" t="0"/>
              <wp:wrapSquare wrapText="bothSides" distB="0" distT="0" distL="114300" distR="114300"/>
              <wp:docPr id="1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81880" cy="2952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center"/>
      <w:rPr>
        <w:rFonts w:ascii="Book Antiqua" w:cs="Book Antiqua" w:eastAsia="Book Antiqua" w:hAnsi="Book Antiqua"/>
        <w:color w:val="000000"/>
        <w:sz w:val="18"/>
        <w:szCs w:val="18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jc w:val="right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Fonts w:ascii="Courier New" w:cs="Courier New" w:eastAsia="Courier New" w:hAnsi="Courier New"/>
        <w:color w:val="000000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ind w:right="360"/>
      <w:rPr>
        <w:rFonts w:ascii="Courier New" w:cs="Courier New" w:eastAsia="Courier New" w:hAnsi="Courier New"/>
        <w:color w:val="000000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-4747</wp:posOffset>
          </wp:positionH>
          <wp:positionV relativeFrom="page">
            <wp:posOffset>-10792</wp:posOffset>
          </wp:positionV>
          <wp:extent cx="7560000" cy="10684800"/>
          <wp:effectExtent b="0" l="0" r="0" t="0"/>
          <wp:wrapNone/>
          <wp:docPr id="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b="0" l="0" r="0" t="0"/>
          <wp:wrapNone/>
          <wp:docPr id="5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rFonts w:ascii="Jacques Francois Shadow" w:cs="Jacques Francois Shadow" w:eastAsia="Jacques Francois Shadow" w:hAnsi="Jacques Francois Shadow"/>
        <w:b w:val="1"/>
        <w:bCs w:val="1"/>
        <w:color w:val="000000"/>
      </w:rPr>
    </w:pPr>
    <w:r w:rsidDel="00000000" w:rsidR="00000000" w:rsidRPr="00000000">
      <w:rPr>
        <w:color w:val="000000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-35886</wp:posOffset>
          </wp:positionH>
          <wp:positionV relativeFrom="page">
            <wp:posOffset>0</wp:posOffset>
          </wp:positionV>
          <wp:extent cx="7560000" cy="10684800"/>
          <wp:effectExtent b="0" l="0" r="0" t="0"/>
          <wp:wrapNone/>
          <wp:docPr id="4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396.0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1.jpg"/>
        </v:shape>
      </w:pict>
    </w:r>
    <w:r w:rsidDel="00000000" w:rsidR="00000000" w:rsidRPr="00000000">
      <w:rPr>
        <w:color w:val="000000"/>
      </w:rPr>
      <w:pict>
        <v:shape id="WordPictureWatermark2" style="position:absolute;width:406.5pt;height:414.7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3.jpg"/>
        </v:shape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Timeless" w:cs="Timeless" w:eastAsia="Timeless" w:hAnsi="Timeless"/>
        <w:sz w:val="24"/>
        <w:szCs w:val="24"/>
        <w:lang w:val="pt_BR"/>
      </w:rPr>
    </w:rPrDefault>
    <w:pPrDefault>
      <w:pPr>
        <w:spacing w:line="360" w:lineRule="auto"/>
        <w:ind w:firstLine="170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ind w:firstLine="1260"/>
    </w:pPr>
    <w:rPr>
      <w:rFonts w:ascii="Arial" w:cs="Arial" w:eastAsia="Arial" w:hAnsi="Arial"/>
      <w:b w:val="1"/>
      <w:bCs w:val="1"/>
    </w:rPr>
  </w:style>
  <w:style w:type="paragraph" w:styleId="Heading2">
    <w:name w:val="heading 2"/>
    <w:basedOn w:val="Normal"/>
    <w:next w:val="Normal"/>
    <w:pPr>
      <w:keepNext w:val="1"/>
      <w:jc w:val="right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</w:pPr>
    <w:rPr>
      <w:b w:val="1"/>
      <w:bCs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b w:val="1"/>
      <w:bCs w:val="1"/>
      <w:i w:val="1"/>
      <w:iCs w:val="1"/>
      <w:sz w:val="26"/>
      <w:szCs w:val="26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60" w:line="240" w:lineRule="auto"/>
      <w:ind w:firstLine="0"/>
      <w:jc w:val="center"/>
    </w:pPr>
    <w:rPr>
      <w:b w:val="1"/>
      <w:bCs w:val="1"/>
      <w:smallCaps w:val="1"/>
      <w:sz w:val="26"/>
      <w:szCs w:val="26"/>
    </w:rPr>
  </w:style>
  <w:style w:type="paragraph" w:styleId="Subtitle">
    <w:name w:val="Subtitle"/>
    <w:basedOn w:val="Normal"/>
    <w:next w:val="Normal"/>
    <w:pPr>
      <w:spacing w:after="60" w:lineRule="auto"/>
      <w:ind w:firstLine="0"/>
      <w:jc w:val="center"/>
    </w:pPr>
    <w:rPr>
      <w:b w:val="1"/>
      <w:bCs w:val="1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JacquesFrancoisShadow-regular.ttf"/><Relationship Id="rId2" Type="http://schemas.openxmlformats.org/officeDocument/2006/relationships/font" Target="fonts/BookAntiqua-regular.ttf"/><Relationship Id="rId3" Type="http://schemas.openxmlformats.org/officeDocument/2006/relationships/font" Target="fonts/BookAntiqua-bold.ttf"/><Relationship Id="rId4" Type="http://schemas.openxmlformats.org/officeDocument/2006/relationships/font" Target="fonts/BookAntiqua-italic.ttf"/><Relationship Id="rId5" Type="http://schemas.openxmlformats.org/officeDocument/2006/relationships/font" Target="fonts/BookAntiqua-boldItalic.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Relationship Id="rId2" Type="http://schemas.openxmlformats.org/officeDocument/2006/relationships/image" Target="media/image4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JRgLvHDIcxYE/6I5TOo1wAX/Bg==">CgMxLjA4AHIhMW5YSFVtTG1QVVFwcHppVnZHNG9GLVVod2d2dG1RWGRs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