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JacquesFrancoisShad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TÉCNICA 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ASSUNTO: EMISSÃO DE GRU</w:t>
      </w:r>
    </w:p>
    <w:p w:rsidR="00000000" w:rsidDel="00000000" w:rsidP="00000000" w:rsidRDefault="00000000" w:rsidRPr="00000000" w14:paraId="0000000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OBJETO DA ANÁLISE:</w:t>
      </w:r>
    </w:p>
    <w:p w:rsidR="00000000" w:rsidDel="00000000" w:rsidP="00000000" w:rsidRDefault="00000000" w:rsidRPr="00000000" w14:paraId="00000006">
      <w:pPr>
        <w:ind w:firstLine="709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presente documento tem por finalidade realizar análise processual para emissão de guia de recolhimento da União (GRU), para pagamento do Título de Domínio emitido para o beneficiário abaixo identificado: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IDENTIFICAÇÃO DO PROCESSO:</w:t>
      </w:r>
    </w:p>
    <w:tbl>
      <w:tblPr>
        <w:tblStyle w:val="Table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1417"/>
        <w:gridCol w:w="142"/>
        <w:gridCol w:w="1276"/>
        <w:gridCol w:w="2551"/>
        <w:tblGridChange w:id="0">
          <w:tblGrid>
            <w:gridCol w:w="4390"/>
            <w:gridCol w:w="1417"/>
            <w:gridCol w:w="142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PROCESSO SEI: </w:t>
            </w:r>
            <w:r w:rsidDel="00000000" w:rsidR="00000000" w:rsidRPr="00000000">
              <w:rPr>
                <w:b w:val="1"/>
                <w:bCs w:val="1"/>
                <w:rtl w:val="0"/>
              </w:rPr>
              <w:t>54293.000116/2009-76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SR(MS) 16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N° TÍTULO: </w:t>
            </w:r>
            <w:r w:rsidDel="00000000" w:rsidR="00000000" w:rsidRPr="00000000">
              <w:rPr>
                <w:b w:val="1"/>
                <w:bCs w:val="1"/>
                <w:rtl w:val="0"/>
              </w:rPr>
              <w:t>MS020600000262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EMISSÃO: </w:t>
            </w:r>
            <w:r w:rsidDel="00000000" w:rsidR="00000000" w:rsidRPr="00000000">
              <w:rPr>
                <w:b w:val="1"/>
                <w:bCs w:val="1"/>
                <w:rtl w:val="0"/>
              </w:rPr>
              <w:t>27/09/2022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LOTE: </w:t>
            </w:r>
            <w:r w:rsidDel="00000000" w:rsidR="00000000" w:rsidRPr="00000000">
              <w:rPr>
                <w:b w:val="1"/>
                <w:bCs w:val="1"/>
                <w:rtl w:val="0"/>
              </w:rPr>
              <w:t>027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Município: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BENEFICIÁRIO: </w:t>
            </w:r>
            <w:r w:rsidDel="00000000" w:rsidR="00000000" w:rsidRPr="00000000">
              <w:rPr>
                <w:b w:val="1"/>
                <w:bCs w:val="1"/>
                <w:rtl w:val="0"/>
              </w:rPr>
              <w:t>ANGELA MARIA DA SILVA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CPF: </w:t>
            </w:r>
            <w:r w:rsidDel="00000000" w:rsidR="00000000" w:rsidRPr="00000000">
              <w:rPr>
                <w:b w:val="1"/>
                <w:bCs w:val="1"/>
                <w:rtl w:val="0"/>
              </w:rPr>
              <w:t>009.681.211-79</w:t>
            </w:r>
          </w:p>
        </w:tc>
      </w:tr>
    </w:tbl>
    <w:p w:rsidR="00000000" w:rsidDel="00000000" w:rsidP="00000000" w:rsidRDefault="00000000" w:rsidRPr="00000000" w14:paraId="0000001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CONCLUSÃO:</w:t>
      </w:r>
    </w:p>
    <w:p w:rsidR="00000000" w:rsidDel="00000000" w:rsidP="00000000" w:rsidRDefault="00000000" w:rsidRPr="00000000" w14:paraId="0000001E">
      <w:pPr>
        <w:ind w:firstLine="709"/>
        <w:rPr/>
      </w:pPr>
      <w:r w:rsidDel="00000000" w:rsidR="00000000" w:rsidRPr="00000000">
        <w:rPr>
          <w:rtl w:val="0"/>
        </w:rPr>
        <w:t xml:space="preserve">Após análise processual, em atendimento ao Requerimento ([numRequerimento]) </w:t>
      </w:r>
      <w:r w:rsidDel="00000000" w:rsidR="00000000" w:rsidRPr="00000000">
        <w:rPr>
          <w:b w:val="1"/>
          <w:bCs w:val="1"/>
          <w:rtl w:val="0"/>
        </w:rPr>
        <w:t xml:space="preserve">emitiu-se o extrato de prestações ([numExtrato]), a memória de cálculo ([numMemoria]) e a GRU ([numGuiaGRU) solicitada</w:t>
      </w:r>
      <w:r w:rsidDel="00000000" w:rsidR="00000000" w:rsidRPr="00000000">
        <w:rPr>
          <w:rtl w:val="0"/>
        </w:rPr>
        <w:t xml:space="preserve"> que foram anexados ao processo, concluindo a análise técnica do processo.</w:t>
      </w:r>
    </w:p>
    <w:p w:rsidR="00000000" w:rsidDel="00000000" w:rsidP="00000000" w:rsidRDefault="00000000" w:rsidRPr="00000000" w14:paraId="0000001F">
      <w:pPr>
        <w:ind w:firstLine="709"/>
        <w:rPr/>
      </w:pPr>
      <w:r w:rsidDel="00000000" w:rsidR="00000000" w:rsidRPr="00000000">
        <w:rPr>
          <w:rtl w:val="0"/>
        </w:rPr>
        <w:t xml:space="preserve">Posto isso, retornam-se os autos ao Setor de Orçamento e Finanças para as demais providências</w:t>
      </w:r>
    </w:p>
    <w:p w:rsidR="00000000" w:rsidDel="00000000" w:rsidP="00000000" w:rsidRDefault="00000000" w:rsidRPr="00000000" w14:paraId="00000020">
      <w:pPr>
        <w:ind w:firstLine="567"/>
        <w:rPr/>
      </w:pPr>
      <w:r w:rsidDel="00000000" w:rsidR="00000000" w:rsidRPr="00000000">
        <w:rPr>
          <w:rtl w:val="0"/>
        </w:rPr>
        <w:t xml:space="preserve">Campo Grande, </w:t>
      </w:r>
      <w:r w:rsidDel="00000000" w:rsidR="00000000" w:rsidRPr="00000000">
        <w:rPr>
          <w:i w:val="1"/>
          <w:iCs w:val="1"/>
          <w:rtl w:val="0"/>
        </w:rPr>
        <w:t xml:space="preserve">data da assinatura eletrônica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ÉLIN TERUKO TOKKO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 820.352.701-97</w:t>
      </w:r>
    </w:p>
    <w:p w:rsidR="00000000" w:rsidDel="00000000" w:rsidP="00000000" w:rsidRDefault="00000000" w:rsidRPr="00000000" w14:paraId="00000027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Técnica Dionízio &amp; Cruvinel</w:t>
      </w:r>
    </w:p>
    <w:p w:rsidR="00000000" w:rsidDel="00000000" w:rsidP="00000000" w:rsidRDefault="00000000" w:rsidRPr="00000000" w14:paraId="00000028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FAPEC nº 208/2025</w:t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UFMS/FAPEC 114/2021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INCRA/UFMS 10/2021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18" w:top="1985" w:left="1134" w:right="9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Jacques Francois Shadow">
    <w:embedRegular w:fontKey="{00000000-0000-0000-0000-000000000000}" r:id="rId1" w:subsetted="0"/>
  </w:font>
  <w:font w:name="Timeless"/>
  <w:font w:name="Book Antiqu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5400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715" cy="229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81880" cy="295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ook Antiqua" w:cs="Book Antiqua" w:eastAsia="Book Antiqua" w:hAnsi="Book Antiqua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-4747</wp:posOffset>
          </wp:positionH>
          <wp:positionV relativeFrom="page">
            <wp:posOffset>-10792</wp:posOffset>
          </wp:positionV>
          <wp:extent cx="7560000" cy="1068480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Jacques Francois Shadow" w:cs="Jacques Francois Shadow" w:eastAsia="Jacques Francois Shadow" w:hAnsi="Jacques Francois Shadow"/>
        <w:b w:val="1"/>
        <w:bCs w:val="1"/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-35886</wp:posOffset>
          </wp:positionH>
          <wp:positionV relativeFrom="page">
            <wp:posOffset>0</wp:posOffset>
          </wp:positionV>
          <wp:extent cx="7560000" cy="1068480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396.0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color w:val="000000"/>
      </w:rPr>
      <w:pict>
        <v:shape id="WordPictureWatermark2" style="position:absolute;width:406.5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less" w:cs="Timeless" w:eastAsia="Timeless" w:hAnsi="Timeless"/>
        <w:sz w:val="24"/>
        <w:szCs w:val="24"/>
        <w:lang w:val="pt_BR"/>
      </w:rPr>
    </w:rPrDefault>
    <w:pPrDefault>
      <w:pPr>
        <w:spacing w:line="360" w:lineRule="auto"/>
        <w:ind w:firstLine="17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12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60" w:line="240" w:lineRule="auto"/>
      <w:ind w:firstLine="0"/>
      <w:jc w:val="center"/>
    </w:pPr>
    <w:rPr>
      <w:b w:val="1"/>
      <w:bCs w:val="1"/>
      <w:smallCaps w:val="1"/>
      <w:sz w:val="26"/>
      <w:szCs w:val="26"/>
    </w:rPr>
  </w:style>
  <w:style w:type="paragraph" w:styleId="Subtitle">
    <w:name w:val="Subtitle"/>
    <w:basedOn w:val="Normal"/>
    <w:next w:val="Normal"/>
    <w:pPr>
      <w:spacing w:after="60" w:lineRule="auto"/>
      <w:ind w:firstLine="0"/>
      <w:jc w:val="center"/>
    </w:pPr>
    <w:rPr>
      <w:b w:val="1"/>
      <w:bCs w:val="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JacquesFrancoisShadow-regular.ttf"/><Relationship Id="rId2" Type="http://schemas.openxmlformats.org/officeDocument/2006/relationships/font" Target="fonts/BookAntiqua-regular.ttf"/><Relationship Id="rId3" Type="http://schemas.openxmlformats.org/officeDocument/2006/relationships/font" Target="fonts/BookAntiqua-bold.ttf"/><Relationship Id="rId4" Type="http://schemas.openxmlformats.org/officeDocument/2006/relationships/font" Target="fonts/BookAntiqua-italic.ttf"/><Relationship Id="rId5" Type="http://schemas.openxmlformats.org/officeDocument/2006/relationships/font" Target="fonts/BookAntiqua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RgLvHDIcxYE/6I5TOo1wAX/Bg==">CgMxLjA4AHIhMW5YSFVtTG1QVVFwcHppVnZHNG9GLVVod2d2dG1RWGRs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