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TÉCNICA </w:t>
      </w:r>
    </w:p>
    <w:p w:rsidR="00000000" w:rsidDel="00000000" w:rsidP="00000000" w:rsidRDefault="00000000" w:rsidRPr="00000000" w14:paraId="00000002">
      <w:pPr>
        <w:ind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ASSUNTO: EMISSÃO DE GRU</w:t>
      </w:r>
    </w:p>
    <w:p w:rsidR="00000000" w:rsidDel="00000000" w:rsidP="00000000" w:rsidRDefault="00000000" w:rsidRPr="00000000" w14:paraId="00000003">
      <w:pPr>
        <w:ind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OBJETO DA ANÁLISE:</w:t>
      </w:r>
    </w:p>
    <w:p w:rsidR="00000000" w:rsidDel="00000000" w:rsidP="00000000" w:rsidRDefault="00000000" w:rsidRPr="00000000" w14:paraId="00000005">
      <w:pPr>
        <w:ind w:firstLine="70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presente documento tem por finalidade realizar análise processual para emissão de guia de recolhimento da União (GRU), para pagamento do Título de Domínio emitido para o beneficiário abaixo identificado:</w:t>
      </w:r>
    </w:p>
    <w:p w:rsidR="00000000" w:rsidDel="00000000" w:rsidP="00000000" w:rsidRDefault="00000000" w:rsidRPr="00000000" w14:paraId="00000006">
      <w:pPr>
        <w:ind w:firstLine="709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IDENTIFICAÇÃO DO PROCESSO: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7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1417"/>
        <w:gridCol w:w="142"/>
        <w:gridCol w:w="1276"/>
        <w:gridCol w:w="2551"/>
        <w:tblGridChange w:id="0">
          <w:tblGrid>
            <w:gridCol w:w="4390"/>
            <w:gridCol w:w="1417"/>
            <w:gridCol w:w="142"/>
            <w:gridCol w:w="1276"/>
            <w:gridCol w:w="255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9">
            <w:pPr>
              <w:ind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PROCESSO SEI: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[processo]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B">
            <w:pPr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SR(MS) 16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ind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N° TÍTULO: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[sipra]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0">
            <w:pPr>
              <w:ind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EMISSÃO: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[dataTitulo]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ind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[PA]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ind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LOTE: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[numLote]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6">
            <w:pPr>
              <w:ind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Município: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[municipio]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8">
            <w:pPr>
              <w:ind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TITULAR: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[beneficiario]</w:t>
            </w:r>
          </w:p>
        </w:tc>
        <w:tc>
          <w:tcPr/>
          <w:p w:rsidR="00000000" w:rsidDel="00000000" w:rsidP="00000000" w:rsidRDefault="00000000" w:rsidRPr="00000000" w14:paraId="0000001C">
            <w:pPr>
              <w:ind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CPF: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[cpf]</w:t>
            </w:r>
          </w:p>
        </w:tc>
      </w:tr>
    </w:tbl>
    <w:p w:rsidR="00000000" w:rsidDel="00000000" w:rsidP="00000000" w:rsidRDefault="00000000" w:rsidRPr="00000000" w14:paraId="0000001D">
      <w:pPr>
        <w:ind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CONCLUSÃO:</w:t>
      </w:r>
    </w:p>
    <w:p w:rsidR="00000000" w:rsidDel="00000000" w:rsidP="00000000" w:rsidRDefault="00000000" w:rsidRPr="00000000" w14:paraId="0000001F">
      <w:pPr>
        <w:ind w:firstLine="709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0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Após análise do requerimento realizado e da documentação constante nos autos,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não foi possível emitir a GRU solicitada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em razão da constatação de inadimplência do Título de Domínio emitido antes da vigência da IN 99/2019 (31/12/2019).</w:t>
      </w:r>
    </w:p>
    <w:p w:rsidR="00000000" w:rsidDel="00000000" w:rsidP="00000000" w:rsidRDefault="00000000" w:rsidRPr="00000000" w14:paraId="00000021">
      <w:pPr>
        <w:ind w:firstLine="70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 atendimento ao Requerimento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[nupRequerimento]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segue Extrato de Prestações com o valor atualizado dos débitos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[nupExtrato]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 Considerando a inadimplência no pagamento do título de domínio, foi juntado o Despacho de autorização de cobrança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[nupDespacho]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para conhecimento e manifestação da área finalística quanto ao interesse na continuidade da cobrança das parcelas, ato este que deve preceder a geração de GRU, nos termos da Portaria nº 2121/2021 (Sei 11148084).</w:t>
      </w:r>
    </w:p>
    <w:p w:rsidR="00000000" w:rsidDel="00000000" w:rsidP="00000000" w:rsidRDefault="00000000" w:rsidRPr="00000000" w14:paraId="00000022">
      <w:pPr>
        <w:ind w:firstLine="70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Nada obstante, conforme Demonstrativo de Simulação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[nupSimulacao]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uma possível modificação contratual para 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alteração das condições de pagamento 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seria favorável ao beneficiário 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(§4º do art. 39 do Decreto 9.311/2018​).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0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Neste sentido, e considerando que a revisão das condições do pagamento por termo aditivo não é uma medida de ofício da Instituição, mas um direito que assiste aos beneficiários, foi juntado Modelo de Requerimento de Revisão das Condições de Pagamento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[nupReqCondicoes]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ind w:firstLine="70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Posto isso, retornam-se os autos à Divisão de Governança Fundiária para as demais providências.</w:t>
      </w:r>
    </w:p>
    <w:p w:rsidR="00000000" w:rsidDel="00000000" w:rsidP="00000000" w:rsidRDefault="00000000" w:rsidRPr="00000000" w14:paraId="00000025">
      <w:pPr>
        <w:ind w:firstLine="5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Campo Grande,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data da assinatura eletrônica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line="240" w:lineRule="auto"/>
        <w:ind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ÉLIN TERUKO TOKKO</w:t>
      </w:r>
    </w:p>
    <w:p w:rsidR="00000000" w:rsidDel="00000000" w:rsidP="00000000" w:rsidRDefault="00000000" w:rsidRPr="00000000" w14:paraId="0000002A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CPF 820.352.701-97</w:t>
      </w:r>
    </w:p>
    <w:p w:rsidR="00000000" w:rsidDel="00000000" w:rsidP="00000000" w:rsidRDefault="00000000" w:rsidRPr="00000000" w14:paraId="0000002B">
      <w:pPr>
        <w:spacing w:line="240" w:lineRule="auto"/>
        <w:ind w:left="5103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Técnica Dionízio &amp; Cruvinel</w:t>
      </w:r>
    </w:p>
    <w:p w:rsidR="00000000" w:rsidDel="00000000" w:rsidP="00000000" w:rsidRDefault="00000000" w:rsidRPr="00000000" w14:paraId="0000002C">
      <w:pPr>
        <w:spacing w:line="240" w:lineRule="auto"/>
        <w:ind w:left="5103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FAPEC nº 208/2025</w:t>
      </w:r>
    </w:p>
    <w:p w:rsidR="00000000" w:rsidDel="00000000" w:rsidP="00000000" w:rsidRDefault="00000000" w:rsidRPr="00000000" w14:paraId="0000002D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UFMS/FAPEC 114/2021</w:t>
      </w:r>
    </w:p>
    <w:p w:rsidR="00000000" w:rsidDel="00000000" w:rsidP="00000000" w:rsidRDefault="00000000" w:rsidRPr="00000000" w14:paraId="0000002E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TED INCRA/UFMS 10/2021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7" w:orient="portrait"/>
      <w:pgMar w:bottom="1418" w:top="1985" w:left="1134" w:right="992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Jacques Francois Shadow">
    <w:embedRegular w:fontKey="{00000000-0000-0000-0000-000000000000}" r:id="rId1" w:subsetted="0"/>
  </w:font>
  <w:font w:name="Timeless"/>
  <w:font w:name="Book Antiqua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1701"/>
      <w:jc w:val="right"/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360" w:firstLine="1701"/>
      <w:jc w:val="both"/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1701"/>
      <w:jc w:val="right"/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5400"/>
      </w:tabs>
      <w:spacing w:after="0" w:before="0" w:line="360" w:lineRule="auto"/>
      <w:ind w:left="0" w:right="360" w:firstLine="1701"/>
      <w:jc w:val="both"/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1953577</wp:posOffset>
              </wp:positionH>
              <wp:positionV relativeFrom="paragraph">
                <wp:posOffset>173038</wp:posOffset>
              </wp:positionV>
              <wp:extent cx="621665" cy="21082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39930" y="3679353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1701.0000610351562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1953577</wp:posOffset>
              </wp:positionH>
              <wp:positionV relativeFrom="paragraph">
                <wp:posOffset>173038</wp:posOffset>
              </wp:positionV>
              <wp:extent cx="621665" cy="21082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665" cy="2108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319</wp:posOffset>
              </wp:positionH>
              <wp:positionV relativeFrom="paragraph">
                <wp:posOffset>391478</wp:posOffset>
              </wp:positionV>
              <wp:extent cx="4862830" cy="276225"/>
              <wp:effectExtent b="0" l="0" r="0" t="0"/>
              <wp:wrapSquare wrapText="bothSides" distB="0" distT="0" distL="114300" distR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919348" y="364665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1701.0000610351562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319</wp:posOffset>
              </wp:positionH>
              <wp:positionV relativeFrom="paragraph">
                <wp:posOffset>391478</wp:posOffset>
              </wp:positionV>
              <wp:extent cx="4862830" cy="276225"/>
              <wp:effectExtent b="0" l="0" r="0" t="0"/>
              <wp:wrapSquare wrapText="bothSides" distB="0" distT="0" distL="114300" distR="114300"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62830" cy="276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1701"/>
      <w:jc w:val="center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1701"/>
      <w:jc w:val="both"/>
      <w:rPr>
        <w:rFonts w:ascii="Timeless" w:cs="Timeless" w:eastAsia="Timeless" w:hAnsi="Timeles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less" w:cs="Timeless" w:eastAsia="Timeless" w:hAnsi="Timeles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396.0pt;height:414.7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jpg"/>
        </v:shape>
      </w:pict>
    </w:r>
    <w:r w:rsidDel="00000000" w:rsidR="00000000" w:rsidRPr="00000000">
      <w:rPr>
        <w:rFonts w:ascii="Timeless" w:cs="Timeless" w:eastAsia="Timeless" w:hAnsi="Timeles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06.5pt;height:414.7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1.jp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1701"/>
      <w:jc w:val="both"/>
      <w:rPr>
        <w:rFonts w:ascii="Timeless" w:cs="Timeless" w:eastAsia="Timeless" w:hAnsi="Timeles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less" w:cs="Timeless" w:eastAsia="Timeless" w:hAnsi="Timeles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-4749</wp:posOffset>
          </wp:positionH>
          <wp:positionV relativeFrom="page">
            <wp:posOffset>-10794</wp:posOffset>
          </wp:positionV>
          <wp:extent cx="7560000" cy="10684800"/>
          <wp:effectExtent b="0" l="0" r="0" t="0"/>
          <wp:wrapNone/>
          <wp:docPr id="4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76237" cy="95512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1701"/>
      <w:jc w:val="both"/>
      <w:rPr>
        <w:rFonts w:ascii="Jacques Francois Shadow" w:cs="Jacques Francois Shadow" w:eastAsia="Jacques Francois Shadow" w:hAnsi="Jacques Francois Shadow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less" w:cs="Timeless" w:eastAsia="Timeless" w:hAnsi="Timeles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-35889</wp:posOffset>
          </wp:positionH>
          <wp:positionV relativeFrom="page">
            <wp:posOffset>0</wp:posOffset>
          </wp:positionV>
          <wp:extent cx="7560000" cy="10684800"/>
          <wp:effectExtent b="0" l="0" r="0" t="0"/>
          <wp:wrapNone/>
          <wp:docPr id="5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less" w:cs="Timeless" w:eastAsia="Timeless" w:hAnsi="Timeless"/>
        <w:sz w:val="24"/>
        <w:szCs w:val="24"/>
        <w:lang w:val="pt_BR"/>
      </w:rPr>
    </w:rPrDefault>
    <w:pPrDefault>
      <w:pPr>
        <w:spacing w:line="360" w:lineRule="auto"/>
        <w:ind w:firstLine="170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firstLine="1260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jc w:val="right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60" w:line="240" w:lineRule="auto"/>
      <w:ind w:firstLine="0"/>
      <w:jc w:val="center"/>
    </w:pPr>
    <w:rPr>
      <w:b w:val="1"/>
      <w:bCs w:val="1"/>
      <w:smallCaps w:val="1"/>
      <w:sz w:val="26"/>
      <w:szCs w:val="26"/>
    </w:rPr>
  </w:style>
  <w:style w:type="paragraph" w:styleId="Subtitle">
    <w:name w:val="Subtitle"/>
    <w:basedOn w:val="Normal"/>
    <w:next w:val="Normal"/>
    <w:pPr>
      <w:spacing w:after="60" w:lineRule="auto"/>
      <w:ind w:firstLine="0"/>
      <w:jc w:val="center"/>
    </w:pPr>
    <w:rPr>
      <w:b w:val="1"/>
      <w:bCs w:val="1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acquesFrancoisShadow-regular.ttf"/><Relationship Id="rId2" Type="http://schemas.openxmlformats.org/officeDocument/2006/relationships/font" Target="fonts/BookAntiqua-regular.ttf"/><Relationship Id="rId3" Type="http://schemas.openxmlformats.org/officeDocument/2006/relationships/font" Target="fonts/BookAntiqua-bold.ttf"/><Relationship Id="rId4" Type="http://schemas.openxmlformats.org/officeDocument/2006/relationships/font" Target="fonts/BookAntiqua-italic.ttf"/><Relationship Id="rId5" Type="http://schemas.openxmlformats.org/officeDocument/2006/relationships/font" Target="fonts/BookAntiqua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lk1L4Hahs0vgjR6KgvLUK5Ekg==">CgMxLjA4AHIhMVphZ3NzMTd5d01kOXhrbU8xUm5wSkZmcEFUWS1mNG1h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