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1685925</wp:posOffset>
            </wp:positionH>
            <wp:positionV relativeFrom="paragraph">
              <wp:posOffset>114300</wp:posOffset>
            </wp:positionV>
            <wp:extent cx="3024188" cy="1010870"/>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4188" cy="1010870"/>
                    </a:xfrm>
                    <a:prstGeom prst="rect"/>
                    <a:ln/>
                  </pic:spPr>
                </pic:pic>
              </a:graphicData>
            </a:graphic>
          </wp:anchor>
        </w:drawing>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Instituto Federal de Educação, Ciência e Tecnologia de Mato Grosso </w:t>
        <w:br w:type="textWrapping"/>
        <w:t xml:space="preserve">Curso: Engenharia da Computação</w:t>
        <w:br w:type="textWrapping"/>
        <w:t xml:space="preserve">Disciplina: Transmissão e comunicação de dados</w:t>
        <w:br w:type="textWrapping"/>
        <w:t xml:space="preserve">Professor: </w:t>
      </w:r>
      <w:r w:rsidDel="00000000" w:rsidR="00000000" w:rsidRPr="00000000">
        <w:rPr>
          <w:rFonts w:ascii="Arial" w:cs="Arial" w:eastAsia="Arial" w:hAnsi="Arial"/>
          <w:sz w:val="24"/>
          <w:szCs w:val="24"/>
          <w:shd w:fill="fcfcfd" w:val="clear"/>
          <w:rtl w:val="0"/>
        </w:rPr>
        <w:t xml:space="preserve">Ruy Oliveira</w:t>
      </w:r>
      <w:r w:rsidDel="00000000" w:rsidR="00000000" w:rsidRPr="00000000">
        <w:rPr>
          <w:rFonts w:ascii="Arial" w:cs="Arial" w:eastAsia="Arial" w:hAnsi="Arial"/>
          <w:sz w:val="24"/>
          <w:szCs w:val="24"/>
          <w:rtl w:val="0"/>
        </w:rPr>
        <w:t xml:space="preserve"> </w:t>
        <w:br w:type="textWrapping"/>
        <w:t xml:space="preserve">Alunos: Emily Weber de Arruda, Felipe Enzo Fukase e Kauan Santos Rondon</w:t>
      </w:r>
    </w:p>
    <w:p w:rsidR="00000000" w:rsidDel="00000000" w:rsidP="00000000" w:rsidRDefault="00000000" w:rsidRPr="00000000" w14:paraId="00000008">
      <w:pPr>
        <w:pStyle w:val="Title"/>
        <w:jc w:val="center"/>
        <w:rPr>
          <w:rFonts w:ascii="Arial" w:cs="Arial" w:eastAsia="Arial" w:hAnsi="Arial"/>
        </w:rPr>
      </w:pPr>
      <w:r w:rsidDel="00000000" w:rsidR="00000000" w:rsidRPr="00000000">
        <w:rPr>
          <w:rtl w:val="0"/>
        </w:rPr>
      </w:r>
    </w:p>
    <w:p w:rsidR="00000000" w:rsidDel="00000000" w:rsidP="00000000" w:rsidRDefault="00000000" w:rsidRPr="00000000" w14:paraId="00000009">
      <w:pPr>
        <w:pStyle w:val="Title"/>
        <w:jc w:val="cente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r w:rsidDel="00000000" w:rsidR="00000000" w:rsidRPr="00000000">
        <w:rPr>
          <w:rtl w:val="0"/>
        </w:rPr>
      </w:r>
    </w:p>
    <w:p w:rsidR="00000000" w:rsidDel="00000000" w:rsidP="00000000" w:rsidRDefault="00000000" w:rsidRPr="00000000" w14:paraId="0000000B">
      <w:pPr>
        <w:pStyle w:val="Title"/>
        <w:jc w:val="center"/>
        <w:rPr>
          <w:rFonts w:ascii="Arial" w:cs="Arial" w:eastAsia="Arial" w:hAnsi="Arial"/>
        </w:rPr>
      </w:pPr>
      <w:r w:rsidDel="00000000" w:rsidR="00000000" w:rsidRPr="00000000">
        <w:rPr>
          <w:rFonts w:ascii="Arial" w:cs="Arial" w:eastAsia="Arial" w:hAnsi="Arial"/>
          <w:rtl w:val="0"/>
        </w:rPr>
        <w:t xml:space="preserve">Relatório: Detecção de erros em telemetria sob ruído real</w:t>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tbl>
      <w:tblPr>
        <w:tblStyle w:val="Table1"/>
        <w:tblW w:w="10080.0" w:type="dxa"/>
        <w:jc w:val="center"/>
        <w:tblLayout w:type="fixed"/>
        <w:tblLook w:val="0400"/>
      </w:tblPr>
      <w:tblGrid>
        <w:gridCol w:w="4032"/>
        <w:gridCol w:w="2318"/>
        <w:gridCol w:w="3730"/>
        <w:tblGridChange w:id="0">
          <w:tblGrid>
            <w:gridCol w:w="4032"/>
            <w:gridCol w:w="2318"/>
            <w:gridCol w:w="373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feaf1" w:val="clear"/>
            <w:tcMar>
              <w:top w:w="75.0" w:type="dxa"/>
              <w:left w:w="90.0" w:type="dxa"/>
              <w:bottom w:w="75.0" w:type="dxa"/>
              <w:right w:w="90.0" w:type="dxa"/>
            </w:tcMar>
            <w:vAlign w:val="center"/>
          </w:tcPr>
          <w:p w:rsidR="00000000" w:rsidDel="00000000" w:rsidP="00000000" w:rsidRDefault="00000000" w:rsidRPr="00000000" w14:paraId="00000010">
            <w:pPr>
              <w:spacing w:after="0" w:line="250" w:lineRule="auto"/>
              <w:rPr>
                <w:rFonts w:ascii="Arial" w:cs="Arial" w:eastAsia="Arial" w:hAnsi="Arial"/>
              </w:rPr>
            </w:pPr>
            <w:r w:rsidDel="00000000" w:rsidR="00000000" w:rsidRPr="00000000">
              <w:rPr>
                <w:rFonts w:ascii="Arial" w:cs="Arial" w:eastAsia="Arial" w:hAnsi="Arial"/>
                <w:b w:val="1"/>
                <w:bCs w:val="1"/>
                <w:sz w:val="19"/>
                <w:szCs w:val="19"/>
                <w:rtl w:val="0"/>
              </w:rPr>
              <w:t xml:space="preserve">Integrante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feaf1" w:val="clear"/>
            <w:tcMar>
              <w:top w:w="75.0" w:type="dxa"/>
              <w:left w:w="90.0" w:type="dxa"/>
              <w:bottom w:w="75.0" w:type="dxa"/>
              <w:right w:w="90.0" w:type="dxa"/>
            </w:tcMar>
            <w:vAlign w:val="center"/>
          </w:tcPr>
          <w:p w:rsidR="00000000" w:rsidDel="00000000" w:rsidP="00000000" w:rsidRDefault="00000000" w:rsidRPr="00000000" w14:paraId="00000011">
            <w:pPr>
              <w:spacing w:after="0" w:line="250" w:lineRule="auto"/>
              <w:jc w:val="center"/>
              <w:rPr>
                <w:rFonts w:ascii="Arial" w:cs="Arial" w:eastAsia="Arial" w:hAnsi="Arial"/>
              </w:rPr>
            </w:pPr>
            <w:r w:rsidDel="00000000" w:rsidR="00000000" w:rsidRPr="00000000">
              <w:rPr>
                <w:rFonts w:ascii="Arial" w:cs="Arial" w:eastAsia="Arial" w:hAnsi="Arial"/>
                <w:b w:val="1"/>
                <w:bCs w:val="1"/>
                <w:sz w:val="19"/>
                <w:szCs w:val="19"/>
                <w:rtl w:val="0"/>
              </w:rPr>
              <w:t xml:space="preserve">Matrícula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feaf1" w:val="clear"/>
            <w:tcMar>
              <w:top w:w="75.0" w:type="dxa"/>
              <w:left w:w="90.0" w:type="dxa"/>
              <w:bottom w:w="75.0" w:type="dxa"/>
              <w:right w:w="90.0" w:type="dxa"/>
            </w:tcMar>
            <w:vAlign w:val="center"/>
          </w:tcPr>
          <w:p w:rsidR="00000000" w:rsidDel="00000000" w:rsidP="00000000" w:rsidRDefault="00000000" w:rsidRPr="00000000" w14:paraId="00000012">
            <w:pPr>
              <w:spacing w:after="0" w:line="250" w:lineRule="auto"/>
              <w:rPr>
                <w:rFonts w:ascii="Arial" w:cs="Arial" w:eastAsia="Arial" w:hAnsi="Arial"/>
              </w:rPr>
            </w:pPr>
            <w:r w:rsidDel="00000000" w:rsidR="00000000" w:rsidRPr="00000000">
              <w:rPr>
                <w:rFonts w:ascii="Arial" w:cs="Arial" w:eastAsia="Arial" w:hAnsi="Arial"/>
                <w:b w:val="1"/>
                <w:bCs w:val="1"/>
                <w:sz w:val="19"/>
                <w:szCs w:val="19"/>
                <w:rtl w:val="0"/>
              </w:rPr>
              <w:t xml:space="preserve">Responsabilidade principal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3">
            <w:pPr>
              <w:spacing w:after="0" w:line="250" w:lineRule="auto"/>
              <w:rPr>
                <w:rFonts w:ascii="Arial" w:cs="Arial" w:eastAsia="Arial" w:hAnsi="Arial"/>
              </w:rPr>
            </w:pPr>
            <w:r w:rsidDel="00000000" w:rsidR="00000000" w:rsidRPr="00000000">
              <w:rPr>
                <w:rFonts w:ascii="Arial" w:cs="Arial" w:eastAsia="Arial" w:hAnsi="Arial"/>
                <w:sz w:val="19"/>
                <w:szCs w:val="19"/>
                <w:rtl w:val="0"/>
              </w:rPr>
              <w:t xml:space="preserve">Emily Weber de Arruda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4">
            <w:pPr>
              <w:spacing w:after="0" w:line="250" w:lineRule="auto"/>
              <w:jc w:val="center"/>
              <w:rPr>
                <w:rFonts w:ascii="Arial" w:cs="Arial" w:eastAsia="Arial" w:hAnsi="Arial"/>
              </w:rPr>
            </w:pPr>
            <w:r w:rsidDel="00000000" w:rsidR="00000000" w:rsidRPr="00000000">
              <w:rPr>
                <w:rFonts w:ascii="Arial" w:cs="Arial" w:eastAsia="Arial" w:hAnsi="Arial"/>
                <w:sz w:val="19"/>
                <w:szCs w:val="19"/>
                <w:rtl w:val="0"/>
              </w:rPr>
              <w:t xml:space="preserve">2025178440003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5">
            <w:pPr>
              <w:spacing w:after="0" w:line="250" w:lineRule="auto"/>
              <w:jc w:val="center"/>
              <w:rPr>
                <w:rFonts w:ascii="Arial" w:cs="Arial" w:eastAsia="Arial" w:hAnsi="Arial"/>
              </w:rPr>
            </w:pPr>
            <w:r w:rsidDel="00000000" w:rsidR="00000000" w:rsidRPr="00000000">
              <w:rPr>
                <w:rFonts w:ascii="Arial" w:cs="Arial" w:eastAsia="Arial" w:hAnsi="Arial"/>
                <w:sz w:val="19"/>
                <w:szCs w:val="19"/>
                <w:rtl w:val="0"/>
              </w:rPr>
              <w:t xml:space="preserve">TX</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6">
            <w:pPr>
              <w:spacing w:after="0" w:line="250" w:lineRule="auto"/>
              <w:rPr>
                <w:rFonts w:ascii="Arial" w:cs="Arial" w:eastAsia="Arial" w:hAnsi="Arial"/>
              </w:rPr>
            </w:pPr>
            <w:r>
              <w:rPr>
                <w:rFonts w:ascii="Arial" w:hAnsi="Arial" w:cs="Arial"/>
                <w:color w:val="000000"/>
              </w:rPr>
              <w:t>Felipe Enzo Fukase</w:t>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7">
            <w:pPr>
              <w:spacing w:after="0" w:line="250" w:lineRule="auto"/>
              <w:jc w:val="center"/>
              <w:rPr>
                <w:rFonts w:ascii="Arial" w:cs="Arial" w:eastAsia="Arial" w:hAnsi="Arial"/>
              </w:rPr>
            </w:pPr>
            <w:r w:rsidDel="00000000" w:rsidR="00000000" w:rsidRPr="00000000">
              <w:rPr>
                <w:rFonts w:ascii="Arial" w:cs="Arial" w:eastAsia="Arial" w:hAnsi="Arial"/>
                <w:sz w:val="19"/>
                <w:szCs w:val="19"/>
                <w:rtl w:val="0"/>
              </w:rPr>
              <w:t xml:space="preserve">2025178440014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8">
            <w:pPr>
              <w:spacing w:after="0" w:line="250" w:lineRule="auto"/>
              <w:jc w:val="center"/>
              <w:rPr>
                <w:rFonts w:ascii="Arial" w:cs="Arial" w:eastAsia="Arial" w:hAnsi="Arial"/>
              </w:rPr>
            </w:pPr>
            <w:r w:rsidDel="00000000" w:rsidR="00000000" w:rsidRPr="00000000">
              <w:rPr>
                <w:rFonts w:ascii="Arial" w:cs="Arial" w:eastAsia="Arial" w:hAnsi="Arial"/>
                <w:sz w:val="19"/>
                <w:szCs w:val="19"/>
                <w:rtl w:val="0"/>
              </w:rPr>
              <w:t xml:space="preserve">RX</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9">
            <w:pPr>
              <w:spacing w:after="0" w:line="250" w:lineRule="auto"/>
              <w:rPr>
                <w:rFonts w:ascii="Arial" w:cs="Arial" w:eastAsia="Arial" w:hAnsi="Arial"/>
              </w:rPr>
            </w:pPr>
            <w:r w:rsidDel="00000000" w:rsidR="00000000" w:rsidRPr="00000000">
              <w:rPr>
                <w:rFonts w:ascii="Arial" w:cs="Arial" w:eastAsia="Arial" w:hAnsi="Arial"/>
                <w:sz w:val="19"/>
                <w:szCs w:val="19"/>
                <w:rtl w:val="0"/>
              </w:rPr>
              <w:t xml:space="preserve">Kauan Santos Rondon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A">
            <w:pPr>
              <w:spacing w:after="0" w:line="250" w:lineRule="auto"/>
              <w:jc w:val="center"/>
              <w:rPr>
                <w:rFonts w:ascii="Arial" w:cs="Arial" w:eastAsia="Arial" w:hAnsi="Arial"/>
              </w:rPr>
            </w:pPr>
            <w:r w:rsidDel="00000000" w:rsidR="00000000" w:rsidRPr="00000000">
              <w:rPr>
                <w:rFonts w:ascii="Arial" w:cs="Arial" w:eastAsia="Arial" w:hAnsi="Arial"/>
                <w:sz w:val="19"/>
                <w:szCs w:val="19"/>
                <w:rtl w:val="0"/>
              </w:rPr>
              <w:t xml:space="preserve">2025178440015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B">
            <w:pPr>
              <w:spacing w:after="0" w:line="250" w:lineRule="auto"/>
              <w:jc w:val="center"/>
              <w:rPr>
                <w:rFonts w:ascii="Arial" w:cs="Arial" w:eastAsia="Arial" w:hAnsi="Arial"/>
              </w:rPr>
            </w:pPr>
            <w:r w:rsidDel="00000000" w:rsidR="00000000" w:rsidRPr="00000000">
              <w:rPr>
                <w:rFonts w:ascii="Arial" w:cs="Arial" w:eastAsia="Arial" w:hAnsi="Arial"/>
                <w:sz w:val="19"/>
                <w:szCs w:val="19"/>
                <w:rtl w:val="0"/>
              </w:rPr>
              <w:t xml:space="preserve">Ruído</w:t>
            </w:r>
            <w:r w:rsidDel="00000000" w:rsidR="00000000" w:rsidRPr="00000000">
              <w:rPr>
                <w:rtl w:val="0"/>
              </w:rPr>
            </w:r>
          </w:p>
        </w:tc>
      </w:tr>
    </w:tbl>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Repositório: </w:t>
      </w:r>
      <w:hyperlink r:id="rId8">
        <w:r w:rsidDel="00000000" w:rsidR="00000000" w:rsidRPr="00000000">
          <w:rPr>
            <w:rFonts w:ascii="Arial" w:cs="Arial" w:eastAsia="Arial" w:hAnsi="Arial"/>
            <w:color w:val="1155cc"/>
            <w:u w:val="single"/>
            <w:rtl w:val="0"/>
          </w:rPr>
          <w:t xml:space="preserve">https://github.com/kauanSR-DEv/telemetria-esp32</w:t>
        </w:r>
      </w:hyperlink>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jc w:val="center"/>
        <w:rPr>
          <w:rFonts w:ascii="Arial" w:cs="Arial" w:eastAsia="Arial" w:hAnsi="Arial"/>
        </w:rPr>
      </w:pPr>
      <w:r w:rsidDel="00000000" w:rsidR="00000000" w:rsidRPr="00000000">
        <w:rPr>
          <w:rFonts w:ascii="Arial" w:cs="Arial" w:eastAsia="Arial" w:hAnsi="Arial"/>
          <w:rtl w:val="0"/>
        </w:rPr>
        <w:t xml:space="preserve">Cuiabá - 2026</w:t>
      </w:r>
    </w:p>
    <w:p w:rsidR="00000000" w:rsidDel="00000000" w:rsidP="00000000" w:rsidRDefault="00000000" w:rsidRPr="00000000" w14:paraId="00000023">
      <w:pPr>
        <w:keepNext w:val="1"/>
        <w:keepLines w:val="1"/>
        <w:pageBreakBefore w:val="1"/>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 e objetivos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Este trabalho apresenta um sistema de telemetria serial entre duas placas ESP32, submetido a ruído físico controlado por uma terceira placa. O protocolo utiliza enquadramento, numeração sequencial e um campo de detecção de erros, configurado para soma modular de 8 bits ou CRC-8 em rodadas distintas. O receptor aceita ou descarta cada quadro com base na checagem e, posteriormente, compara o payload recebido com uma referência para avaliar a integridade dos dados. O objetivo é comparar as duas técnicas sob diferentes modos de ruído, considerando a detecção de corrupção, a perda de quadros, o tempo de processamento e a sobrecarga de transmissão. A análise relaciona o comportamento observado às propriedades de cada algoritmo.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objetivo geral é desenvolver e avaliar um protocolo de telemetria UART sob ruído físico controlado, comparando a capacidade de detecção de erros da soma modular e do CRC-8. Para isso, o trabalho estabelece os seguintes objetivos específicos.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Especificar formato, sincronização, sequência, descarte, timeouts e recuperação do protocolo.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Implementar TX, RX e NOISE com registros que permitam relacionar cada envio às alterações observadas.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Classificar os quadros nas condições de ruído previstas e calcular a taxa de não detecção.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Medir tempos de cálculo e verificação, overhead e recuperação após perda.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Explicar um erro real não detectado por meio dos bytes recebidos, do log de injeção e do cálculo manual.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TX produz o payload e anexa a checagem. O RX interpreta o quadro e aceita ou descarta os dados. O NOISE acompanha o sinal antes e depois do ponto de injeção. A comunicação avaliada segue do TX para o RX, sem confirmação nem retransmissão. Cada integrante assume uma placa, e a defesa do sistema envolve o entendimento do conjunto.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Fundamentação teórica</w:t>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 UART realiza comunicação serial assíncrona. A configuração adotada é 115200 baud e 8N1: oito bits de dados, sem paridade e um bit de parada. Incluindo o bit de início, cada byte ocupa dez períodos de bit na linha. A API </w:t>
      </w:r>
      <w:r w:rsidDel="00000000" w:rsidR="00000000" w:rsidRPr="00000000">
        <w:rPr>
          <w:rFonts w:ascii="Arial" w:cs="Arial" w:eastAsia="Arial" w:hAnsi="Arial"/>
          <w:rtl w:val="0"/>
        </w:rPr>
        <w:t xml:space="preserve">Hardware Serial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permite configurar esses parâmetros e os GPIOs utilizados.</w:t>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center"/>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Tbit = </m:t>
        </m:r>
        <m:f>
          <m:fPr>
            <m:ctrlPr>
              <w:rPr>
                <w:rFonts w:ascii="Arial" w:cs="Arial" w:eastAsia="Arial" w:hAnsi="Arial"/>
                <w:i w:val="0"/>
                <w:iCs w:val="0"/>
                <w:smallCaps w:val="0"/>
                <w:strike w:val="0"/>
                <w:color w:val="000000"/>
                <w:u w:val="none"/>
                <w:shd w:fill="auto" w:val="clear"/>
                <w:vertAlign w:val="baseline"/>
              </w:rPr>
            </m:ctrlPr>
          </m:fPr>
          <m:num>
            <m:r>
              <w:rPr>
                <w:rFonts w:ascii="Arial" w:cs="Arial" w:eastAsia="Arial" w:hAnsi="Arial"/>
                <w:i w:val="0"/>
                <w:iCs w:val="0"/>
                <w:smallCaps w:val="0"/>
                <w:strike w:val="0"/>
                <w:color w:val="000000"/>
                <w:u w:val="none"/>
                <w:shd w:fill="auto" w:val="clear"/>
                <w:vertAlign w:val="baseline"/>
              </w:rPr>
              <m:t xml:space="preserve">1</m:t>
            </m:r>
          </m:num>
          <m:den>
            <m:r>
              <w:rPr>
                <w:rFonts w:ascii="Arial" w:cs="Arial" w:eastAsia="Arial" w:hAnsi="Arial"/>
                <w:i w:val="0"/>
                <w:iCs w:val="0"/>
                <w:smallCaps w:val="0"/>
                <w:strike w:val="0"/>
                <w:color w:val="000000"/>
                <w:u w:val="none"/>
                <w:shd w:fill="auto" w:val="clear"/>
                <w:vertAlign w:val="baseline"/>
              </w:rPr>
              <m:t xml:space="preserve">115200</m:t>
            </m:r>
          </m:den>
        </m:f>
        <m:r>
          <w:rPr>
            <w:rFonts w:ascii="Arial" w:cs="Arial" w:eastAsia="Arial" w:hAnsi="Arial"/>
            <w:i w:val="0"/>
            <w:iCs w:val="0"/>
            <w:smallCaps w:val="0"/>
            <w:strike w:val="0"/>
            <w:color w:val="000000"/>
            <w:u w:val="none"/>
            <w:shd w:fill="auto" w:val="clear"/>
            <w:vertAlign w:val="baseline"/>
          </w:rPr>
          <m:t xml:space="preserve"> s ≈ 8,681 µs</m:t>
        </m:r>
      </m:oMath>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center"/>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Tbyte = 10 Tbit ≈ 86,806 µs</m:t>
        </m:r>
      </m:oMath>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marcador de início permite encontrar um quadro no fluxo de bytes. O campo de comprimento delimita o payload; a sequência permite identificar lacunas e repetições. Uma falha de enquadramento pode impedir a conclusão da checagem, situação classificada como perda, mesmo quando o observador físico registrou bytes na linha.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Na técnica SUM, os cinco bytes protegidos são somados módulo 256. O TX envia o inverso aditivo dessa soma como CHECK, representado por c nas equações. O RX soma novamente os dados e o CHECK recebido; o quadro é aceito quando o resultado é zero. Alterações cuja soma algébrica seja múltipla de 256 preservam esse resíduo .</w:t>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center"/>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S = (LEN + SEQH + SEQL + P0 + P1) mod 256</m:t>
        </m:r>
      </m:oMath>
      <w:r w:rsidDel="00000000" w:rsidR="00000000" w:rsidRPr="00000000">
        <w:rPr>
          <w:rtl w:val="0"/>
        </w:rPr>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center"/>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c = (−S) mod 256</m:t>
        </m:r>
      </m:oMath>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center"/>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rSUM = (LEN + SEQH + SEQL + P0 + P1 + c) mod 256</m:t>
        </m:r>
      </m:oMath>
      <w:r w:rsidDel="00000000" w:rsidR="00000000" w:rsidRPr="00000000">
        <w:rPr>
          <w:rtl w:val="0"/>
        </w:rPr>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CRC pode ser descrito por operações polinomiais sobre GF(2), em que soma e subtração correspondem ao XOR. A implementação usa registrador de oito bits e polinômio 0x07, sem o termo de maior grau na representação hexadecimal. Os parâmetros coincidem com os do CRC-8/SMBUS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g(x) = </m:t>
        </m:r>
        <m:sSup>
          <m:sSupPr>
            <m:ctrlPr>
              <w:rPr>
                <w:rFonts w:ascii="Arial" w:cs="Arial" w:eastAsia="Arial" w:hAnsi="Arial"/>
                <w:i w:val="0"/>
                <w:iCs w:val="0"/>
                <w:smallCaps w:val="0"/>
                <w:strike w:val="0"/>
                <w:color w:val="000000"/>
                <w:u w:val="none"/>
                <w:shd w:fill="auto" w:val="clear"/>
                <w:vertAlign w:val="baseline"/>
              </w:rPr>
            </m:ctrlPr>
          </m:sSupPr>
          <m:e>
            <m:r>
              <w:rPr>
                <w:rFonts w:ascii="Arial" w:cs="Arial" w:eastAsia="Arial" w:hAnsi="Arial"/>
                <w:i w:val="0"/>
                <w:iCs w:val="0"/>
                <w:smallCaps w:val="0"/>
                <w:strike w:val="0"/>
                <w:color w:val="000000"/>
                <w:u w:val="none"/>
                <w:shd w:fill="auto" w:val="clear"/>
                <w:vertAlign w:val="baseline"/>
              </w:rPr>
              <m:t xml:space="preserve">x</m:t>
            </m:r>
          </m:e>
          <m:sup>
            <m:r>
              <w:rPr>
                <w:rFonts w:ascii="Arial" w:cs="Arial" w:eastAsia="Arial" w:hAnsi="Arial"/>
                <w:i w:val="0"/>
                <w:iCs w:val="0"/>
                <w:smallCaps w:val="0"/>
                <w:strike w:val="0"/>
                <w:color w:val="000000"/>
                <w:u w:val="none"/>
                <w:shd w:fill="auto" w:val="clear"/>
                <w:vertAlign w:val="baseline"/>
              </w:rPr>
              <m:t xml:space="preserve">8</m:t>
            </m:r>
          </m:sup>
        </m:sSup>
        <m:r>
          <w:rPr>
            <w:rFonts w:ascii="Arial" w:cs="Arial" w:eastAsia="Arial" w:hAnsi="Arial"/>
            <w:i w:val="0"/>
            <w:iCs w:val="0"/>
            <w:smallCaps w:val="0"/>
            <w:strike w:val="0"/>
            <w:color w:val="000000"/>
            <w:u w:val="none"/>
            <w:shd w:fill="auto" w:val="clear"/>
            <w:vertAlign w:val="baseline"/>
          </w:rPr>
          <m:t xml:space="preserve"> + </m:t>
        </m:r>
        <m:sSup>
          <m:sSupPr>
            <m:ctrlPr>
              <w:rPr>
                <w:rFonts w:ascii="Arial" w:cs="Arial" w:eastAsia="Arial" w:hAnsi="Arial"/>
                <w:i w:val="0"/>
                <w:iCs w:val="0"/>
                <w:smallCaps w:val="0"/>
                <w:strike w:val="0"/>
                <w:color w:val="000000"/>
                <w:u w:val="none"/>
                <w:shd w:fill="auto" w:val="clear"/>
                <w:vertAlign w:val="baseline"/>
              </w:rPr>
            </m:ctrlPr>
          </m:sSupPr>
          <m:e>
            <m:r>
              <w:rPr>
                <w:rFonts w:ascii="Arial" w:cs="Arial" w:eastAsia="Arial" w:hAnsi="Arial"/>
                <w:i w:val="0"/>
                <w:iCs w:val="0"/>
                <w:smallCaps w:val="0"/>
                <w:strike w:val="0"/>
                <w:color w:val="000000"/>
                <w:u w:val="none"/>
                <w:shd w:fill="auto" w:val="clear"/>
                <w:vertAlign w:val="baseline"/>
              </w:rPr>
              <m:t xml:space="preserve">x</m:t>
            </m:r>
          </m:e>
          <m:sup>
            <m:r>
              <w:rPr>
                <w:rFonts w:ascii="Arial" w:cs="Arial" w:eastAsia="Arial" w:hAnsi="Arial"/>
                <w:i w:val="0"/>
                <w:iCs w:val="0"/>
                <w:smallCaps w:val="0"/>
                <w:strike w:val="0"/>
                <w:color w:val="000000"/>
                <w:u w:val="none"/>
                <w:shd w:fill="auto" w:val="clear"/>
                <w:vertAlign w:val="baseline"/>
              </w:rPr>
              <m:t xml:space="preserve">2</m:t>
            </m:r>
          </m:sup>
        </m:sSup>
        <m:r>
          <w:rPr>
            <w:rFonts w:ascii="Arial" w:cs="Arial" w:eastAsia="Arial" w:hAnsi="Arial"/>
            <w:i w:val="0"/>
            <w:iCs w:val="0"/>
            <w:smallCaps w:val="0"/>
            <w:strike w:val="0"/>
            <w:color w:val="000000"/>
            <w:u w:val="none"/>
            <w:shd w:fill="auto" w:val="clear"/>
            <w:vertAlign w:val="baseline"/>
          </w:rPr>
          <m:t xml:space="preserve"> + x + 1</m:t>
        </m:r>
      </m:oMath>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TX calcula o CRC dos cinco bytes protegidos. O RX processa esses mesmos campos e o CHECK recebido, esperando resíduo 0x00. O processamento de cada byte pelo CRC começa no bit mais significativo; na transmissão física UART, os bits de dados são enviados do menos significativo para o mais significativo. Essas duas ordens pertencem a etapas distintas.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transistor NPN força o nível baixo. Portanto, um alvo que estava em 1 pode passar a 0; um alvo que já estava em 0 pode permanecer igual. A quantidade sorteada de bits não representa necessariamente a quantidade alterada. O efeito é verificado comparando os bytes observados antes e depois do resistor da linha.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Materiais e montagem</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 montagem utiliza três ESP32 clássicos do tipo DevKit V1 </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WROOM-32, protoboard, jumpers, um transistor NPN identificado como 2N2222A, dois resistores de 1 kΩ e um resistor de 10 kΩ. As placas são alimentadas individualmente por USB e compartilham o GND. As saídas 3V3 não são interligadas no esquema adotado.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Tabela 1 Conexões do enlace e do injetor</w:t>
      </w:r>
    </w:p>
    <w:tbl>
      <w:tblPr>
        <w:tblStyle w:val="Table2"/>
        <w:tblW w:w="9922.0" w:type="dxa"/>
        <w:jc w:val="center"/>
        <w:tblLayout w:type="fixed"/>
        <w:tblLook w:val="0400"/>
      </w:tblPr>
      <w:tblGrid>
        <w:gridCol w:w="1928"/>
        <w:gridCol w:w="3742"/>
        <w:gridCol w:w="4252"/>
        <w:tblGridChange w:id="0">
          <w:tblGrid>
            <w:gridCol w:w="1928"/>
            <w:gridCol w:w="3742"/>
            <w:gridCol w:w="425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Origem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Destino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Função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TX GPIO17</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 kΩ em série e nó RX GPIO16</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Transportar a telemetria</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NOISE GPIO26</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Linha antes do resistor série</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Observar o sinal original</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NOISE GPIO27</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Nó RX após o resistor série</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Observar o sinal perturbado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NOISE GPIO25</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 kΩ até a base do NPN</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Acionar a injeção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Base do NPN</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10 kΩ até GND</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Manter o transistor desligado em repouso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Coletor e emissor do NPN</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Nó RX e GND respectivamente</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Forçar o nó RX ao nível baixo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GND das três placas</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Referência comum</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Estabelecer o mesmo nível de referência</w:t>
            </w:r>
          </w:p>
        </w:tc>
      </w:tr>
    </w:tbl>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Figura 1 Esquema das conexões descritas no código</w:t>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Pr>
        <w:drawing>
          <wp:inline distB="0" distT="0" distL="114300" distR="114300">
            <wp:extent cx="6228000" cy="3127285"/>
            <wp:effectExtent b="0" l="0" r="0" t="0"/>
            <wp:docPr descr="Esquema do enlace TX para RX com resistor série e injetor NPN observado pelos GPIO26 e GPIO27" id="5" name="image2.png"/>
            <a:graphic>
              <a:graphicData uri="http://schemas.openxmlformats.org/drawingml/2006/picture">
                <pic:pic>
                  <pic:nvPicPr>
                    <pic:cNvPr descr="Esquema do enlace TX para RX com resistor série e injetor NPN observado pelos GPIO26 e GPIO27" id="0" name="image2.png"/>
                    <pic:cNvPicPr preferRelativeResize="0"/>
                  </pic:nvPicPr>
                  <pic:blipFill>
                    <a:blip r:embed="rId9"/>
                    <a:srcRect b="0" l="0" r="0" t="0"/>
                    <a:stretch>
                      <a:fillRect/>
                    </a:stretch>
                  </pic:blipFill>
                  <pic:spPr>
                    <a:xfrm>
                      <a:off x="0" y="0"/>
                      <a:ext cx="6228000" cy="312728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Fonte: elaboração a partir de TX, RX e NOISE v1.12. B, C e E identificam base, coletor e emissor; o desenho não define a ordem dos terminais no encapsulamento.</w:t>
      </w:r>
      <w:r w:rsidDel="00000000" w:rsidR="00000000" w:rsidRPr="00000000">
        <w:rPr>
          <w:rtl w:val="0"/>
        </w:rPr>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Pr>
          <w:rFonts w:ascii="Arial" w:hAnsi="Arial" w:cs="Arial"/>
          <w:color w:val="000000"/>
          <w:b w:val="1"/>
        </w:rPr>
        <w:t xml:space="preserve">Figura 2 Montagem completa com as três placas ESP32</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6017" w:lineRule="exact"/>
        <w:ind w:left="0" w:right="0" w:firstLine="0"/>
        <w:jc w:val="left"/>
        <w:rPr>
          <w:rFonts w:ascii="Arial" w:cs="Arial" w:eastAsia="Arial" w:hAnsi="Arial"/>
          <w:i w:val="0"/>
          <w:iCs w:val="0"/>
          <w:smallCaps w:val="0"/>
          <w:strike w:val="0"/>
          <w:color w:val="000000"/>
          <w:u w:val="none"/>
          <w:shd w:fill="auto" w:val="clear"/>
          <w:vertAlign w:val="baseline"/>
        </w:rPr>
      </w:pPr>
      <w:r>
        <w:rPr>
          <w:rFonts w:ascii="Arial" w:hAnsi="Arial" w:cs="Arial"/>
          <w:color w:val="000000"/>
        </w:rPr>
        <w:drawing>
          <wp:anchor allowOverlap="1" behindDoc="0" distB="114300" distT="114300" distL="114300" distR="114300" hidden="0" layoutInCell="1" locked="0" relativeHeight="0" simplePos="0">
            <wp:simplePos x="0" y="0"/>
            <wp:positionH relativeFrom="column">
              <wp:posOffset>1321886</wp:posOffset>
            </wp:positionH>
            <wp:positionV relativeFrom="paragraph">
              <wp:posOffset>-971486</wp:posOffset>
            </wp:positionV>
            <wp:extent cx="3757027" cy="5700000"/>
            <wp:effectExtent b="0" l="0" r="0" t="0"/>
            <wp:wrapNone/>
            <wp:docPr id="7" name="image4.jpg"/>
            <a:graphic>
              <a:graphicData uri="http://schemas.openxmlformats.org/drawingml/2006/picture">
                <pic:pic>
                  <pic:nvPicPr>
                    <pic:cNvPr id="0" name="image4.jpg"/>
                    <pic:cNvPicPr preferRelativeResize="0"/>
                  </pic:nvPicPr>
                  <pic:blipFill>
                    <a:blip r:embed="rId10"/>
                    <a:srcRect b="5381" l="17262" r="22024" t="25536"/>
                    <a:stretch>
                      <a:fillRect/>
                    </a:stretch>
                  </pic:blipFill>
                  <pic:spPr>
                    <a:xfrm rot="5400000">
                      <a:off x="0" y="0"/>
                      <a:ext cx="3757027" cy="5700000"/>
                    </a:xfrm>
                    <a:prstGeom prst="rect"/>
                    <a:ln/>
                  </pic:spPr>
                </pic:pic>
              </a:graphicData>
            </a:graphic>
          </wp:anchor>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Fonte: galeria dos autores.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Pr>
          <w:rFonts w:ascii="Arial" w:hAnsi="Arial" w:cs="Arial"/>
          <w:color w:val="000000"/>
          <w:b w:val="1"/>
        </w:rPr>
        <w:t xml:space="preserve">Figura 3 Detalhe do transistor no circuito de injeção</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center"/>
        <w:rPr>
          <w:rFonts w:ascii="Arial" w:cs="Arial" w:eastAsia="Arial" w:hAnsi="Arial"/>
          <w:i w:val="0"/>
          <w:iCs w:val="0"/>
          <w:smallCaps w:val="0"/>
          <w:strike w:val="0"/>
          <w:color w:val="000000"/>
          <w:u w:val="none"/>
          <w:shd w:fill="auto" w:val="clear"/>
          <w:vertAlign w:val="baseline"/>
        </w:rPr>
      </w:pPr>
      <w:r>
        <w:rPr>
          <w:rFonts w:ascii="Arial" w:hAnsi="Arial" w:cs="Arial"/>
          <w:color w:val="000000"/>
        </w:rPr>
        <w:drawing>
          <wp:inline distT="0" distB="0" distL="0" distR="0">
            <wp:extent cx="4350000" cy="3267805"/>
            <wp:effectExtent l="0" t="0" r="0" b="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350000" cy="3267805"/>
                    </a:xfrm>
                    <a:prstGeom prst="rect"/>
                    <a:ln/>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Fonte: galeria dos autores.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Pr>
          <w:rFonts w:ascii="Arial" w:hAnsi="Arial" w:cs="Arial"/>
          <w:color w:val="000000"/>
          <w:b w:val="1"/>
        </w:rPr>
        <w:t xml:space="preserve">Figura 4 Detalhe dos resistores e conexões do injetor</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center"/>
        <w:rPr>
          <w:rFonts w:ascii="Arial" w:cs="Arial" w:eastAsia="Arial" w:hAnsi="Arial"/>
          <w:i w:val="0"/>
          <w:iCs w:val="0"/>
          <w:smallCaps w:val="0"/>
          <w:strike w:val="0"/>
          <w:color w:val="000000"/>
          <w:u w:val="none"/>
          <w:shd w:fill="auto" w:val="clear"/>
          <w:vertAlign w:val="baseline"/>
        </w:rPr>
      </w:pPr>
      <w:r>
        <w:rPr>
          <w:rFonts w:ascii="Arial" w:hAnsi="Arial" w:cs="Arial"/>
          <w:color w:val="000000"/>
        </w:rPr>
        <w:drawing>
          <wp:inline distT="0" distB="0" distL="0" distR="0">
            <wp:extent cx="4350000" cy="3257580"/>
            <wp:effectExtent l="0" t="0" r="0" b="0"/>
            <wp:docPr id="3"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4350000" cy="3257580"/>
                    </a:xfrm>
                    <a:prstGeom prst="rect"/>
                    <a:ln/>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Fonte: galeria dos autores.</w:t>
      </w:r>
    </w:p>
    <w:p w:rsidR="00000000" w:rsidDel="00000000" w:rsidP="00000000" w:rsidRDefault="00000000" w:rsidRPr="00000000" w14:paraId="0000008F">
      <w:pPr>
        <w:spacing w:after="120" w:line="259"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Especificação do protocolo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protocolo </w:t>
      </w:r>
      <w:r w:rsidDel="00000000" w:rsidR="00000000" w:rsidRPr="00000000">
        <w:rPr>
          <w:rFonts w:ascii="Arial" w:cs="Arial" w:eastAsia="Arial" w:hAnsi="Arial"/>
          <w:rtl w:val="0"/>
        </w:rPr>
        <w:t xml:space="preserve">desenvolvido </w:t>
      </w:r>
      <w:sdt>
        <w:sdtPr>
          <w:id w:val="716637483"/>
          <w:tag w:val="goog_rdk_0"/>
        </w:sdtPr>
        <w:sdtContent>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transmite bytes binários e mantém o mesmo quadro nas duas técnicas. O TX envia até 1000 quadros por sessão, com sequências de 0 a N − 1 e período nominal de 50 ms. O contador representado no quadro possui 16 bits. Os campos de dois bytes utilizam o byte mais significativo primeiro.</w:t>
          </w:r>
        </w:sdtContent>
      </w:sdt>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Tabela 2 Formato do quadro de telemetria</w:t>
      </w:r>
    </w:p>
    <w:tbl>
      <w:tblPr>
        <w:tblStyle w:val="Table3"/>
        <w:tblW w:w="9921.0" w:type="dxa"/>
        <w:jc w:val="center"/>
        <w:tblLayout w:type="fixed"/>
        <w:tblLook w:val="0400"/>
      </w:tblPr>
      <w:tblGrid>
        <w:gridCol w:w="1020"/>
        <w:gridCol w:w="1474"/>
        <w:gridCol w:w="737"/>
        <w:gridCol w:w="3515"/>
        <w:gridCol w:w="3175"/>
        <w:tblGridChange w:id="0">
          <w:tblGrid>
            <w:gridCol w:w="1020"/>
            <w:gridCol w:w="1474"/>
            <w:gridCol w:w="737"/>
            <w:gridCol w:w="3515"/>
            <w:gridCol w:w="317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Posição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Campo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sz w:val="18"/>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sz w:val="18"/>
              </w:rPr>
              <w:t xml:space="preserve">Bytes</w:t>
            </w:r>
            <w:r w:rsidDel="00000000" w:rsidR="00000000" w:rsidRPr="00000000">
              <w:rPr>
                <w:rtl w:val="0"/>
                <w:sz w:val="18"/>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Conteúdo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Proteção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 e 1</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SOF</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A5 5A</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Fora da checagem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LEN</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02</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 e 4</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SEQ</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SEQH e SEQL</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5 e 6</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PAYLOAD</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P0 e P1</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7</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CHECK</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SUM ou CRC-8</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Incluído na verificação</w:t>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quadro ocupa oito bytes. LEN informa os dois bytes de payload; CHECK encerra o quadro. Durante a leitura de um quadro, uma ocorrência de A5 5A nos dados é tratada como conteúdo. Quando o receptor está buscando início, um marcador acidental pode ser interpretado como candidato e deve passar pelas validações seguintes.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Após concluir fisicamente o quadro, o TX espera pelo menos 2 ms e transmite uma referência de sete bytes, com sequência e payload originais. Ela possui marcador próprio e fica fora da região de injeção e da checagem do quadro.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D3 91 SEQH SEQL 02 P0 P1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RX fixa a decisão antes de consultar o conteúdo </w:t>
      </w:r>
      <w:r w:rsidDel="00000000" w:rsidR="00000000" w:rsidRPr="00000000">
        <w:rPr>
          <w:rFonts w:ascii="Arial" w:cs="Arial" w:eastAsia="Arial" w:hAnsi="Arial"/>
          <w:rtl w:val="0"/>
        </w:rPr>
        <w:t xml:space="preserve">desta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referência. Em seguida, usa a cópia para verificar se um payload aceito estava correto. A referência não é usada para corrigir dados ou alterar a decisão original. Seu tamanho é excluído do overhead exigido no experimento.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Tabela 3 Parâmetros da checagem</w:t>
      </w:r>
    </w:p>
    <w:tbl>
      <w:tblPr>
        <w:tblStyle w:val="Table4"/>
        <w:tblW w:w="9921.0" w:type="dxa"/>
        <w:jc w:val="center"/>
        <w:tblLayout w:type="fixed"/>
        <w:tblLook w:val="0400"/>
      </w:tblPr>
      <w:tblGrid>
        <w:gridCol w:w="2551"/>
        <w:gridCol w:w="3685"/>
        <w:gridCol w:w="3685"/>
        <w:tblGridChange w:id="0">
          <w:tblGrid>
            <w:gridCol w:w="2551"/>
            <w:gridCol w:w="3685"/>
            <w:gridCol w:w="368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Parâmetro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SUM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CRC-8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Largura e campo CHECK</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8 bits e 1 byte</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8 bits e 1 byte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Entrada no TX</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LEN SEQH SEQL P0 P1</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LEN SEQH SEQL P0 P1</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Geração</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Inverso aditivo módulo 256</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Polinômio 0x07</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Inicialização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Soma em zero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0x00</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Reflexão e XOR final</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Não se aplicam</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Sem reflexão e XOR final 0x00</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Resíduo no RX</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0x00 com CHECK</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0x00 com CHECK</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Após concluir a checagem, o RX retoma a busca pelo marcador a partir do byte seguinte a CHECK. Se LEN for diferente de 02 ou ocorrer timeout interno, o candidato é abandonado e a busca recomeça após LEN, reaproveitando os bytes posteriores já recebidos. Um quadro com checagem reprovada não entrega o payload à aplicação, é registrado como CORROMPIDO e não é contado novamente como PERDIDO [3].</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Para uma sequência aceita, calcula-se d = (sequência recebida − sequência esperada) módulo 65536. Se d = 0, o quadro está em ordem; de 1 a 32767, há uma lacuna anterior; a partir de 32768, o número é tratado como repetido ou fora de ordem. Nos dois primeiros casos, a próxima sequência esperada passa a ser a recebida mais um, módulo 65536; no último, a expectativa não muda. Isso permite a passagem de 65535 para zero, embora as sessões executadas tenham somente as sequências 0 a 999. A sequência de um quadro reprovado não é usada como valor confiável para contar lacunas; a auditoria reconcilia as classes sem duplicar envios [3].</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59" w:lineRule="auto"/>
        <w:ind w:left="0" w:right="0" w:firstLine="0"/>
        <w:jc w:val="left"/>
        <w:rPr>
          <w:rFonts w:ascii="Arial" w:cs="Arial" w:eastAsia="Arial" w:hAnsi="Arial"/>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59" w:lineRule="auto"/>
        <w:ind w:left="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Implementação de TX RX e NOISE</w:t>
      </w:r>
    </w:p>
    <w:p w:rsidR="00000000" w:rsidDel="00000000" w:rsidP="00000000" w:rsidRDefault="00000000" w:rsidRPr="00000000" w14:paraId="000000CD">
      <w:pPr>
        <w:spacing w:after="240" w:before="240" w:line="259" w:lineRule="auto"/>
        <w:ind w:firstLine="720"/>
        <w:jc w:val="both"/>
        <w:rPr>
          <w:rFonts w:ascii="Arial" w:cs="Arial" w:eastAsia="Arial" w:hAnsi="Arial"/>
        </w:rPr>
      </w:pPr>
      <w:r w:rsidDel="00000000" w:rsidR="00000000" w:rsidRPr="00000000">
        <w:rPr>
          <w:rFonts w:ascii="Arial" w:cs="Arial" w:eastAsia="Arial" w:hAnsi="Arial"/>
          <w:rtl w:val="0"/>
        </w:rPr>
        <w:t xml:space="preserve">O TX gera uma sequência reproduzível de payloads, calcula SUM ou CRC e transmite os quadros pela UART2 no GPIO17. A mesma sequência de dados é utilizada nas duas técnicas, permitindo uma comparação sob condições equivalentes. Os registros CSV incluem os dados enviados e o tempo de cálculo da checagem. O RX recebe os quadros pela UART2 no GPIO16, identifica seu início e verifica a integridade. Resíduo zero resulta em aceitação; caso contrário, o quadro é descartado. A referência é consultada posteriormente para identificar alterações no payload que passaram pela checagem. Quadros incompletos ou com comprimento inválido são abandonados, e o receptor retoma a busca pelo próximo quadro.</w:t>
      </w:r>
    </w:p>
    <w:p w:rsidR="00000000" w:rsidDel="00000000" w:rsidP="00000000" w:rsidRDefault="00000000" w:rsidRPr="00000000" w14:paraId="000000CE">
      <w:pPr>
        <w:spacing w:after="240" w:before="240" w:line="259" w:lineRule="auto"/>
        <w:ind w:firstLine="720"/>
        <w:jc w:val="both"/>
        <w:rPr>
          <w:rFonts w:ascii="Arial" w:cs="Arial" w:eastAsia="Arial" w:hAnsi="Arial"/>
        </w:rPr>
      </w:pPr>
      <w:r w:rsidDel="00000000" w:rsidR="00000000" w:rsidRPr="00000000">
        <w:rPr>
          <w:rFonts w:ascii="Arial" w:cs="Arial" w:eastAsia="Arial" w:hAnsi="Arial"/>
          <w:rtl w:val="0"/>
        </w:rPr>
        <w:t xml:space="preserve">O controle de sequência identifica lacunas, repetições e quadros fora de ordem, enquanto a auditoria contabiliza cada envio uma única vez. Cada sessão começa na sequência zero e transmite até 1000 quadros. Erros de UART ou inconsistências na auditoria invalidam a coleta, que deve ser encerrada com END somente após a indicação DONE do TX.</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Tabela 4 Limites temporais implementados no RX</w:t>
      </w:r>
    </w:p>
    <w:tbl>
      <w:tblPr>
        <w:tblStyle w:val="Table5"/>
        <w:tblW w:w="9921.000000000002" w:type="dxa"/>
        <w:jc w:val="center"/>
        <w:tblLayout w:type="fixed"/>
        <w:tblLook w:val="0400"/>
      </w:tblPr>
      <w:tblGrid>
        <w:gridCol w:w="2721"/>
        <w:gridCol w:w="5272"/>
        <w:gridCol w:w="1928"/>
        <w:tblGridChange w:id="0">
          <w:tblGrid>
            <w:gridCol w:w="2721"/>
            <w:gridCol w:w="5272"/>
            <w:gridCol w:w="192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Evento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Início da contagem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Limite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Quadro incompleto</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SOF completo</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 ms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Espera entre quadros</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Último SOF reconhecido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75 ms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Referência incompleta</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Início da referência</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5 ms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Aviso de TX ausente</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RX armado sem primeiro quadro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 s sem contar perdas</w:t>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implementação considerada é noise/noise.ino do pacote ESP32_NOISE_v1_12_sincronizado.zip. Os fontes indicam Arduino-ESP32 3.3.12 e alvo ESP32 clássico. O injetor fixa a CPU em 240 MHz e verifica APB em 80 MHz. O GPIO25 controla o NPN, e as UARTs observadoras recebem pelos GPIO26 e GPIO27, sem transmitir para o enlace.</w:t>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Tabela 5 Modos de ruído implementados</w:t>
      </w:r>
    </w:p>
    <w:tbl>
      <w:tblPr>
        <w:tblStyle w:val="Table6"/>
        <w:tblW w:w="9921.0" w:type="dxa"/>
        <w:jc w:val="center"/>
        <w:tblLayout w:type="fixed"/>
        <w:tblLook w:val="0400"/>
      </w:tblPr>
      <w:tblGrid>
        <w:gridCol w:w="850"/>
        <w:gridCol w:w="4762"/>
        <w:gridCol w:w="4309"/>
        <w:tblGridChange w:id="0">
          <w:tblGrid>
            <w:gridCol w:w="850"/>
            <w:gridCol w:w="4762"/>
            <w:gridCol w:w="430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Modo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Plano por quadro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Região elegível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Sem pulsos</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Nenhum bit</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Um bit pseudoaleatório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48 bits dos bytes 2 a 7</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Dois bits distintos pseudoaleatórios</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48 bits dos bytes 2 a 7</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Janela contígua de 3 a 8 bits</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Um dos bytes 2 a 7</w:t>
            </w:r>
          </w:p>
        </w:tc>
      </w:tr>
    </w:tbl>
    <w:p w:rsidR="00000000" w:rsidDel="00000000" w:rsidP="00000000" w:rsidRDefault="00000000" w:rsidRPr="00000000" w14:paraId="000000F2">
      <w:pPr>
        <w:spacing w:after="240" w:before="240" w:line="259" w:lineRule="auto"/>
        <w:ind w:firstLine="720"/>
        <w:jc w:val="both"/>
        <w:rPr>
          <w:rFonts w:ascii="Arial" w:cs="Arial" w:eastAsia="Arial" w:hAnsi="Arial"/>
        </w:rPr>
      </w:pPr>
      <w:r w:rsidDel="00000000" w:rsidR="00000000" w:rsidRPr="00000000">
        <w:rPr>
          <w:rFonts w:ascii="Arial" w:cs="Arial" w:eastAsia="Arial" w:hAnsi="Arial"/>
          <w:rtl w:val="0"/>
        </w:rPr>
        <w:t xml:space="preserve">Os alvos do ruído incluem LEN, sequência, payload e CHECK, preservando o SOF, os bits de início e parada da UART e a cópia de depuração. O planejamento ocorre antes da sessão, com semente configurável pelo comando SEED. No modo 3, a janela sorteada pode conter zeros, resultando em menos alterações efetivas que alvos. O marcador A5 5A sincroniza a injeção. Um temporizador de 10 MHz, com resolução de 0,1 µs, inicia os eventos, e o contador de ciclos CCOUNT controla as transições seguintes na mesma interrupção, sem utilizar delayMicroseconds.</w:t>
      </w:r>
    </w:p>
    <w:p w:rsidR="00000000" w:rsidDel="00000000" w:rsidP="00000000" w:rsidRDefault="00000000" w:rsidRPr="00000000" w14:paraId="000000F3">
      <w:pPr>
        <w:spacing w:after="240" w:before="240" w:line="259" w:lineRule="auto"/>
        <w:ind w:firstLine="720"/>
        <w:jc w:val="both"/>
        <w:rPr>
          <w:rFonts w:ascii="Arial" w:cs="Arial" w:eastAsia="Arial" w:hAnsi="Arial"/>
        </w:rPr>
      </w:pPr>
      <w:r w:rsidDel="00000000" w:rsidR="00000000" w:rsidRPr="00000000">
        <w:rPr>
          <w:rFonts w:ascii="Arial" w:cs="Arial" w:eastAsia="Arial" w:hAnsi="Arial"/>
          <w:rtl w:val="0"/>
        </w:rPr>
        <w:t xml:space="preserve">A versão 1.12 ajusta a leitura do GPIO26, o escalonamento dos núcleos e a recuperação de bordas atrasadas para reduzir interferências na captura e nos pulsos. A eficácia desses ajustes é verificada nos registros de cada rodada.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Tabela 6 Configuração temporal do NOISE</w:t>
      </w:r>
    </w:p>
    <w:tbl>
      <w:tblPr>
        <w:tblStyle w:val="Table7"/>
        <w:tblW w:w="9922.0" w:type="dxa"/>
        <w:jc w:val="center"/>
        <w:tblLayout w:type="fixed"/>
        <w:tblLook w:val="0400"/>
      </w:tblPr>
      <w:tblGrid>
        <w:gridCol w:w="5216"/>
        <w:gridCol w:w="4706"/>
        <w:tblGridChange w:id="0">
          <w:tblGrid>
            <w:gridCol w:w="5216"/>
            <w:gridCol w:w="470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Parâmetro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Valor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Fase inicial baseada na bancada</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sdt>
              <w:sdtPr>
                <w:id w:val="-245968183"/>
                <w:tag w:val="goog_rdk_1"/>
              </w:sdtPr>
              <w:sdtContent>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−55 ticks ou −5,5 µs</w:t>
                </w:r>
              </w:sdtContent>
            </w:sdt>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Antecipação do alarme</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60 ticks ou 6,0 µs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Atraso máximo admitido do evento</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20 ticks ou 2,0 µs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Adiantamento máximo admitido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5 ticks ou 0,5 µs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Tolerância normal do marcador</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25 ticks ou 2,5 µs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Borda tardia isolada com confirmação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Até 43 ticks sob regras do detector</w:t>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59" w:lineRule="auto"/>
        <w:ind w:left="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105">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Metodologia e demonstração experimental</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Foram executadas sete condições em 19 de outubro de 2026, com 1000 quadros por condição, semente 1 e NOISE v1.12-sincronizado. Mantiveram-se circuito, baud rate, formato, sequência de payloads e parâmetros do injetor para a comparação entre as técnicas. As rodadas SUM cobriram os modos 0 a 3; as rodadas CRC-8, os modos 1 a 3. Os horários da Tabela 7 seguem o fuso UTC−04:00 [2–6].</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Cada envio recebe uma única classe: OK quando aceito com payload correto; CORROMPIDO quando a checagem concluída falha; PERDIDO quando a checagem não é concluída; NÃO DETECTADO quando aceito com payload incorreto. Referência ausente ou associação inconsistente tornam o registro inconclusivo e impedem validar a coleta.</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Pr>
          <w:rFonts w:ascii="Arial" w:hAnsi="Arial" w:cs="Arial"/>
          <w:color w:val="000000"/>
        </w:rPr>
        <w:t>Tabela 7 Identificação das sete condições coletadas</w:t>
      </w:r>
    </w:p>
    <w:tbl>
      <w:tblPr>
        <w:tblW w:w="8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00"/>
        <w:gridCol w:w="800"/>
        <w:gridCol w:w="900"/>
        <w:gridCol w:w="750"/>
        <w:gridCol w:w="950"/>
        <w:gridCol w:w="1650"/>
        <w:gridCol w:w="1850"/>
      </w:tblGrid>
      <w:tr>
        <w:trPr>
          <w:cantSplit/>
          <w:tblHeader/>
        </w:trPr>
        <w:tc>
          <w:tcPr>
            <w:tcW w:w="12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Técnica</w:t>
            </w:r>
          </w:p>
        </w:tc>
        <w:tc>
          <w:tcPr>
            <w:tcW w:w="8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Modo</w:t>
            </w:r>
          </w:p>
        </w:tc>
        <w:tc>
          <w:tcPr>
            <w:tcW w:w="9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Sessão TX</w:t>
            </w:r>
          </w:p>
        </w:tc>
        <w:tc>
          <w:tcPr>
            <w:tcW w:w="75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N</w:t>
            </w:r>
          </w:p>
        </w:tc>
        <w:tc>
          <w:tcPr>
            <w:tcW w:w="95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Semente</w:t>
            </w:r>
          </w:p>
        </w:tc>
        <w:tc>
          <w:tcPr>
            <w:tcW w:w="165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Início em 19/10</w:t>
            </w:r>
          </w:p>
        </w:tc>
        <w:tc>
          <w:tcPr>
            <w:tcW w:w="185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Validação</w:t>
            </w:r>
          </w:p>
        </w:tc>
      </w:tr>
      <w:tr>
        <w:trPr>
          <w:cantSplit/>
        </w:trPr>
        <w:tc>
          <w:tcPr>
            <w:tcW w:w="12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SUM</w:t>
            </w:r>
          </w:p>
        </w:tc>
        <w:tc>
          <w:tcPr>
            <w:tcW w:w="8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w:t>
            </w:r>
          </w:p>
        </w:tc>
        <w:tc>
          <w:tcPr>
            <w:tcW w:w="9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w:t>
            </w:r>
          </w:p>
        </w:tc>
        <w:tc>
          <w:tcPr>
            <w:tcW w:w="7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9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w:t>
            </w:r>
          </w:p>
        </w:tc>
        <w:tc>
          <w:tcPr>
            <w:tcW w:w="16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17:49:27</w:t>
            </w:r>
          </w:p>
        </w:tc>
        <w:tc>
          <w:tcPr>
            <w:tcW w:w="18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Válida</w:t>
            </w:r>
          </w:p>
        </w:tc>
      </w:tr>
      <w:tr>
        <w:trPr>
          <w:cantSplit/>
        </w:trPr>
        <w:tc>
          <w:tcPr>
            <w:tcW w:w="12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SUM</w:t>
            </w:r>
          </w:p>
        </w:tc>
        <w:tc>
          <w:tcPr>
            <w:tcW w:w="8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w:t>
            </w:r>
          </w:p>
        </w:tc>
        <w:tc>
          <w:tcPr>
            <w:tcW w:w="9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4</w:t>
            </w:r>
          </w:p>
        </w:tc>
        <w:tc>
          <w:tcPr>
            <w:tcW w:w="7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9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w:t>
            </w:r>
          </w:p>
        </w:tc>
        <w:tc>
          <w:tcPr>
            <w:tcW w:w="16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17:50:48</w:t>
            </w:r>
          </w:p>
        </w:tc>
        <w:tc>
          <w:tcPr>
            <w:tcW w:w="18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Válida</w:t>
            </w:r>
          </w:p>
        </w:tc>
      </w:tr>
      <w:tr>
        <w:trPr>
          <w:cantSplit/>
        </w:trPr>
        <w:tc>
          <w:tcPr>
            <w:tcW w:w="12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SUM</w:t>
            </w:r>
          </w:p>
        </w:tc>
        <w:tc>
          <w:tcPr>
            <w:tcW w:w="8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2</w:t>
            </w:r>
          </w:p>
        </w:tc>
        <w:tc>
          <w:tcPr>
            <w:tcW w:w="9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w:t>
            </w:r>
          </w:p>
        </w:tc>
        <w:tc>
          <w:tcPr>
            <w:tcW w:w="7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9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w:t>
            </w:r>
          </w:p>
        </w:tc>
        <w:tc>
          <w:tcPr>
            <w:tcW w:w="16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17:52:57</w:t>
            </w:r>
          </w:p>
        </w:tc>
        <w:tc>
          <w:tcPr>
            <w:tcW w:w="18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Válida</w:t>
            </w:r>
          </w:p>
        </w:tc>
      </w:tr>
      <w:tr>
        <w:trPr>
          <w:cantSplit/>
        </w:trPr>
        <w:tc>
          <w:tcPr>
            <w:tcW w:w="12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SUM</w:t>
            </w:r>
          </w:p>
        </w:tc>
        <w:tc>
          <w:tcPr>
            <w:tcW w:w="8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w:t>
            </w:r>
          </w:p>
        </w:tc>
        <w:tc>
          <w:tcPr>
            <w:tcW w:w="9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6</w:t>
            </w:r>
          </w:p>
        </w:tc>
        <w:tc>
          <w:tcPr>
            <w:tcW w:w="7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9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w:t>
            </w:r>
          </w:p>
        </w:tc>
        <w:tc>
          <w:tcPr>
            <w:tcW w:w="16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17:54:41</w:t>
            </w:r>
          </w:p>
        </w:tc>
        <w:tc>
          <w:tcPr>
            <w:tcW w:w="18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Válida</w:t>
            </w:r>
          </w:p>
        </w:tc>
      </w:tr>
      <w:tr>
        <w:trPr>
          <w:cantSplit/>
        </w:trPr>
        <w:tc>
          <w:tcPr>
            <w:tcW w:w="12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CRC-8</w:t>
            </w:r>
          </w:p>
        </w:tc>
        <w:tc>
          <w:tcPr>
            <w:tcW w:w="8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w:t>
            </w:r>
          </w:p>
        </w:tc>
        <w:tc>
          <w:tcPr>
            <w:tcW w:w="9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8</w:t>
            </w:r>
          </w:p>
        </w:tc>
        <w:tc>
          <w:tcPr>
            <w:tcW w:w="7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9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w:t>
            </w:r>
          </w:p>
        </w:tc>
        <w:tc>
          <w:tcPr>
            <w:tcW w:w="16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18:07:38</w:t>
            </w:r>
          </w:p>
        </w:tc>
        <w:tc>
          <w:tcPr>
            <w:tcW w:w="18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Com ressalva</w:t>
            </w:r>
          </w:p>
        </w:tc>
      </w:tr>
      <w:tr>
        <w:trPr>
          <w:cantSplit/>
        </w:trPr>
        <w:tc>
          <w:tcPr>
            <w:tcW w:w="12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CRC-8</w:t>
            </w:r>
          </w:p>
        </w:tc>
        <w:tc>
          <w:tcPr>
            <w:tcW w:w="8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2</w:t>
            </w:r>
          </w:p>
        </w:tc>
        <w:tc>
          <w:tcPr>
            <w:tcW w:w="9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w:t>
            </w:r>
          </w:p>
        </w:tc>
        <w:tc>
          <w:tcPr>
            <w:tcW w:w="7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9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w:t>
            </w:r>
          </w:p>
        </w:tc>
        <w:tc>
          <w:tcPr>
            <w:tcW w:w="16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18:13:55</w:t>
            </w:r>
          </w:p>
        </w:tc>
        <w:tc>
          <w:tcPr>
            <w:tcW w:w="18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Válida</w:t>
            </w:r>
          </w:p>
        </w:tc>
      </w:tr>
      <w:tr>
        <w:trPr>
          <w:cantSplit/>
        </w:trPr>
        <w:tc>
          <w:tcPr>
            <w:tcW w:w="12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CRC-8</w:t>
            </w:r>
          </w:p>
        </w:tc>
        <w:tc>
          <w:tcPr>
            <w:tcW w:w="8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3</w:t>
            </w:r>
          </w:p>
        </w:tc>
        <w:tc>
          <w:tcPr>
            <w:tcW w:w="9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10</w:t>
            </w:r>
          </w:p>
        </w:tc>
        <w:tc>
          <w:tcPr>
            <w:tcW w:w="7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1000</w:t>
            </w:r>
          </w:p>
        </w:tc>
        <w:tc>
          <w:tcPr>
            <w:tcW w:w="9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1</w:t>
            </w:r>
          </w:p>
        </w:tc>
        <w:tc>
          <w:tcPr>
            <w:tcW w:w="16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18:15:46</w:t>
            </w:r>
          </w:p>
        </w:tc>
        <w:tc>
          <w:tcPr>
            <w:tcW w:w="18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Válida</w:t>
            </w:r>
          </w:p>
        </w:tc>
      </w:tr>
    </w:tbl>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rPr>
      </w:pPr>
      <w:r>
        <w:rPr>
          <w:rFonts w:ascii="Arial" w:hAnsi="Arial" w:cs="Arial"/>
          <w:color w:val="000000"/>
        </w:rPr>
        <w:t>A gravação das três saídas seriais foi iniciada antes dos envios, preservando cabeçalhos, dados, avisos e resumos. Técnica, modo, semente, portas e horário da rodada foram registrados em sessao.json.</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rPr>
      </w:pPr>
      <w:r>
        <w:rPr>
          <w:rFonts w:ascii="Arial" w:hAnsi="Arial" w:cs="Arial"/>
          <w:color w:val="000000"/>
        </w:rPr>
        <w:t>Com as sessões paradas, selecionou-se SUM ou CRC no TX e no RX e configuraram-se MODE e SEED no NOISE.</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rPr>
      </w:pPr>
      <w:r>
        <w:rPr>
          <w:rFonts w:ascii="Arial" w:hAnsi="Arial" w:cs="Arial"/>
          <w:color w:val="000000"/>
        </w:rPr>
        <w:t>O início seguiu a ordem RX, NOISE e TX, com START 1000 em cada placa.</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rPr>
      </w:pPr>
      <w:r>
        <w:rPr>
          <w:rFonts w:ascii="Arial" w:hAnsi="Arial" w:cs="Arial"/>
          <w:color w:val="000000"/>
        </w:rPr>
        <w:t>Esperou-se DONE no TX antes do encerramento do RX com END; o NOISE concluiu sua contagem ou recebeu END após o término confirmado do transmissor.</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Arial" w:cs="Arial" w:eastAsia="Arial" w:hAnsi="Arial"/>
        </w:rPr>
      </w:pPr>
      <w:r>
        <w:rPr>
          <w:rFonts w:ascii="Arial" w:hAnsi="Arial" w:cs="Arial"/>
          <w:color w:val="000000"/>
        </w:rPr>
        <w:t>Foram conferidas as quatro classes, a ausência de registros inconclusivos e a integridade da referência. A auditoria cruzou os quadros originais e perturbados do NOISE com os registros do TX e as decisões do RX.</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 condição precisa apresentar 1000 envios confirmados. No RX, as classes somam 1000, INCONCLUSIVO e PENDENTE são zero e coleta_valida é SIM. No NOISE, esperam-se 1000 registros, SOF e observações correspondentes nas duas UARTs, zero falhas e valido igual a SIM. Uma contabilidade válida do RX não substitui a validação física do injetor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log do NOISE diferencia a máscara planejada alvos_hex do XOR medido xor_hex. Uma rodada com alvos que já eram zero pode ser válida sem mudança nesses bits. Falhas de temporização, alteração fora dos alvos ou mudança da referência tornam a condição inadequada para a comparação final.</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 demonstração ao vivo apresenta o circuito, a recepção, os modos de ruído e a interpretação dos resultados. O roteiro seguinte distribui os vinte minutos previstos no enunciado.</w:t>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Tabela 8 Distribuição sugerida dos vinte minutos</w:t>
      </w:r>
    </w:p>
    <w:tbl>
      <w:tblPr>
        <w:tblStyle w:val="Table9"/>
        <w:tblW w:w="9921.0" w:type="dxa"/>
        <w:jc w:val="center"/>
        <w:tblLayout w:type="fixed"/>
        <w:tblLook w:val="0400"/>
      </w:tblPr>
      <w:tblGrid>
        <w:gridCol w:w="1814"/>
        <w:gridCol w:w="8107"/>
        <w:tblGridChange w:id="0">
          <w:tblGrid>
            <w:gridCol w:w="1814"/>
            <w:gridCol w:w="810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Tempo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Conteúdo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 a 3 min</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Objetivo, papéis das placas e circuito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 a 7 min</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Quadro, SUM, CRC e decisão independente do RX</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7 a 11 min</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Modos de ruído e comprovação das alterações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11 a 15 min</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Resultados, erro não detectado e cálculo manual</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15 a 18 min</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Predição individual e observação de dez quadros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18 a 20 min</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Limitações, conclusão e perguntas</w:t>
            </w:r>
          </w:p>
        </w:tc>
      </w:tr>
    </w:tb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59" w:lineRule="auto"/>
        <w:ind w:left="0" w:right="0" w:firstLine="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Na demonstração, o professor escolhe o modo de ruído sem aviso prévio. Para a predição, cada integrante registra previamente quantos dos dez quadros espera em cada classe e justifica com as frequências da tabela correspondente. Em seguida, compara a previsão ao resultado observado. Uma amostra de dez quadros pode diferir das proporções estimadas em 1000 envios, sem invalidar automaticamente o experimento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Cada condição está identificada pela pasta de coleta e pelos arquivos tx.txt, rx.txt, noise.txt e sessao.json. Os TXT são os registros brutos; os CSVs e resumos são derivados. Os números de sessão são locais às placas, e a associação utiliza técnica, modo, N, sequência, semente e identificação externa da rodada. As sete pastas estão reunidas em coletas.zip e vinculadas ao repositório indicado na capa [5, 6].</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rPr>
      </w:pPr>
      <w:r w:rsidDel="00000000" w:rsidR="00000000" w:rsidRPr="00000000">
        <w:rPr>
          <w:rtl w:val="0"/>
        </w:rPr>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 w:line="259"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Pr>
          <w:rFonts w:ascii="Arial" w:hAnsi="Arial" w:cs="Arial"/>
          <w:color w:val="000000"/>
          <w:b w:val="1"/>
        </w:rPr>
        <w:t xml:space="preserve">7 Resultados e desempenho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Os resultados a seguir foram recalculados a partir dos registros integrais enviados em coletas.zip, correspondentes às sete condições da Tabela 7. Cada condição contém 1000 classificações do RX, somando 7000 envios na comparação. Seis condições passaram pela validação sem ressalvas; CRC-8 modo 1 possui uma ressalva de integridade documental descrita adiante [6].</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Pr>
          <w:rFonts w:ascii="Arial" w:hAnsi="Arial" w:cs="Arial"/>
          <w:color w:val="000000"/>
          <w:b w:val="1"/>
        </w:rPr>
        <w:t xml:space="preserve">Tabela 9 Resultados da soma modular</w:t>
      </w:r>
    </w:p>
    <w:tbl>
      <w:tblPr>
        <w:tblW w:w="8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00"/>
        <w:gridCol w:w="1100"/>
        <w:gridCol w:w="1450"/>
        <w:gridCol w:w="1100"/>
        <w:gridCol w:w="1500"/>
        <w:gridCol w:w="2150"/>
      </w:tblGrid>
      <w:tr>
        <w:trPr>
          <w:cantSplit/>
          <w:tblHeader/>
        </w:trPr>
        <w:tc>
          <w:tcPr>
            <w:tcW w:w="8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Modo</w:t>
            </w:r>
          </w:p>
        </w:tc>
        <w:tc>
          <w:tcPr>
            <w:tcW w:w="11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OK</w:t>
            </w:r>
          </w:p>
        </w:tc>
        <w:tc>
          <w:tcPr>
            <w:tcW w:w="145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Corrompido</w:t>
            </w:r>
          </w:p>
        </w:tc>
        <w:tc>
          <w:tcPr>
            <w:tcW w:w="11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Perdido</w:t>
            </w:r>
          </w:p>
        </w:tc>
        <w:tc>
          <w:tcPr>
            <w:tcW w:w="15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Não detectado</w:t>
            </w:r>
          </w:p>
        </w:tc>
        <w:tc>
          <w:tcPr>
            <w:tcW w:w="215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Taxa %</w:t>
            </w:r>
          </w:p>
        </w:tc>
      </w:tr>
      <w:tr>
        <w:trPr>
          <w:cantSplit/>
        </w:trPr>
        <w:tc>
          <w:tcPr>
            <w:tcW w:w="8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w:t>
            </w:r>
          </w:p>
        </w:tc>
        <w:tc>
          <w:tcPr>
            <w:tcW w:w="11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14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w:t>
            </w:r>
          </w:p>
        </w:tc>
        <w:tc>
          <w:tcPr>
            <w:tcW w:w="11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w:t>
            </w:r>
          </w:p>
        </w:tc>
        <w:tc>
          <w:tcPr>
            <w:tcW w:w="21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N/A</w:t>
            </w:r>
          </w:p>
        </w:tc>
      </w:tr>
      <w:tr>
        <w:trPr>
          <w:cantSplit/>
        </w:trPr>
        <w:tc>
          <w:tcPr>
            <w:tcW w:w="8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w:t>
            </w:r>
          </w:p>
        </w:tc>
        <w:tc>
          <w:tcPr>
            <w:tcW w:w="11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616</w:t>
            </w:r>
          </w:p>
        </w:tc>
        <w:tc>
          <w:tcPr>
            <w:tcW w:w="14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368</w:t>
            </w:r>
          </w:p>
        </w:tc>
        <w:tc>
          <w:tcPr>
            <w:tcW w:w="11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16</w:t>
            </w:r>
          </w:p>
        </w:tc>
        <w:tc>
          <w:tcPr>
            <w:tcW w:w="15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w:t>
            </w:r>
          </w:p>
        </w:tc>
        <w:tc>
          <w:tcPr>
            <w:tcW w:w="21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0,000000</w:t>
            </w:r>
          </w:p>
        </w:tc>
      </w:tr>
      <w:tr>
        <w:trPr>
          <w:cantSplit/>
        </w:trPr>
        <w:tc>
          <w:tcPr>
            <w:tcW w:w="8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2</w:t>
            </w:r>
          </w:p>
        </w:tc>
        <w:tc>
          <w:tcPr>
            <w:tcW w:w="11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384</w:t>
            </w:r>
          </w:p>
        </w:tc>
        <w:tc>
          <w:tcPr>
            <w:tcW w:w="14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576</w:t>
            </w:r>
          </w:p>
        </w:tc>
        <w:tc>
          <w:tcPr>
            <w:tcW w:w="11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38</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2</w:t>
            </w:r>
          </w:p>
        </w:tc>
        <w:tc>
          <w:tcPr>
            <w:tcW w:w="21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0,346021</w:t>
            </w:r>
          </w:p>
        </w:tc>
      </w:tr>
      <w:tr>
        <w:trPr>
          <w:cantSplit/>
        </w:trPr>
        <w:tc>
          <w:tcPr>
            <w:tcW w:w="8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3</w:t>
            </w:r>
          </w:p>
        </w:tc>
        <w:tc>
          <w:tcPr>
            <w:tcW w:w="11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174</w:t>
            </w:r>
          </w:p>
        </w:tc>
        <w:tc>
          <w:tcPr>
            <w:tcW w:w="14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740</w:t>
            </w:r>
          </w:p>
        </w:tc>
        <w:tc>
          <w:tcPr>
            <w:tcW w:w="11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86</w:t>
            </w:r>
          </w:p>
        </w:tc>
        <w:tc>
          <w:tcPr>
            <w:tcW w:w="15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0</w:t>
            </w:r>
          </w:p>
        </w:tc>
        <w:tc>
          <w:tcPr>
            <w:tcW w:w="21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0,000000</w:t>
            </w:r>
          </w:p>
        </w:tc>
      </w:tr>
    </w:tbl>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Pr>
          <w:rFonts w:ascii="Arial" w:hAnsi="Arial" w:cs="Arial"/>
          <w:color w:val="000000"/>
          <w:b w:val="1"/>
        </w:rPr>
        <w:t xml:space="preserve">Tabela 10 Resultados do CRC de oito bits</w:t>
      </w:r>
    </w:p>
    <w:tbl>
      <w:tblPr>
        <w:tblW w:w="8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00"/>
        <w:gridCol w:w="1100"/>
        <w:gridCol w:w="1450"/>
        <w:gridCol w:w="1100"/>
        <w:gridCol w:w="1500"/>
        <w:gridCol w:w="2150"/>
      </w:tblGrid>
      <w:tr>
        <w:trPr>
          <w:cantSplit/>
          <w:tblHeader/>
        </w:trPr>
        <w:tc>
          <w:tcPr>
            <w:tcW w:w="8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Modo</w:t>
            </w:r>
          </w:p>
        </w:tc>
        <w:tc>
          <w:tcPr>
            <w:tcW w:w="11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OK</w:t>
            </w:r>
          </w:p>
        </w:tc>
        <w:tc>
          <w:tcPr>
            <w:tcW w:w="145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Corrompido</w:t>
            </w:r>
          </w:p>
        </w:tc>
        <w:tc>
          <w:tcPr>
            <w:tcW w:w="11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Perdido</w:t>
            </w:r>
          </w:p>
        </w:tc>
        <w:tc>
          <w:tcPr>
            <w:tcW w:w="15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Não detectado</w:t>
            </w:r>
          </w:p>
        </w:tc>
        <w:tc>
          <w:tcPr>
            <w:tcW w:w="215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Taxa %</w:t>
            </w:r>
          </w:p>
        </w:tc>
      </w:tr>
      <w:tr>
        <w:trPr>
          <w:cantSplit/>
        </w:trPr>
        <w:tc>
          <w:tcPr>
            <w:tcW w:w="8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w:t>
            </w:r>
          </w:p>
        </w:tc>
        <w:tc>
          <w:tcPr>
            <w:tcW w:w="11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621</w:t>
            </w:r>
          </w:p>
        </w:tc>
        <w:tc>
          <w:tcPr>
            <w:tcW w:w="14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363</w:t>
            </w:r>
          </w:p>
        </w:tc>
        <w:tc>
          <w:tcPr>
            <w:tcW w:w="11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16</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w:t>
            </w:r>
          </w:p>
        </w:tc>
        <w:tc>
          <w:tcPr>
            <w:tcW w:w="21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0,000000</w:t>
            </w:r>
          </w:p>
        </w:tc>
      </w:tr>
      <w:tr>
        <w:trPr>
          <w:cantSplit/>
        </w:trPr>
        <w:tc>
          <w:tcPr>
            <w:tcW w:w="8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2</w:t>
            </w:r>
          </w:p>
        </w:tc>
        <w:tc>
          <w:tcPr>
            <w:tcW w:w="11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399</w:t>
            </w:r>
          </w:p>
        </w:tc>
        <w:tc>
          <w:tcPr>
            <w:tcW w:w="14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563</w:t>
            </w:r>
          </w:p>
        </w:tc>
        <w:tc>
          <w:tcPr>
            <w:tcW w:w="11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38</w:t>
            </w:r>
          </w:p>
        </w:tc>
        <w:tc>
          <w:tcPr>
            <w:tcW w:w="15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w:t>
            </w:r>
          </w:p>
        </w:tc>
        <w:tc>
          <w:tcPr>
            <w:tcW w:w="21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0,000000</w:t>
            </w:r>
          </w:p>
        </w:tc>
      </w:tr>
      <w:tr>
        <w:trPr>
          <w:cantSplit/>
        </w:trPr>
        <w:tc>
          <w:tcPr>
            <w:tcW w:w="8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3</w:t>
            </w:r>
          </w:p>
        </w:tc>
        <w:tc>
          <w:tcPr>
            <w:tcW w:w="11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167</w:t>
            </w:r>
          </w:p>
        </w:tc>
        <w:tc>
          <w:tcPr>
            <w:tcW w:w="14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747</w:t>
            </w:r>
          </w:p>
        </w:tc>
        <w:tc>
          <w:tcPr>
            <w:tcW w:w="11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86</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0</w:t>
            </w:r>
          </w:p>
        </w:tc>
        <w:tc>
          <w:tcPr>
            <w:tcW w:w="21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0,000000</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A taxa de não detecção considera somente CORROMPIDO e NÃO DETECTADO no denominador; os perdidos ficam fora desse cálculo. N/A no baseline indica denominador zero, e não uma taxa estimada de zero. No SUM modo 2, a taxa foi:</w:t>
      </w:r>
    </w:p>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Taxa de não detecção (%) = 100 × </m:t>
        </m:r>
        <m:f>
          <m:fPr>
            <m:ctrlPr>
              <w:rPr>
                <w:rFonts w:ascii="Arial" w:cs="Arial" w:eastAsia="Arial" w:hAnsi="Arial"/>
                <w:i w:val="0"/>
                <w:iCs w:val="0"/>
                <w:smallCaps w:val="0"/>
                <w:strike w:val="0"/>
                <w:color w:val="000000"/>
                <w:u w:val="none"/>
                <w:shd w:fill="auto" w:val="clear"/>
                <w:vertAlign w:val="baseline"/>
              </w:rPr>
            </m:ctrlPr>
          </m:fPr>
          <m:num>
            <m:r>
              <w:rPr>
                <w:rFonts w:ascii="Arial" w:cs="Arial" w:eastAsia="Arial" w:hAnsi="Arial"/>
                <w:i w:val="0"/>
                <w:iCs w:val="0"/>
                <w:smallCaps w:val="0"/>
                <w:strike w:val="0"/>
                <w:color w:val="000000"/>
                <w:u w:val="none"/>
                <w:shd w:fill="auto" w:val="clear"/>
                <w:vertAlign w:val="baseline"/>
              </w:rPr>
              <m:t xml:space="preserve">NÃO DETECTADO</m:t>
            </m:r>
          </m:num>
          <m:den>
            <m:r>
              <w:rPr>
                <w:rFonts w:ascii="Arial" w:cs="Arial" w:eastAsia="Arial" w:hAnsi="Arial"/>
                <w:i w:val="0"/>
                <w:iCs w:val="0"/>
                <w:smallCaps w:val="0"/>
                <w:strike w:val="0"/>
                <w:color w:val="000000"/>
                <w:u w:val="none"/>
                <w:shd w:fill="auto" w:val="clear"/>
                <w:vertAlign w:val="baseline"/>
              </w:rPr>
              <m:t xml:space="preserve">CORROMPIDO + NÃO DETECTADO</m:t>
            </m:r>
          </m:den>
        </m:f>
      </m:oMath>
      <w:r w:rsidDel="00000000" w:rsidR="00000000" w:rsidRPr="00000000">
        <w:rPr>
          <w:rtl w:val="0"/>
        </w:rPr>
      </w:r>
    </w:p>
    <w:p>
      <w:pPr>
        <w:jc w:val="center"/>
        <w:spacing w:before="60" w:after="80"/>
        <w:keepNext w:val="0"/>
      </w:pPr>
      <m:oMathPara>
        <m:oMath>
          <m:r>
            <m:rPr>
              <m:sty m:val="p"/>
            </m:rPr>
            <m:t>100 × 2 ÷ (576 + 2) = 0,346021%</m:t>
          </m:r>
        </m:oMath>
      </m:oMathPara>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O SUM aceitou dois payloads incorretos no modo 2. O CRC-8 não apresentou erros não detectados nas três condições executadas. As perdas foram iguais entre as técnicas para o mesmo modo: 16, 38 e 86. Os números de quadros OK e corrompidos diferiram porque CHECK também pode ser sorteado pelo injetor e contém valores distintos nas duas técnicas. Os resultados descrevem estas rodadas e não estabelecem imunidade a qualquer padrão de erro.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Na coleta SUM modo 2, o NOISE registrou 2000 alvos e 748 alterações efetivas de bits, com zero falhas. Isso não equivale a 748 quadros corrompidos: dois alvos podem atingir o mesmo quadro, e alvos originalmente em zero não mudam. As duas colisões são analisadas na seção 8.</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b w:val="1"/>
        </w:rPr>
        <w:t xml:space="preserve">Ressalva da captura CRC-8 modo 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Na sessão 8, a linha do TX referente à sequência 695 apresentou 64 bytes FF em seus campos iniciais. O quadro A5 5A 02 02 B7 10 F7 88 permaneceu legível e coincidiu com a observação original do NOISE. No RX, os bytes inválidos atingiram uma resposta anterior ao START atual e uma mensagem auxiliar de lacuna; as 1000 linhas de classificação e o resumo final foram preservados. O NOISE manteve 1000 registros válidos, zero falhas e zero erros de UART. O cruzamento das três fontes confirmou as classificações. A rodada é utilizada com essa ressalva explícita, preservando os TXT brutos; a origem exata dos bytes FF na captura não foi estabelecida [6].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A linha parcial do TX foi excluída das médias de cálculo e de intervalo: nessa condição há 999 amostras de cálculo e 998 intervalos completos. Os valores ausentes não foram estimados. As demais condições possuem 1000 medidas de cálculo do TX. As medidas do RX consideram apenas checagens concluídas, incluindo quadros aceitos e descartados.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Pr>
          <w:rFonts w:ascii="Arial" w:hAnsi="Arial" w:cs="Arial"/>
          <w:color w:val="000000"/>
          <w:b w:val="1"/>
        </w:rPr>
        <w:t xml:space="preserve">Tabela 11 Tempos médios de cálculo e verificação por quadro</w:t>
      </w:r>
    </w:p>
    <w:tbl>
      <w:tblPr>
        <w:tblW w:w="8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1300"/>
        <w:gridCol w:w="1400"/>
        <w:gridCol w:w="1400"/>
        <w:gridCol w:w="1500"/>
      </w:tblGrid>
      <w:tr>
        <w:trPr>
          <w:cantSplit/>
          <w:tblHeader/>
        </w:trPr>
        <w:tc>
          <w:tcPr>
            <w:tcW w:w="2500" w:type="dxa"/>
            <w:vAlign w:val="center"/>
            <w:shd w:fill="404040"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FFFFFF"/>
                <w:b w:val="1"/>
              </w:rPr>
              <w:t>Condição</w:t>
            </w:r>
          </w:p>
        </w:tc>
        <w:tc>
          <w:tcPr>
            <w:tcW w:w="13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TX µs</w:t>
            </w:r>
          </w:p>
        </w:tc>
        <w:tc>
          <w:tcPr>
            <w:tcW w:w="14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Amostras TX</w:t>
            </w:r>
          </w:p>
        </w:tc>
        <w:tc>
          <w:tcPr>
            <w:tcW w:w="14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RX µs</w:t>
            </w:r>
          </w:p>
        </w:tc>
        <w:tc>
          <w:tcPr>
            <w:tcW w:w="15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Checagens RX</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0</w:t>
            </w:r>
          </w:p>
        </w:tc>
        <w:tc>
          <w:tcPr>
            <w:tcW w:w="13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1,0010</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3,4920</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r>
      <w:tr>
        <w:trPr>
          <w:cantSplit/>
        </w:trPr>
        <w:tc>
          <w:tcPr>
            <w:tcW w:w="2500" w:type="dxa"/>
            <w:vAlign w:val="center"/>
            <w:shd w:fill="F3F4F6"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1</w:t>
            </w:r>
          </w:p>
        </w:tc>
        <w:tc>
          <w:tcPr>
            <w:tcW w:w="13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1,0010</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3,0020</w:t>
            </w:r>
          </w:p>
        </w:tc>
        <w:tc>
          <w:tcPr>
            <w:tcW w:w="15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984</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2</w:t>
            </w:r>
          </w:p>
        </w:tc>
        <w:tc>
          <w:tcPr>
            <w:tcW w:w="13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1,0010</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3,2703</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962</w:t>
            </w:r>
          </w:p>
        </w:tc>
      </w:tr>
      <w:tr>
        <w:trPr>
          <w:cantSplit/>
        </w:trPr>
        <w:tc>
          <w:tcPr>
            <w:tcW w:w="2500" w:type="dxa"/>
            <w:vAlign w:val="center"/>
            <w:shd w:fill="F3F4F6"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3</w:t>
            </w:r>
          </w:p>
        </w:tc>
        <w:tc>
          <w:tcPr>
            <w:tcW w:w="13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1,0010</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3,2910</w:t>
            </w:r>
          </w:p>
        </w:tc>
        <w:tc>
          <w:tcPr>
            <w:tcW w:w="15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914</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CRC-8 modo 1</w:t>
            </w:r>
          </w:p>
        </w:tc>
        <w:tc>
          <w:tcPr>
            <w:tcW w:w="13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3,0020</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999</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6,9411</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984</w:t>
            </w:r>
          </w:p>
        </w:tc>
      </w:tr>
      <w:tr>
        <w:trPr>
          <w:cantSplit/>
        </w:trPr>
        <w:tc>
          <w:tcPr>
            <w:tcW w:w="2500" w:type="dxa"/>
            <w:vAlign w:val="center"/>
            <w:shd w:fill="F3F4F6"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CRC-8 modo 2</w:t>
            </w:r>
          </w:p>
        </w:tc>
        <w:tc>
          <w:tcPr>
            <w:tcW w:w="13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3,0020</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1000</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6,0031</w:t>
            </w:r>
          </w:p>
        </w:tc>
        <w:tc>
          <w:tcPr>
            <w:tcW w:w="15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962</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0"/>
            </w:pPr>
            <w:r>
              <w:rPr>
                <w:rFonts w:ascii="Arial" w:hAnsi="Arial" w:cs="Arial"/>
                <w:sz w:val="19"/>
                <w:color w:val="000000"/>
              </w:rPr>
              <w:t>CRC-8 modo 3</w:t>
            </w:r>
          </w:p>
        </w:tc>
        <w:tc>
          <w:tcPr>
            <w:tcW w:w="13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3,0020</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1000</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6,3085</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914</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O TX mede a execução de makeCheck sobre os cinco bytes protegidos; o RX mede a checagem desses campos e do CHECK recebido, totalizando seis bytes. As impressões seriais ficam fora dos intervalos medidos. Os tempos foram obtidos por quadro, sem usar BENCH para preencher a tabela. A resolução em microssegundos quantiza os valores individuais. O CRC exigiu mais tempo nas rotinas executadas, mantendo o mesmo byte adicional de detecção [2, 3, 8].</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Overhead = 8 − 2 = 6 bytes por quadro</m:t>
        </m:r>
      </m:oMath>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O overhead é de seis bytes: SOF ocupa dois, LEN um, SEQ dois e CHECK um. Para um payload de dois bytes, a razão overhead/payload é 300% e a eficiência dentro do quadro é 25%. A referência de sete bytes e os bits de início e parada da UART ficam fora desse cálculo, conforme o critério do trabalho [1].</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Pr>
          <w:rFonts w:ascii="Arial" w:hAnsi="Arial" w:cs="Arial"/>
          <w:color w:val="000000"/>
          <w:b w:val="1"/>
        </w:rPr>
        <w:t xml:space="preserve">Tabela 12 Intervalos entre quadros registrados pelo RX</w:t>
      </w:r>
    </w:p>
    <w:tbl>
      <w:tblPr>
        <w:tblW w:w="8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1400"/>
        <w:gridCol w:w="1600"/>
        <w:gridCol w:w="1400"/>
        <w:gridCol w:w="1200"/>
      </w:tblGrid>
      <w:tr>
        <w:trPr>
          <w:cantSplit/>
          <w:tblHeader/>
        </w:trPr>
        <w:tc>
          <w:tcPr>
            <w:tcW w:w="2500" w:type="dxa"/>
            <w:vAlign w:val="center"/>
            <w:shd w:fill="404040"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FFFFFF"/>
                <w:b w:val="1"/>
              </w:rPr>
              <w:t>Condição</w:t>
            </w:r>
          </w:p>
        </w:tc>
        <w:tc>
          <w:tcPr>
            <w:tcW w:w="14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Mínimo ms</w:t>
            </w:r>
          </w:p>
        </w:tc>
        <w:tc>
          <w:tcPr>
            <w:tcW w:w="16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Média ms</w:t>
            </w:r>
          </w:p>
        </w:tc>
        <w:tc>
          <w:tcPr>
            <w:tcW w:w="14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Máximo ms</w:t>
            </w:r>
          </w:p>
        </w:tc>
        <w:tc>
          <w:tcPr>
            <w:tcW w:w="12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Intervalos</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0</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50,996</w:t>
            </w:r>
          </w:p>
        </w:tc>
        <w:tc>
          <w:tcPr>
            <w:tcW w:w="16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51,001011</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51,957</w:t>
            </w:r>
          </w:p>
        </w:tc>
        <w:tc>
          <w:tcPr>
            <w:tcW w:w="12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999</w:t>
            </w:r>
          </w:p>
        </w:tc>
      </w:tr>
      <w:tr>
        <w:trPr>
          <w:cantSplit/>
        </w:trPr>
        <w:tc>
          <w:tcPr>
            <w:tcW w:w="2500" w:type="dxa"/>
            <w:vAlign w:val="center"/>
            <w:shd w:fill="F3F4F6"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1</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50,998</w:t>
            </w:r>
          </w:p>
        </w:tc>
        <w:tc>
          <w:tcPr>
            <w:tcW w:w="16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51,000004</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51,003</w:t>
            </w:r>
          </w:p>
        </w:tc>
        <w:tc>
          <w:tcPr>
            <w:tcW w:w="12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999</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2</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50,919</w:t>
            </w:r>
          </w:p>
        </w:tc>
        <w:tc>
          <w:tcPr>
            <w:tcW w:w="16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50,999989</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51,007</w:t>
            </w:r>
          </w:p>
        </w:tc>
        <w:tc>
          <w:tcPr>
            <w:tcW w:w="12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999</w:t>
            </w:r>
          </w:p>
        </w:tc>
      </w:tr>
      <w:tr>
        <w:trPr>
          <w:cantSplit/>
        </w:trPr>
        <w:tc>
          <w:tcPr>
            <w:tcW w:w="2500" w:type="dxa"/>
            <w:vAlign w:val="center"/>
            <w:shd w:fill="F3F4F6"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3</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50,920</w:t>
            </w:r>
          </w:p>
        </w:tc>
        <w:tc>
          <w:tcPr>
            <w:tcW w:w="16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50,999986</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51,006</w:t>
            </w:r>
          </w:p>
        </w:tc>
        <w:tc>
          <w:tcPr>
            <w:tcW w:w="12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999</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CRC-8 modo 1</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50,990</w:t>
            </w:r>
          </w:p>
        </w:tc>
        <w:tc>
          <w:tcPr>
            <w:tcW w:w="16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51,000070</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51,007</w:t>
            </w:r>
          </w:p>
        </w:tc>
        <w:tc>
          <w:tcPr>
            <w:tcW w:w="12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999</w:t>
            </w:r>
          </w:p>
        </w:tc>
      </w:tr>
      <w:tr>
        <w:trPr>
          <w:cantSplit/>
        </w:trPr>
        <w:tc>
          <w:tcPr>
            <w:tcW w:w="2500" w:type="dxa"/>
            <w:vAlign w:val="center"/>
            <w:shd w:fill="F3F4F6"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CRC-8 modo 2</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50,998</w:t>
            </w:r>
          </w:p>
        </w:tc>
        <w:tc>
          <w:tcPr>
            <w:tcW w:w="16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51,000004</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51,004</w:t>
            </w:r>
          </w:p>
        </w:tc>
        <w:tc>
          <w:tcPr>
            <w:tcW w:w="12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999</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0"/>
            </w:pPr>
            <w:r>
              <w:rPr>
                <w:rFonts w:ascii="Arial" w:hAnsi="Arial" w:cs="Arial"/>
                <w:sz w:val="19"/>
                <w:color w:val="000000"/>
              </w:rPr>
              <w:t>CRC-8 modo 3</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50,916</w:t>
            </w:r>
          </w:p>
        </w:tc>
        <w:tc>
          <w:tcPr>
            <w:tcW w:w="16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50,999990</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51,011</w:t>
            </w:r>
          </w:p>
        </w:tc>
        <w:tc>
          <w:tcPr>
            <w:tcW w:w="12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999</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O TX registrou médias próximas de 51,000 ms, embora o período nominal do código seja 50 ms. No RX, o maior intervalo observado foi 51,957 ms, no baseline, e não houve perda entre seus 1000 quadros. O timeout entre quadros de 75 ms supera esse máximo em 23,043 ms. Assim, o limite evita declarar ausência nos intervalos normais medidos e permite iniciar a recuperação quando o fluxo deixa de chegar. Essa justificativa utiliza medidas de software do próprio experimento.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A 115200 bit/s e 8N1, o quadro de oito bytes ocupa teoricamente 80 períodos de bit, aproximadamente 694,44 µs. O timeout interno de 2 ms oferece margem para essa recepção e limita a espera após um início reconhecido. O timeout da referência é de 5 ms, contado a partir do início de sua leitura; a guarda anterior de 2 ms é uma etapa separada [2, 3].</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Pr>
          <w:rFonts w:ascii="Arial" w:hAnsi="Arial" w:cs="Arial"/>
          <w:color w:val="000000"/>
          <w:b w:val="1"/>
        </w:rPr>
        <w:t xml:space="preserve">Tabela 13 Recuperação até a próxima decisão aceita</w:t>
      </w:r>
    </w:p>
    <w:tbl>
      <w:tblPr>
        <w:tblW w:w="8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1400"/>
        <w:gridCol w:w="1400"/>
        <w:gridCol w:w="1500"/>
        <w:gridCol w:w="1300"/>
      </w:tblGrid>
      <w:tr>
        <w:trPr>
          <w:cantSplit/>
          <w:tblHeader/>
        </w:trPr>
        <w:tc>
          <w:tcPr>
            <w:tcW w:w="2500" w:type="dxa"/>
            <w:vAlign w:val="center"/>
            <w:shd w:fill="404040"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FFFFFF"/>
                <w:b w:val="1"/>
              </w:rPr>
              <w:t>Condição</w:t>
            </w:r>
          </w:p>
        </w:tc>
        <w:tc>
          <w:tcPr>
            <w:tcW w:w="14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Média ms</w:t>
            </w:r>
          </w:p>
        </w:tc>
        <w:tc>
          <w:tcPr>
            <w:tcW w:w="14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Mínimo ms</w:t>
            </w:r>
          </w:p>
        </w:tc>
        <w:tc>
          <w:tcPr>
            <w:tcW w:w="15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Máximo ms</w:t>
            </w:r>
          </w:p>
        </w:tc>
        <w:tc>
          <w:tcPr>
            <w:tcW w:w="13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Eventos</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0</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N/A</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N/A</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N/A</w:t>
            </w:r>
          </w:p>
        </w:tc>
        <w:tc>
          <w:tcPr>
            <w:tcW w:w="13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w:t>
            </w:r>
          </w:p>
        </w:tc>
      </w:tr>
      <w:tr>
        <w:trPr>
          <w:cantSplit/>
        </w:trPr>
        <w:tc>
          <w:tcPr>
            <w:tcW w:w="2500" w:type="dxa"/>
            <w:vAlign w:val="center"/>
            <w:shd w:fill="F3F4F6"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1</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89,362</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51,110</w:t>
            </w:r>
          </w:p>
        </w:tc>
        <w:tc>
          <w:tcPr>
            <w:tcW w:w="15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204,112</w:t>
            </w:r>
          </w:p>
        </w:tc>
        <w:tc>
          <w:tcPr>
            <w:tcW w:w="13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16</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2</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121,057</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51,109</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612,112</w:t>
            </w:r>
          </w:p>
        </w:tc>
        <w:tc>
          <w:tcPr>
            <w:tcW w:w="13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35</w:t>
            </w:r>
          </w:p>
        </w:tc>
      </w:tr>
      <w:tr>
        <w:trPr>
          <w:cantSplit/>
        </w:trPr>
        <w:tc>
          <w:tcPr>
            <w:tcW w:w="2500" w:type="dxa"/>
            <w:vAlign w:val="center"/>
            <w:shd w:fill="F3F4F6"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SUM modo 3</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305,168</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51,142</w:t>
            </w:r>
          </w:p>
        </w:tc>
        <w:tc>
          <w:tcPr>
            <w:tcW w:w="15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1326,187</w:t>
            </w:r>
          </w:p>
        </w:tc>
        <w:tc>
          <w:tcPr>
            <w:tcW w:w="13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52</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CRC-8 modo 1</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80,731</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52,011</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154,041</w:t>
            </w:r>
          </w:p>
        </w:tc>
        <w:tc>
          <w:tcPr>
            <w:tcW w:w="13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16</w:t>
            </w:r>
          </w:p>
        </w:tc>
      </w:tr>
      <w:tr>
        <w:trPr>
          <w:cantSplit/>
        </w:trPr>
        <w:tc>
          <w:tcPr>
            <w:tcW w:w="2500" w:type="dxa"/>
            <w:vAlign w:val="center"/>
            <w:shd w:fill="F3F4F6"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CRC-8 modo 2</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115,226</w:t>
            </w:r>
          </w:p>
        </w:tc>
        <w:tc>
          <w:tcPr>
            <w:tcW w:w="14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51,110</w:t>
            </w:r>
          </w:p>
        </w:tc>
        <w:tc>
          <w:tcPr>
            <w:tcW w:w="15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408,112</w:t>
            </w:r>
          </w:p>
        </w:tc>
        <w:tc>
          <w:tcPr>
            <w:tcW w:w="13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35</w:t>
            </w:r>
          </w:p>
        </w:tc>
      </w:tr>
      <w:tr>
        <w:trPr>
          <w:cantSplit/>
        </w:trPr>
        <w:tc>
          <w:tcPr>
            <w:tcW w:w="2500" w:type="dxa"/>
            <w:vAlign w:val="center"/>
            <w:shd w:fill="FFFFFF" w:val="clear"/>
            <w:tcMar>
              <w:top w:w="75" w:type="dxa"/>
              <w:left w:w="75" w:type="dxa"/>
              <w:bottom w:w="75" w:type="dxa"/>
              <w:right w:w="75" w:type="dxa"/>
            </w:tcMar>
          </w:tcPr>
          <w:p>
            <w:pPr>
              <w:spacing w:before="20" w:after="20" w:line="240" w:lineRule="auto"/>
              <w:ind w:left="0" w:right="0" w:firstLine="0"/>
              <w:jc w:val="left"/>
              <w:keepNext w:val="0"/>
            </w:pPr>
            <w:r>
              <w:rPr>
                <w:rFonts w:ascii="Arial" w:hAnsi="Arial" w:cs="Arial"/>
                <w:sz w:val="19"/>
                <w:color w:val="000000"/>
              </w:rPr>
              <w:t>CRC-8 modo 3</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350,869</w:t>
            </w:r>
          </w:p>
        </w:tc>
        <w:tc>
          <w:tcPr>
            <w:tcW w:w="14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51,112</w:t>
            </w:r>
          </w:p>
        </w:tc>
        <w:tc>
          <w:tcPr>
            <w:tcW w:w="15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2040,115</w:t>
            </w:r>
          </w:p>
        </w:tc>
        <w:tc>
          <w:tcPr>
            <w:tcW w:w="13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49</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recuperacao_ms mede do início da condição de recuperação até a próxima decisão aceita, conforme a implementação do RX. Não representa o intervalo entre dois envios. Perdas consecutivas ou novos descartes podem prolongar um mesmo episódio; por isso, a quantidade de eventos medidos não é necessariamente igual à quantidade de quadros perdidos. No baseline, N/A indica que não houve evento de recuperação, e não tempo zero [3, 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Os registros completos estão identificados na referência [6]. Os arquivos estão disponíveis no repositório indicado na capa [6].</w:t>
      </w:r>
    </w:p>
    <w:p w:rsidR="00000000" w:rsidDel="00000000" w:rsidP="00000000" w:rsidRDefault="00000000" w:rsidRPr="00000000" w14:paraId="000001C4">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Análise de erros e discussão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Na coleta SUM modo 2, sessão 5, semente 1, ocorreram dois erros não detectados reais, nas sequências 147 e 799. O evento 799 foi conferido nos arquivos tx.txt, rx.txt e noise.txt da pasta 20261019_175257_105181_SUM_M2_seed1. A sequência permaneceu correta, enquanto o primeiro byte do payload e CHECK foram alterados [6].</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Pr>
          <w:rFonts w:ascii="Arial" w:hAnsi="Arial" w:cs="Arial"/>
          <w:color w:val="000000"/>
          <w:b w:val="1"/>
        </w:rPr>
        <w:t xml:space="preserve">Tabela 14 Evento real não detectado na sequência 799</w:t>
      </w:r>
    </w:p>
    <w:tbl>
      <w:tblPr>
        <w:tblW w:w="8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00"/>
        <w:gridCol w:w="2100"/>
        <w:gridCol w:w="2450"/>
        <w:gridCol w:w="2450"/>
      </w:tblGrid>
      <w:tr>
        <w:trPr>
          <w:cantSplit/>
          <w:tblHeader/>
        </w:trPr>
        <w:tc>
          <w:tcPr>
            <w:tcW w:w="1100" w:type="dxa"/>
            <w:vAlign w:val="center"/>
            <w:shd w:fill="404040"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FFFFFF"/>
                <w:b w:val="1"/>
              </w:rPr>
              <w:t>Posição</w:t>
            </w:r>
          </w:p>
        </w:tc>
        <w:tc>
          <w:tcPr>
            <w:tcW w:w="210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Campo</w:t>
            </w:r>
          </w:p>
        </w:tc>
        <w:tc>
          <w:tcPr>
            <w:tcW w:w="245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TX em hexadecimal</w:t>
            </w:r>
          </w:p>
        </w:tc>
        <w:tc>
          <w:tcPr>
            <w:tcW w:w="2450" w:type="dxa"/>
            <w:vAlign w:val="center"/>
            <w:shd w:fill="404040"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FFFFFF"/>
                <w:b w:val="1"/>
              </w:rPr>
              <w:t>RX em hexadecimal</w:t>
            </w:r>
          </w:p>
        </w:tc>
      </w:tr>
      <w:tr>
        <w:trPr>
          <w:cantSplit/>
        </w:trPr>
        <w:tc>
          <w:tcPr>
            <w:tcW w:w="11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0 e 1</w:t>
            </w:r>
          </w:p>
        </w:tc>
        <w:tc>
          <w:tcPr>
            <w:tcW w:w="21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SOF</w:t>
            </w:r>
          </w:p>
        </w:tc>
        <w:tc>
          <w:tcPr>
            <w:tcW w:w="24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A5 5A</w:t>
            </w:r>
          </w:p>
        </w:tc>
        <w:tc>
          <w:tcPr>
            <w:tcW w:w="24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A5 5A</w:t>
            </w:r>
          </w:p>
        </w:tc>
      </w:tr>
      <w:tr>
        <w:trPr>
          <w:cantSplit/>
        </w:trPr>
        <w:tc>
          <w:tcPr>
            <w:tcW w:w="1100" w:type="dxa"/>
            <w:vAlign w:val="center"/>
            <w:shd w:fill="F3F4F6"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2</w:t>
            </w:r>
          </w:p>
        </w:tc>
        <w:tc>
          <w:tcPr>
            <w:tcW w:w="21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LEN</w:t>
            </w:r>
          </w:p>
        </w:tc>
        <w:tc>
          <w:tcPr>
            <w:tcW w:w="24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02</w:t>
            </w:r>
          </w:p>
        </w:tc>
        <w:tc>
          <w:tcPr>
            <w:tcW w:w="24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02</w:t>
            </w:r>
          </w:p>
        </w:tc>
      </w:tr>
      <w:tr>
        <w:trPr>
          <w:cantSplit/>
        </w:trPr>
        <w:tc>
          <w:tcPr>
            <w:tcW w:w="11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3 e 4</w:t>
            </w:r>
          </w:p>
        </w:tc>
        <w:tc>
          <w:tcPr>
            <w:tcW w:w="21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SEQ</w:t>
            </w:r>
          </w:p>
        </w:tc>
        <w:tc>
          <w:tcPr>
            <w:tcW w:w="24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03 1F</w:t>
            </w:r>
          </w:p>
        </w:tc>
        <w:tc>
          <w:tcPr>
            <w:tcW w:w="24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03 1F</w:t>
            </w:r>
          </w:p>
        </w:tc>
      </w:tr>
      <w:tr>
        <w:trPr>
          <w:cantSplit/>
        </w:trPr>
        <w:tc>
          <w:tcPr>
            <w:tcW w:w="1100" w:type="dxa"/>
            <w:vAlign w:val="center"/>
            <w:shd w:fill="F3F4F6"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5</w:t>
            </w:r>
          </w:p>
        </w:tc>
        <w:tc>
          <w:tcPr>
            <w:tcW w:w="21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P0</w:t>
            </w:r>
          </w:p>
        </w:tc>
        <w:tc>
          <w:tcPr>
            <w:tcW w:w="24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F4</w:t>
            </w:r>
          </w:p>
        </w:tc>
        <w:tc>
          <w:tcPr>
            <w:tcW w:w="24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74</w:t>
            </w:r>
          </w:p>
        </w:tc>
      </w:tr>
      <w:tr>
        <w:trPr>
          <w:cantSplit/>
        </w:trPr>
        <w:tc>
          <w:tcPr>
            <w:tcW w:w="1100" w:type="dxa"/>
            <w:vAlign w:val="center"/>
            <w:shd w:fill="FFFFFF" w:val="clear"/>
            <w:tcMar>
              <w:top w:w="75" w:type="dxa"/>
              <w:left w:w="75" w:type="dxa"/>
              <w:bottom w:w="75" w:type="dxa"/>
              <w:right w:w="75" w:type="dxa"/>
            </w:tcMar>
          </w:tcPr>
          <w:p>
            <w:pPr>
              <w:spacing w:before="20" w:after="20" w:line="240" w:lineRule="auto"/>
              <w:ind w:left="0" w:right="0" w:firstLine="0"/>
              <w:jc w:val="left"/>
              <w:keepNext w:val="1"/>
            </w:pPr>
            <w:r>
              <w:rPr>
                <w:rFonts w:ascii="Arial" w:hAnsi="Arial" w:cs="Arial"/>
                <w:sz w:val="19"/>
                <w:color w:val="000000"/>
              </w:rPr>
              <w:t>6</w:t>
            </w:r>
          </w:p>
        </w:tc>
        <w:tc>
          <w:tcPr>
            <w:tcW w:w="210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P1</w:t>
            </w:r>
          </w:p>
        </w:tc>
        <w:tc>
          <w:tcPr>
            <w:tcW w:w="24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16</w:t>
            </w:r>
          </w:p>
        </w:tc>
        <w:tc>
          <w:tcPr>
            <w:tcW w:w="2450" w:type="dxa"/>
            <w:vAlign w:val="center"/>
            <w:shd w:fill="FFFFFF" w:val="clear"/>
            <w:tcMar>
              <w:top w:w="75" w:type="dxa"/>
              <w:left w:w="75" w:type="dxa"/>
              <w:bottom w:w="75" w:type="dxa"/>
              <w:right w:w="75" w:type="dxa"/>
            </w:tcMar>
          </w:tcPr>
          <w:p>
            <w:pPr>
              <w:spacing w:before="20" w:after="20" w:line="240" w:lineRule="auto"/>
              <w:ind w:left="0" w:right="0" w:firstLine="0"/>
              <w:jc w:val="center"/>
              <w:keepNext w:val="1"/>
            </w:pPr>
            <w:r>
              <w:rPr>
                <w:rFonts w:ascii="Arial" w:hAnsi="Arial" w:cs="Arial"/>
                <w:sz w:val="19"/>
                <w:color w:val="000000"/>
              </w:rPr>
              <w:t>16</w:t>
            </w:r>
          </w:p>
        </w:tc>
      </w:tr>
      <w:tr>
        <w:trPr>
          <w:cantSplit/>
        </w:trPr>
        <w:tc>
          <w:tcPr>
            <w:tcW w:w="1100" w:type="dxa"/>
            <w:vAlign w:val="center"/>
            <w:shd w:fill="F3F4F6" w:val="clear"/>
            <w:tcMar>
              <w:top w:w="75" w:type="dxa"/>
              <w:left w:w="75" w:type="dxa"/>
              <w:bottom w:w="75" w:type="dxa"/>
              <w:right w:w="75" w:type="dxa"/>
            </w:tcMar>
          </w:tcPr>
          <w:p>
            <w:pPr>
              <w:spacing w:before="20" w:after="20" w:line="240" w:lineRule="auto"/>
              <w:ind w:left="0" w:right="0" w:firstLine="0"/>
              <w:jc w:val="left"/>
              <w:keepNext w:val="0"/>
            </w:pPr>
            <w:r>
              <w:rPr>
                <w:rFonts w:ascii="Arial" w:hAnsi="Arial" w:cs="Arial"/>
                <w:sz w:val="19"/>
                <w:color w:val="000000"/>
              </w:rPr>
              <w:t>7</w:t>
            </w:r>
          </w:p>
        </w:tc>
        <w:tc>
          <w:tcPr>
            <w:tcW w:w="2100" w:type="dxa"/>
            <w:vAlign w:val="center"/>
            <w:shd w:fill="F3F4F6"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CHECK</w:t>
            </w:r>
          </w:p>
        </w:tc>
        <w:tc>
          <w:tcPr>
            <w:tcW w:w="24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D2</w:t>
            </w:r>
          </w:p>
        </w:tc>
        <w:tc>
          <w:tcPr>
            <w:tcW w:w="2450" w:type="dxa"/>
            <w:vAlign w:val="center"/>
            <w:shd w:fill="F3F4F6" w:val="clear"/>
            <w:tcMar>
              <w:top w:w="75" w:type="dxa"/>
              <w:left w:w="75" w:type="dxa"/>
              <w:bottom w:w="75" w:type="dxa"/>
              <w:right w:w="75" w:type="dxa"/>
            </w:tcMar>
          </w:tcPr>
          <w:p>
            <w:pPr>
              <w:spacing w:before="20" w:after="20" w:line="240" w:lineRule="auto"/>
              <w:ind w:left="0" w:right="0" w:firstLine="0"/>
              <w:jc w:val="center"/>
              <w:keepNext w:val="0"/>
            </w:pPr>
            <w:r>
              <w:rPr>
                <w:rFonts w:ascii="Arial" w:hAnsi="Arial" w:cs="Arial"/>
                <w:sz w:val="19"/>
                <w:color w:val="000000"/>
              </w:rPr>
              <w:t>52</w:t>
            </w:r>
          </w:p>
        </w:tc>
      </w:tr>
    </w:tbl>
    <w:p>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Liberation Mono" w:hAnsi="Liberation Mono" w:cs="Liberation Mono"/>
          <w:color w:val="000000"/>
          <w:sz w:val="18"/>
        </w:rPr>
        <w:t xml:space="preserve">TX: A5 5A 02 03 1F F4 16 D2</w:t>
      </w:r>
    </w:p>
    <w:p>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Liberation Mono" w:hAnsi="Liberation Mono" w:cs="Liberation Mono"/>
          <w:color w:val="000000"/>
          <w:sz w:val="18"/>
        </w:rPr>
        <w:t xml:space="preserve">RX: A5 5A 02 03 1F 74 16 52</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O NOISE registrou os alvos 5.7 e 7.7, com bytes e bits numerados a partir de zero. As duas alterações foram de 1 para 0 no bit de peso 128: F4 passou a 74, e D2 passou a 52. A máscara de alvos e o XOR observado coincidiram em 0000000000800080, sem falhas. Os campos abaixo foram extraídos dos registros do mesmo evento:</w:t>
      </w:r>
    </w:p>
    <w:p>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Liberation Mono" w:hAnsi="Liberation Mono" w:cs="Liberation Mono"/>
          <w:color w:val="000000"/>
          <w:sz w:val="18"/>
        </w:rPr>
        <w:t xml:space="preserve">TX: sessao=5; tecnica=SUM; seq=799; t_inicio_us=3301036223; payload_hex=F416; quadro_hex=A55A02031FF416D2.</w:t>
      </w:r>
    </w:p>
    <w:p>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Liberation Mono" w:hAnsi="Liberation Mono" w:cs="Liberation Mono"/>
          <w:color w:val="000000"/>
          <w:sz w:val="18"/>
        </w:rPr>
        <w:t xml:space="preserve">NOISE: indice=799; seq_original=799; t_sof_us=3407466042; posicoes_byte_bit=5.7;7.7; receptor_hex=A55A02031F741652; alvos_n=2; mudancas_n=2; xor_hex=0000000000800080; falhas_mask=0; qualidade=VALIDO.</w:t>
      </w:r>
    </w:p>
    <w:p>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Liberation Mono" w:hAnsi="Liberation Mono" w:cs="Liberation Mono"/>
          <w:color w:val="000000"/>
          <w:sz w:val="18"/>
        </w:rPr>
        <w:t xml:space="preserve">RX: seq_original=799; seq_recebida=799; residuo=00; decisao=ACEITO; payload_recebido=7416; payload_referencia=F416; payload_confere=NAO; classe=NAO_DETECTADO.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Os timestamps são locais a cada placa e não representam um relógio global sincronizado. A referência D3 91 03 1F 02 F4 16 foi preservada. Para conferir manualmente SUM, somam-se os seis bytes de LEN até CHECK, excluindo SOF:</w:t>
      </w:r>
    </w:p>
    <w:p>
      <w:pPr>
        <w:jc w:val="center"/>
        <w:spacing w:before="60" w:after="80"/>
        <w:keepNext w:val="1"/>
      </w:pPr>
      <m:oMathPara>
        <m:oMath>
          <m:r>
            <m:rPr>
              <m:sty m:val="p"/>
            </m:rPr>
            <m:t>TX: 2 + 3 + 31 + 244 + 22 + 210 = 512</m:t>
          </m:r>
        </m:oMath>
      </m:oMathPara>
    </w:p>
    <w:p>
      <w:pPr>
        <w:jc w:val="center"/>
        <w:spacing w:before="60" w:after="80"/>
        <w:keepNext w:val="1"/>
      </w:pPr>
      <m:oMathPara>
        <m:oMath>
          <m:r>
            <m:rPr>
              <m:sty m:val="p"/>
            </m:rPr>
            <m:t>RX: 2 + 3 + 31 + 116 + 22 + 82 = 256</m:t>
          </m:r>
        </m:oMath>
      </m:oMathPara>
    </w:p>
    <w:p>
      <w:pPr>
        <w:jc w:val="center"/>
        <w:spacing w:before="60" w:after="80"/>
        <w:keepNext w:val="0"/>
      </w:pPr>
      <m:oMathPara>
        <m:oMath>
          <m:r>
            <m:rPr>
              <m:sty m:val="p"/>
            </m:rPr>
            <m:t>512 mod 256 = 256 mod 256 = 0</m:t>
          </m:r>
        </m:oMath>
      </m:oMathPara>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A redução total foi 128 + 128 = 256, preservando o resíduo zero módulo 256. O RX aceitou o payload incorreto 7416 e só depois a referência revelou que o original era F416. Esse evento comprova uma vulnerabilidade do próprio protocolo: a alteração conjunta do payload e de CHECK pode conservar a soma. O segundo caso, sequência original 147, alterou os bits 4.7 e 5.7: A5 5A 02 00 93 A5 92 34 passou a A5 5A 02 00 13 25 92 34, também com soma de 512 para 256 e resíduo zero [6].</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Os vetores abaixo foram conferidos por cálculo independente sobre os bytes do protocolo. São verificações matemáticas, sem atribuição de execução física à bancada. O CRC de conferência para a sequência ASCII 123456789 é F4 com os parâmetros adotados, consistente com o catálogo .</w:t>
      </w:r>
    </w:p>
    <w:p w:rsidR="00000000" w:rsidDel="00000000" w:rsidP="00000000" w:rsidRDefault="00000000" w:rsidRPr="00000000" w14:paraId="000001C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Pr>
          <w:rFonts w:ascii="Arial" w:hAnsi="Arial" w:cs="Arial"/>
          <w:color w:val="000000"/>
        </w:rPr>
        <w:t>Tabela 15 Vetores de verificação dos algoritmos</w:t>
      </w:r>
    </w:p>
    <w:tbl>
      <w:tblPr>
        <w:tblStyle w:val="Table13"/>
        <w:tblW w:w="9922.0" w:type="dxa"/>
        <w:jc w:val="center"/>
        <w:tblLayout w:type="fixed"/>
        <w:tblLook w:val="0400"/>
      </w:tblPr>
      <w:tblGrid>
        <w:gridCol w:w="4082"/>
        <w:gridCol w:w="1701"/>
        <w:gridCol w:w="1361"/>
        <w:gridCol w:w="2778"/>
        <w:tblGridChange w:id="0">
          <w:tblGrid>
            <w:gridCol w:w="4082"/>
            <w:gridCol w:w="1701"/>
            <w:gridCol w:w="1361"/>
            <w:gridCol w:w="277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1C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Entrada protegida em hex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1C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Técnica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Resíduo com CHECK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02 00 01 00 C8</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SUM</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35</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00</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02 00 01 00 C8</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CRC-8</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D9</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00</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02 00 00 80 80</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SUM</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FE</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00</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02 00 00 80 80</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CRC-8</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FB</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00</w:t>
            </w:r>
          </w:p>
        </w:tc>
      </w:tr>
    </w:tbl>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 primeiro vetor, os bytes somam 203 e CHECK vale 53, totalizando 256. O resíduo módulo 256 é zero. Esse cálculo ilustra como o campo é gerado e verificado, sem utilizar a referência de depuração.</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Considere o quadro analítico abaixo, com sequência zero e payload 0x8080. Se o modo 2 selecionar o bit 7 de cada byte do payload e os dois bits forem forçados de 1 para 0, o payload recebido será 0x0000. As posições são 5.7 e 6.7, usando a indexação do NOISE .</w:t>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TX analítico  A5 5A 02 00 00 80 80 FE</w:t>
        <w:br w:type="textWrapping"/>
        <w:t xml:space="preserve">RX analítico  A5 5A 02 00 00 00 00 FE</w:t>
      </w:r>
    </w:p>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Soma original = 2 + 128 + 128 + 254 = 512</m:t>
        </m:r>
      </m:oMath>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Soma recebida = 2 + 0 + 0 + 254 = 256</m:t>
        </m:r>
      </m:oMath>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As duas somas deixam resíduo zero módulo 256. A retirada de dois pesos 128 reduz o total em 256, preservando a checagem. O RX aceitaria o payload incorreto. Aplicando o mesmo padrão ao vetor CRC-8 com CHECK FB, o resíduo passa a 3F, e a checagem reprova o quadro.</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rPr>
      </w:pPr>
      <w:r>
        <w:rPr>
          <w:rFonts w:ascii="Arial" w:hAnsi="Arial" w:cs="Arial"/>
          <w:color w:val="000000"/>
        </w:rPr>
        <w:t>O evento físico apresentado anteriormente demonstra o erro não detectado com os três registros do mesmo envio. O exemplo analítico complementa essa evidência ao mostrar que duas alterações no payload também podem preservar a soma modular.</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baseline SUM com 1000 quadros OK mostra operação correta do enlace na condição registrada. Nos ensaios com ruído, parte dos quadros continua OK porque um alvo sorteado pode já estar em zero. A probabilidade de alteração efetiva depende dos bytes enviados, inclusive do CHECK, que difere entre SUM e CRC. Por isso, a mesma semente e os mesmos payloads não garantem o mesmo número de mudanças nas duas técnicas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 escolha de alvos em LEN explica a possibilidade de perda por comprimento inválido. No caso de LEN igual a 02, a retirada de seu único bit 1 produz 00. O receptor abandona o candidato antes de concluir a checagem. Essa perda é consequência do enquadramento adotado e precisa ser distinguida de uma reprovação matemática do SUM ou CRC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A soma modular é sensível a uma alteração efetiva isolada em um byte protegido, porém admite colisões quando alterações combinadas preservam a soma módulo 256. O padrão de dois bits mais significativos apresentado anteriormente é realizável por duas transições de 1 para 0 e explica por que o modo 2 merece atenção especial. Os registros do evento 799 demonstram esse mecanismo com alterações em payload e CHECK.</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 modo 3, o plano restringe a janela a um único byte. Com alterações apenas de 1 para 0, uma mudança efetiva em um único byte protegido reduz sua contribuição por um valor entre 1 e 255; assim, não preserva a soma módulo 256. Uma alteração de LEN pode causar perda antes da checagem. Essa dedução vale sob as regras do plano e sem alterações extras; uma rajada distribuída por vários bytes constitui outra condição experimental.</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Para o CRC de grau oito, uma rajada de extensão até oito bits no fluxo protegido, mantido o enquadramento, possui polinômio de erro não nulo de grau inferior a oito após retirar o deslocamento. Como g(x) tem termo constante 1, esse erro não é múltiplo de g(x) e produz resíduo diferente de zero. A dedução explica a detecção dessas rajadas; ela não garante detecção de todos os padrões possíveis.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O injetor representa perturbações que baixam o nível lógico, e não todos os tipos de ruído de um canal real. A aferição do efeito usa duas UARTs e timestamps de software, sem capturas de osciloscópio ou analisador lógico. A fase inicial provém de calibração anterior da bancada e não é uma constante universal. Há uma rodada por condição, com semente 1; as frequências se limitam às amostras executadas. A ressalva documental de CRC-8 modo 1, descrita na seção 7, permanece explícita [4, 6].</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As sete condições possuem 1000 classificações cada, com a decisão do RX separada da referência posterior. O caso real, os intervalos e os eventos de recuperação permitem relacionar os totais à implementação. No CRC-8 não foram observados erros não detectados nos modos 1, 2 e 3 executados; isso não garante proteção contra todos os padrões possíveis [6].</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 w:line="259"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Pr>
          <w:rFonts w:ascii="Arial" w:hAnsi="Arial" w:cs="Arial"/>
          <w:color w:val="000000"/>
          <w:b w:val="1"/>
        </w:rPr>
        <w:t xml:space="preserve">9 Conclusão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O enlace implementado reuniu enquadramento, sequência, detecção de erros e auditoria posterior do payload entre duas ESP32, com perturbação física controlada por uma terceira placa. Foram concluídas as sete condições de 1000 quadros com a mesma configuração do injetor e semente 1. Os registros permitiram conferir as decisões do RX separadamente da referência de depuração.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O baseline SUM apresentou 1000 quadros corretos. No modo 2, a soma modular deixou passar dois payloads incorretos, com taxa de não detecção de 0,346021% entre os 576 corrompidos e os dois não detectados. Os bytes dos eventos reais demonstraram uma redução total de 256 na soma, preservando o resíduo módulo 256. O CRC-8 não apresentou erros não detectados nos modos 1, 2 e 3 executados; essa observação se limita aos padrões e às amostras coletadas.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As duas técnicas utilizaram o mesmo overhead de seis bytes e apresentaram iguais totais de perda por modo, evidenciando a influência do enquadramento. O CRC exigiu mais tempo de cálculo e verificação nas rotinas medidas, enquanto a soma apresentou menor custo e uma colisão real documentada. Os intervalos próximos de 51 ms fundamentaram o timeout de 75 ms, e os eventos de recuperação foram registrados até a próxima decisão aceita. A limitação pontual da captura CRC-8 modo 1 foi documentada e suas medidas utilizaram somente as amostras preservadas. Dessa forma, a comparação relaciona capacidade de detecção, perdas, custo de processamento e limites experimentais, com os arquivos brutos mantidos para conferência.</w:t>
      </w:r>
    </w:p>
    <w:p w:rsidR="00000000" w:rsidDel="00000000" w:rsidP="00000000" w:rsidRDefault="00000000" w:rsidRPr="00000000" w14:paraId="000001E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Referências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[1] IFMT. Trabalho prático Detecção de Erro em Telemetria sob Ruído Real ESP32. Enunciado da disciplina de Transmissão e Comunicação de Dados,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[2] EQUIPE. TX de telemetria ESP32. Código-fonte firmware/tx/tx.ino,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[3] EQUIPE. RX de telemetria ESP32. Código-fonte firmware/rx/rx.ino,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[4] EQUIPE. Injetor NOISE v1.12-sincronizado. Código-fonte firmware/noise/noise.ino,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[5] EQUIPE. Ferramentas de coleta e auditoria dos registros seriais. Coletor v1.1 utilizado nas rodadas e auditoria cruzada v1.2 aplicada na revisão,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Pr>
          <w:rFonts w:ascii="Arial" w:hAnsi="Arial" w:cs="Arial"/>
          <w:color w:val="000000"/>
        </w:rPr>
        <w:t xml:space="preserve">[6] EQUIPE. Coletas experimentais de 19 out. 2026. Arquivo coletas.zip, com os sete ensaios identificados na Tabela 7, registros TX, RX e NOISE e metadados. Códigos, especificação e registros no repositório: https://github.com/kauanSR-DEv/telemetria-esp32.</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[7] ESPRESSIF SYSTEMS. Serial UART. Arduino ESP32 documentation. Acesso em 18 out. 2026. </w:t>
      </w:r>
      <w:hyperlink r:id="rId13">
        <w:r w:rsidDel="00000000" w:rsidR="00000000" w:rsidRPr="00000000">
          <w:rPr>
            <w:rFonts w:ascii="Arial" w:cs="Arial" w:eastAsia="Arial" w:hAnsi="Arial"/>
            <w:i w:val="0"/>
            <w:iCs w:val="0"/>
            <w:smallCaps w:val="0"/>
            <w:strike w:val="0"/>
            <w:color w:val="000000"/>
            <w:u w:val="single"/>
            <w:shd w:fill="auto" w:val="clear"/>
            <w:vertAlign w:val="baseline"/>
            <w:rtl w:val="0"/>
          </w:rPr>
          <w:t xml:space="preserve">Consultar fonte</w:t>
        </w:r>
      </w:hyperlink>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[8] ESPRESSIF SYSTEMS. ESP Timer High Resolution Timer. ESP-IDF Programming Guide. Acesso em 18 out. 2026. </w:t>
      </w:r>
      <w:hyperlink r:id="rId14">
        <w:r w:rsidDel="00000000" w:rsidR="00000000" w:rsidRPr="00000000">
          <w:rPr>
            <w:rFonts w:ascii="Arial" w:cs="Arial" w:eastAsia="Arial" w:hAnsi="Arial"/>
            <w:i w:val="0"/>
            <w:iCs w:val="0"/>
            <w:smallCaps w:val="0"/>
            <w:strike w:val="0"/>
            <w:color w:val="000000"/>
            <w:u w:val="single"/>
            <w:shd w:fill="auto" w:val="clear"/>
            <w:vertAlign w:val="baseline"/>
            <w:rtl w:val="0"/>
          </w:rPr>
          <w:t xml:space="preserve">Consultar fonte</w:t>
        </w:r>
      </w:hyperlink>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[9] COOK, Greg. Catalogue of parametrised CRC algorithms. Entrada CRC-8/SMBUS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Acesso em 18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out. 2026. </w:t>
      </w:r>
      <w:hyperlink r:id="rId15">
        <w:r w:rsidDel="00000000" w:rsidR="00000000" w:rsidRPr="00000000">
          <w:rPr>
            <w:rFonts w:ascii="Arial" w:cs="Arial" w:eastAsia="Arial" w:hAnsi="Arial"/>
            <w:i w:val="0"/>
            <w:iCs w:val="0"/>
            <w:smallCaps w:val="0"/>
            <w:strike w:val="0"/>
            <w:color w:val="000000"/>
            <w:u w:val="single"/>
            <w:shd w:fill="auto" w:val="clear"/>
            <w:vertAlign w:val="baseline"/>
            <w:rtl w:val="0"/>
          </w:rPr>
          <w:t xml:space="preserve">Consultar fonte</w:t>
        </w:r>
      </w:hyperlink>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sectPr>
      <w:headerReference r:id="rId16" w:type="default"/>
      <w:footerReference r:id="rId17" w:type="default"/>
      <w:pgSz w:h="15840" w:w="12240" w:orient="portrait"/>
      <w:pgMar w:bottom="936" w:top="1008"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0" w:lineRule="auto"/>
    </w:pPr>
    <w:rPr>
      <w:rFonts w:ascii="Calibri" w:cs="Calibri" w:eastAsia="Calibri" w:hAnsi="Calibri"/>
      <w:b w:val="1"/>
      <w:bCs w:val="1"/>
      <w:color w:val="000000"/>
      <w:sz w:val="34"/>
      <w:szCs w:val="34"/>
    </w:rPr>
  </w:style>
  <w:style w:type="paragraph" w:styleId="Heading2">
    <w:name w:val="heading 2"/>
    <w:basedOn w:val="Normal"/>
    <w:next w:val="Normal"/>
    <w:pPr>
      <w:keepNext w:val="1"/>
      <w:keepLines w:val="1"/>
      <w:spacing w:after="160" w:before="22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before="0" w:line="240" w:lineRule="auto"/>
    </w:pPr>
    <w:rPr>
      <w:rFonts w:ascii="Calibri" w:cs="Calibri" w:eastAsia="Calibri" w:hAnsi="Calibri"/>
      <w:b w:val="1"/>
      <w:bCs w:val="1"/>
      <w:color w:val="000000"/>
      <w:sz w:val="46"/>
      <w:szCs w:val="4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keepNext w:val="1"/>
      <w:spacing w:line="240" w:lineRule="auto"/>
    </w:pPr>
    <w:rPr>
      <w:rFonts w:ascii="Calibri" w:hAnsi="Calibri"/>
      <w:b w:val="1"/>
      <w:bCs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paragraph" w:styleId="RPT_Normal">
    <w:name w:val="Relatório Normal"/>
    <w:qFormat w:val="1"/>
    <w:rsid w:val="00FC693F"/>
    <w:pPr>
      <w:spacing w:after="120" w:line="259" w:lineRule="auto"/>
    </w:pPr>
    <w:rPr>
      <w:rFonts w:ascii="Calibri" w:hAnsi="Calibri"/>
      <w:color w:val="000000"/>
      <w:sz w:val="22"/>
    </w:rPr>
  </w:style>
  <w:style w:type="paragraph" w:styleId="RPT_Header">
    <w:name w:val="Relatório header"/>
    <w:basedOn w:val="RPT_Normal"/>
    <w:link w:val="RPT_HeaderChar"/>
    <w:uiPriority w:val="99"/>
    <w:unhideWhenUsed w:val="1"/>
    <w:rsid w:val="00E618BF"/>
    <w:pPr>
      <w:tabs>
        <w:tab w:val="center" w:pos="4680"/>
        <w:tab w:val="right" w:pos="9360"/>
      </w:tabs>
      <w:spacing w:after="0" w:line="240" w:lineRule="auto"/>
    </w:pPr>
  </w:style>
  <w:style w:type="character" w:styleId="RPT_HeaderChar" w:customStyle="1">
    <w:name w:val="Relatório Header Char"/>
    <w:basedOn w:val="RPT_DefaultParagraphFont"/>
    <w:link w:val="RPT_Header"/>
    <w:uiPriority w:val="99"/>
    <w:rsid w:val="00E618BF"/>
  </w:style>
  <w:style w:type="paragraph" w:styleId="RPT_Footer">
    <w:name w:val="Relatório footer"/>
    <w:basedOn w:val="RPT_Normal"/>
    <w:link w:val="RPT_FooterChar"/>
    <w:uiPriority w:val="99"/>
    <w:unhideWhenUsed w:val="1"/>
    <w:rsid w:val="00E618BF"/>
    <w:pPr>
      <w:tabs>
        <w:tab w:val="center" w:pos="4680"/>
        <w:tab w:val="right" w:pos="9360"/>
      </w:tabs>
      <w:spacing w:after="0" w:line="240" w:lineRule="auto"/>
    </w:pPr>
  </w:style>
  <w:style w:type="character" w:styleId="RPT_FooterChar" w:customStyle="1">
    <w:name w:val="Relatório Footer Char"/>
    <w:basedOn w:val="RPT_DefaultParagraphFont"/>
    <w:link w:val="RPT_Footer"/>
    <w:uiPriority w:val="99"/>
    <w:rsid w:val="00E618BF"/>
  </w:style>
  <w:style w:type="paragraph" w:styleId="RPT_Heading1">
    <w:name w:val="Relatório heading 1"/>
    <w:basedOn w:val="RPT_Normal"/>
    <w:next w:val="RPT_Normal"/>
    <w:link w:val="RPT_Heading1Char"/>
    <w:uiPriority w:val="9"/>
    <w:qFormat w:val="1"/>
    <w:rsid w:val="00FC693F"/>
    <w:pPr>
      <w:keepNext w:val="1"/>
      <w:keepLines w:val="1"/>
      <w:spacing w:after="140" w:before="200"/>
      <w:outlineLvl w:val="0"/>
    </w:pPr>
    <w:rPr>
      <w:rFonts w:ascii="Calibri" w:hAnsi="Calibri" w:asciiTheme="majorHAnsi" w:cstheme="majorBidi" w:eastAsiaTheme="majorEastAsia" w:hAnsiTheme="majorHAnsi"/>
      <w:b w:val="1"/>
      <w:bCs w:val="1"/>
      <w:color w:val="000000"/>
      <w:sz w:val="30"/>
      <w:szCs w:val="28"/>
    </w:rPr>
  </w:style>
  <w:style w:type="paragraph" w:styleId="RPT_Heading2">
    <w:name w:val="Relatório heading 2"/>
    <w:basedOn w:val="RPT_Normal"/>
    <w:next w:val="RPT_Normal"/>
    <w:link w:val="RPT_Heading2Char"/>
    <w:uiPriority w:val="9"/>
    <w:unhideWhenUsed w:val="1"/>
    <w:qFormat w:val="1"/>
    <w:rsid w:val="00FC693F"/>
    <w:pPr>
      <w:keepNext w:val="1"/>
      <w:keepLines w:val="1"/>
      <w:spacing w:after="140" w:before="200"/>
      <w:outlineLvl w:val="1"/>
    </w:pPr>
    <w:rPr>
      <w:rFonts w:ascii="Calibri" w:hAnsi="Calibri" w:asciiTheme="majorHAnsi" w:cstheme="majorBidi" w:eastAsiaTheme="majorEastAsia" w:hAnsiTheme="majorHAnsi"/>
      <w:b w:val="1"/>
      <w:bCs w:val="1"/>
      <w:color w:val="000000"/>
      <w:sz w:val="24"/>
      <w:szCs w:val="26"/>
    </w:rPr>
  </w:style>
  <w:style w:type="paragraph" w:styleId="RPT_Heading3">
    <w:name w:val="Relatório heading 3"/>
    <w:basedOn w:val="RPT_Normal"/>
    <w:next w:val="RPT_Normal"/>
    <w:link w:val="RPT_Heading3Char"/>
    <w:uiPriority w:val="9"/>
    <w:unhideWhenUsed w:val="1"/>
    <w:qFormat w:val="1"/>
    <w:rsid w:val="00FC693F"/>
    <w:pPr>
      <w:keepNext w:val="1"/>
      <w:keepLines w:val="1"/>
      <w:spacing w:after="0" w:before="200"/>
      <w:outlineLvl w:val="2"/>
    </w:pPr>
    <w:rPr>
      <w:rFonts w:ascii="Calibri" w:hAnsi="Calibri" w:asciiTheme="majorHAnsi" w:cstheme="majorBidi" w:eastAsiaTheme="majorEastAsia" w:hAnsiTheme="majorHAnsi"/>
      <w:b w:val="1"/>
      <w:bCs w:val="1"/>
      <w:color w:val="000000"/>
    </w:rPr>
  </w:style>
  <w:style w:type="paragraph" w:styleId="RPT_Heading4">
    <w:name w:val="Relatório heading 4"/>
    <w:basedOn w:val="RPT_Normal"/>
    <w:next w:val="RPT_Normal"/>
    <w:link w:val="RPT_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RPT_Heading5">
    <w:name w:val="Relatório heading 5"/>
    <w:basedOn w:val="RPT_Normal"/>
    <w:next w:val="RPT_Normal"/>
    <w:link w:val="RPT_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RPT_Heading6">
    <w:name w:val="Relatório heading 6"/>
    <w:basedOn w:val="RPT_Normal"/>
    <w:next w:val="RPT_Normal"/>
    <w:link w:val="RPT_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RPT_Heading7">
    <w:name w:val="Relatório heading 7"/>
    <w:basedOn w:val="RPT_Normal"/>
    <w:next w:val="RPT_Normal"/>
    <w:link w:val="RPT_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RPT_Heading8">
    <w:name w:val="Relatório heading 8"/>
    <w:basedOn w:val="RPT_Normal"/>
    <w:next w:val="RPT_Normal"/>
    <w:link w:val="RPT_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RPT_Heading9">
    <w:name w:val="Relatório heading 9"/>
    <w:basedOn w:val="RPT_Normal"/>
    <w:next w:val="RPT_Normal"/>
    <w:link w:val="RPT_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RPT_DefaultParagraphFont">
    <w:name w:val="Relatório Default Paragraph Font"/>
    <w:uiPriority w:val="1"/>
    <w:semiHidden w:val="1"/>
    <w:unhideWhenUsed w:val="1"/>
  </w:style>
  <w:style w:type="table" w:styleId="RPT_TableNormal">
    <w:name w:val="Relatório Normal Table"/>
    <w:uiPriority w:val="99"/>
    <w:semiHidden w:val="1"/>
    <w:unhideWhenUsed w:val="1"/>
    <w:tblPr>
      <w:tblInd w:w="0.0" w:type="dxa"/>
      <w:tblCellMar>
        <w:top w:w="0.0" w:type="dxa"/>
        <w:left w:w="108.0" w:type="dxa"/>
        <w:bottom w:w="0.0" w:type="dxa"/>
        <w:right w:w="108.0" w:type="dxa"/>
      </w:tblCellMar>
    </w:tblPr>
  </w:style>
  <w:style w:type="numbering" w:styleId="RPT_NoList">
    <w:name w:val="Relatório No List"/>
    <w:uiPriority w:val="99"/>
    <w:semiHidden w:val="1"/>
    <w:unhideWhenUsed w:val="1"/>
  </w:style>
  <w:style w:type="paragraph" w:styleId="RPT_NoSpacing">
    <w:name w:val="Relatório No Spacing"/>
    <w:uiPriority w:val="1"/>
    <w:qFormat w:val="1"/>
    <w:rsid w:val="00FC693F"/>
    <w:pPr>
      <w:spacing w:after="0" w:line="240" w:lineRule="auto"/>
    </w:pPr>
  </w:style>
  <w:style w:type="character" w:styleId="RPT_Heading1Char" w:customStyle="1">
    <w:name w:val="Relatório Heading 1 Char"/>
    <w:basedOn w:val="RPT_DefaultParagraphFont"/>
    <w:link w:val="RPT_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RPT_Heading2Char" w:customStyle="1">
    <w:name w:val="Relatório Heading 2 Char"/>
    <w:basedOn w:val="RPT_DefaultParagraphFont"/>
    <w:link w:val="RPT_Heading2"/>
    <w:uiPriority w:val="9"/>
    <w:rsid w:val="00FC693F"/>
    <w:rPr>
      <w:rFonts w:asciiTheme="majorHAnsi" w:cstheme="majorBidi" w:eastAsiaTheme="majorEastAsia" w:hAnsiTheme="majorHAnsi"/>
      <w:b w:val="1"/>
      <w:bCs w:val="1"/>
      <w:color w:val="4f81bd" w:themeColor="accent1"/>
      <w:sz w:val="26"/>
      <w:szCs w:val="26"/>
    </w:rPr>
  </w:style>
  <w:style w:type="character" w:styleId="RPT_Heading3Char" w:customStyle="1">
    <w:name w:val="Relatório Heading 3 Char"/>
    <w:basedOn w:val="RPT_DefaultParagraphFont"/>
    <w:link w:val="RPT_Heading3"/>
    <w:uiPriority w:val="9"/>
    <w:rsid w:val="00FC693F"/>
    <w:rPr>
      <w:rFonts w:asciiTheme="majorHAnsi" w:cstheme="majorBidi" w:eastAsiaTheme="majorEastAsia" w:hAnsiTheme="majorHAnsi"/>
      <w:b w:val="1"/>
      <w:bCs w:val="1"/>
      <w:color w:val="4f81bd" w:themeColor="accent1"/>
    </w:rPr>
  </w:style>
  <w:style w:type="paragraph" w:styleId="RPT_Title">
    <w:name w:val="Relatório Title"/>
    <w:basedOn w:val="RPT_Normal"/>
    <w:next w:val="RPT_Normal"/>
    <w:link w:val="RPT_TitleChar"/>
    <w:uiPriority w:val="10"/>
    <w:qFormat w:val="1"/>
    <w:rsid w:val="00FC693F"/>
    <w:pPr>
      <w:spacing w:after="320" w:line="240" w:lineRule="auto"/>
      <w:contextualSpacing w:val="1"/>
    </w:pPr>
    <w:rPr>
      <w:rFonts w:ascii="Calibri" w:hAnsi="Calibri" w:asciiTheme="majorHAnsi" w:cstheme="majorBidi" w:eastAsiaTheme="majorEastAsia" w:hAnsiTheme="majorHAnsi"/>
      <w:b w:val="1"/>
      <w:color w:val="000000"/>
      <w:spacing w:val="5"/>
      <w:kern w:val="28"/>
      <w:sz w:val="48"/>
      <w:szCs w:val="52"/>
    </w:rPr>
  </w:style>
  <w:style w:type="character" w:styleId="RPT_TitleChar" w:customStyle="1">
    <w:name w:val="Relatório Title Char"/>
    <w:basedOn w:val="RPT_DefaultParagraphFont"/>
    <w:link w:val="RPT_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RPT_Subtitle">
    <w:name w:val="Relatório Subtitle"/>
    <w:basedOn w:val="RPT_Normal"/>
    <w:next w:val="RPT_Normal"/>
    <w:link w:val="RPT_SubtitleChar"/>
    <w:uiPriority w:val="11"/>
    <w:qFormat w:val="1"/>
    <w:rsid w:val="00FC693F"/>
    <w:pPr>
      <w:numPr>
        <w:ilvl w:val="1"/>
      </w:numPr>
      <w:spacing w:after="240"/>
    </w:pPr>
    <w:rPr>
      <w:rFonts w:ascii="Calibri" w:hAnsi="Calibri" w:asciiTheme="majorHAnsi" w:cstheme="majorBidi" w:eastAsiaTheme="majorEastAsia" w:hAnsiTheme="majorHAnsi"/>
      <w:i w:val="1"/>
      <w:iCs w:val="1"/>
      <w:color w:val="000000"/>
      <w:spacing w:val="15"/>
      <w:sz w:val="28"/>
      <w:szCs w:val="24"/>
    </w:rPr>
  </w:style>
  <w:style w:type="character" w:styleId="RPT_SubtitleChar" w:customStyle="1">
    <w:name w:val="Relatório Subtitle Char"/>
    <w:basedOn w:val="RPT_DefaultParagraphFont"/>
    <w:link w:val="RPT_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RPT_ListParagraph">
    <w:name w:val="Relatório List Paragraph"/>
    <w:basedOn w:val="RPT_Normal"/>
    <w:uiPriority w:val="34"/>
    <w:qFormat w:val="1"/>
    <w:rsid w:val="00FC693F"/>
    <w:pPr>
      <w:ind w:left="720"/>
      <w:contextualSpacing w:val="1"/>
    </w:pPr>
  </w:style>
  <w:style w:type="paragraph" w:styleId="RPT_BodyText">
    <w:name w:val="Relatório Body Text"/>
    <w:basedOn w:val="RPT_Normal"/>
    <w:link w:val="RPT_BodyTextChar"/>
    <w:uiPriority w:val="99"/>
    <w:unhideWhenUsed w:val="1"/>
    <w:rsid w:val="00AA1D8D"/>
    <w:pPr>
      <w:spacing w:after="120"/>
    </w:pPr>
  </w:style>
  <w:style w:type="character" w:styleId="RPT_BodyTextChar" w:customStyle="1">
    <w:name w:val="Relatório Body Text Char"/>
    <w:basedOn w:val="RPT_DefaultParagraphFont"/>
    <w:link w:val="RPT_BodyText"/>
    <w:uiPriority w:val="99"/>
    <w:rsid w:val="00AA1D8D"/>
  </w:style>
  <w:style w:type="paragraph" w:styleId="RPT_BodyText2">
    <w:name w:val="Relatório Body Text 2"/>
    <w:basedOn w:val="RPT_Normal"/>
    <w:link w:val="RPT_BodyText2Char"/>
    <w:uiPriority w:val="99"/>
    <w:unhideWhenUsed w:val="1"/>
    <w:rsid w:val="00AA1D8D"/>
    <w:pPr>
      <w:spacing w:after="120" w:line="480" w:lineRule="auto"/>
    </w:pPr>
  </w:style>
  <w:style w:type="character" w:styleId="RPT_BodyText2Char" w:customStyle="1">
    <w:name w:val="Relatório Body Text 2 Char"/>
    <w:basedOn w:val="RPT_DefaultParagraphFont"/>
    <w:link w:val="RPT_BodyText2"/>
    <w:uiPriority w:val="99"/>
    <w:rsid w:val="00AA1D8D"/>
  </w:style>
  <w:style w:type="paragraph" w:styleId="RPT_BodyText3">
    <w:name w:val="Relatório Body Text 3"/>
    <w:basedOn w:val="RPT_Normal"/>
    <w:link w:val="RPT_BodyText3Char"/>
    <w:uiPriority w:val="99"/>
    <w:unhideWhenUsed w:val="1"/>
    <w:rsid w:val="00AA1D8D"/>
    <w:pPr>
      <w:spacing w:after="120"/>
    </w:pPr>
    <w:rPr>
      <w:sz w:val="16"/>
      <w:szCs w:val="16"/>
    </w:rPr>
  </w:style>
  <w:style w:type="character" w:styleId="RPT_BodyText3Char" w:customStyle="1">
    <w:name w:val="Relatório Body Text 3 Char"/>
    <w:basedOn w:val="RPT_DefaultParagraphFont"/>
    <w:link w:val="RPT_BodyText3"/>
    <w:uiPriority w:val="99"/>
    <w:rsid w:val="00AA1D8D"/>
    <w:rPr>
      <w:sz w:val="16"/>
      <w:szCs w:val="16"/>
    </w:rPr>
  </w:style>
  <w:style w:type="paragraph" w:styleId="RPT_List">
    <w:name w:val="Relatório List"/>
    <w:basedOn w:val="RPT_Normal"/>
    <w:uiPriority w:val="99"/>
    <w:unhideWhenUsed w:val="1"/>
    <w:rsid w:val="00AA1D8D"/>
    <w:pPr>
      <w:ind w:left="360" w:hanging="360"/>
      <w:contextualSpacing w:val="1"/>
    </w:pPr>
  </w:style>
  <w:style w:type="paragraph" w:styleId="RPT_List2">
    <w:name w:val="Relatório List 2"/>
    <w:basedOn w:val="RPT_Normal"/>
    <w:uiPriority w:val="99"/>
    <w:unhideWhenUsed w:val="1"/>
    <w:rsid w:val="00326F90"/>
    <w:pPr>
      <w:ind w:left="720" w:hanging="360"/>
      <w:contextualSpacing w:val="1"/>
    </w:pPr>
  </w:style>
  <w:style w:type="paragraph" w:styleId="RPT_List3">
    <w:name w:val="Relatório List 3"/>
    <w:basedOn w:val="RPT_Normal"/>
    <w:uiPriority w:val="99"/>
    <w:unhideWhenUsed w:val="1"/>
    <w:rsid w:val="00326F90"/>
    <w:pPr>
      <w:ind w:left="1080" w:hanging="360"/>
      <w:contextualSpacing w:val="1"/>
    </w:pPr>
  </w:style>
  <w:style w:type="paragraph" w:styleId="RPT_ListBullet">
    <w:name w:val="Relatório List Bullet"/>
    <w:basedOn w:val="RPT_Normal"/>
    <w:uiPriority w:val="99"/>
    <w:unhideWhenUsed w:val="1"/>
    <w:rsid w:val="00326F90"/>
    <w:pPr>
      <w:numPr>
        <w:numId w:val="1"/>
      </w:numPr>
      <w:contextualSpacing w:val="1"/>
    </w:pPr>
  </w:style>
  <w:style w:type="paragraph" w:styleId="RPT_ListBullet2">
    <w:name w:val="Relatório List Bullet 2"/>
    <w:basedOn w:val="RPT_Normal"/>
    <w:uiPriority w:val="99"/>
    <w:unhideWhenUsed w:val="1"/>
    <w:rsid w:val="00326F90"/>
    <w:pPr>
      <w:numPr>
        <w:numId w:val="2"/>
      </w:numPr>
      <w:contextualSpacing w:val="1"/>
    </w:pPr>
  </w:style>
  <w:style w:type="paragraph" w:styleId="RPT_ListBullet3">
    <w:name w:val="Relatório List Bullet 3"/>
    <w:basedOn w:val="RPT_Normal"/>
    <w:uiPriority w:val="99"/>
    <w:unhideWhenUsed w:val="1"/>
    <w:rsid w:val="00326F90"/>
    <w:pPr>
      <w:numPr>
        <w:numId w:val="3"/>
      </w:numPr>
      <w:contextualSpacing w:val="1"/>
    </w:pPr>
  </w:style>
  <w:style w:type="paragraph" w:styleId="RPT_ListNumber">
    <w:name w:val="Relatório List Number"/>
    <w:basedOn w:val="RPT_Normal"/>
    <w:uiPriority w:val="99"/>
    <w:unhideWhenUsed w:val="1"/>
    <w:rsid w:val="00326F90"/>
    <w:pPr>
      <w:numPr>
        <w:numId w:val="5"/>
      </w:numPr>
      <w:contextualSpacing w:val="1"/>
    </w:pPr>
  </w:style>
  <w:style w:type="paragraph" w:styleId="RPT_ListNumber2">
    <w:name w:val="Relatório List Number 2"/>
    <w:basedOn w:val="RPT_Normal"/>
    <w:uiPriority w:val="99"/>
    <w:unhideWhenUsed w:val="1"/>
    <w:rsid w:val="0029639D"/>
    <w:pPr>
      <w:numPr>
        <w:numId w:val="6"/>
      </w:numPr>
      <w:contextualSpacing w:val="1"/>
    </w:pPr>
  </w:style>
  <w:style w:type="paragraph" w:styleId="RPT_ListNumber3">
    <w:name w:val="Relatório List Number 3"/>
    <w:basedOn w:val="RPT_Normal"/>
    <w:uiPriority w:val="99"/>
    <w:unhideWhenUsed w:val="1"/>
    <w:rsid w:val="0029639D"/>
    <w:pPr>
      <w:numPr>
        <w:numId w:val="7"/>
      </w:numPr>
      <w:contextualSpacing w:val="1"/>
    </w:pPr>
  </w:style>
  <w:style w:type="paragraph" w:styleId="RPT_ListContinue">
    <w:name w:val="Relatório List Continue"/>
    <w:basedOn w:val="RPT_Normal"/>
    <w:uiPriority w:val="99"/>
    <w:unhideWhenUsed w:val="1"/>
    <w:rsid w:val="0029639D"/>
    <w:pPr>
      <w:spacing w:after="120"/>
      <w:ind w:left="360"/>
      <w:contextualSpacing w:val="1"/>
    </w:pPr>
  </w:style>
  <w:style w:type="paragraph" w:styleId="RPT_ListContinue2">
    <w:name w:val="Relatório List Continue 2"/>
    <w:basedOn w:val="RPT_Normal"/>
    <w:uiPriority w:val="99"/>
    <w:unhideWhenUsed w:val="1"/>
    <w:rsid w:val="0029639D"/>
    <w:pPr>
      <w:spacing w:after="120"/>
      <w:ind w:left="720"/>
      <w:contextualSpacing w:val="1"/>
    </w:pPr>
  </w:style>
  <w:style w:type="paragraph" w:styleId="RPT_ListContinue3">
    <w:name w:val="Relatório List Continue 3"/>
    <w:basedOn w:val="RPT_Normal"/>
    <w:uiPriority w:val="99"/>
    <w:unhideWhenUsed w:val="1"/>
    <w:rsid w:val="0029639D"/>
    <w:pPr>
      <w:spacing w:after="120"/>
      <w:ind w:left="1080"/>
      <w:contextualSpacing w:val="1"/>
    </w:pPr>
  </w:style>
  <w:style w:type="paragraph" w:styleId="RPT_MacroText">
    <w:name w:val="Relatório macro"/>
    <w:link w:val="RPT_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RPT_MacroTextChar" w:customStyle="1">
    <w:name w:val="Relatório Macro Text Char"/>
    <w:basedOn w:val="RPT_DefaultParagraphFont"/>
    <w:link w:val="RPT_MacroText"/>
    <w:uiPriority w:val="99"/>
    <w:rsid w:val="0029639D"/>
    <w:rPr>
      <w:rFonts w:ascii="Courier" w:hAnsi="Courier"/>
      <w:sz w:val="20"/>
      <w:szCs w:val="20"/>
    </w:rPr>
  </w:style>
  <w:style w:type="paragraph" w:styleId="RPT_Quote">
    <w:name w:val="Relatório Quote"/>
    <w:basedOn w:val="RPT_Normal"/>
    <w:next w:val="RPT_Normal"/>
    <w:link w:val="RPT_QuoteChar"/>
    <w:uiPriority w:val="29"/>
    <w:qFormat w:val="1"/>
    <w:rsid w:val="00FC693F"/>
    <w:rPr>
      <w:i w:val="1"/>
      <w:iCs w:val="1"/>
      <w:color w:val="000000" w:themeColor="text1"/>
    </w:rPr>
  </w:style>
  <w:style w:type="character" w:styleId="RPT_QuoteChar" w:customStyle="1">
    <w:name w:val="Relatório Quote Char"/>
    <w:basedOn w:val="RPT_DefaultParagraphFont"/>
    <w:link w:val="RPT_Quote"/>
    <w:uiPriority w:val="29"/>
    <w:rsid w:val="00FC693F"/>
    <w:rPr>
      <w:i w:val="1"/>
      <w:iCs w:val="1"/>
      <w:color w:val="000000" w:themeColor="text1"/>
    </w:rPr>
  </w:style>
  <w:style w:type="character" w:styleId="RPT_Heading4Char" w:customStyle="1">
    <w:name w:val="Relatório Heading 4 Char"/>
    <w:basedOn w:val="RPT_DefaultParagraphFont"/>
    <w:link w:val="RPT_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RPT_Heading5Char" w:customStyle="1">
    <w:name w:val="Relatório Heading 5 Char"/>
    <w:basedOn w:val="RPT_DefaultParagraphFont"/>
    <w:link w:val="RPT_Heading5"/>
    <w:uiPriority w:val="9"/>
    <w:semiHidden w:val="1"/>
    <w:rsid w:val="00FC693F"/>
    <w:rPr>
      <w:rFonts w:asciiTheme="majorHAnsi" w:cstheme="majorBidi" w:eastAsiaTheme="majorEastAsia" w:hAnsiTheme="majorHAnsi"/>
      <w:color w:val="243f60" w:themeColor="accent1" w:themeShade="00007F"/>
    </w:rPr>
  </w:style>
  <w:style w:type="character" w:styleId="RPT_Heading6Char" w:customStyle="1">
    <w:name w:val="Relatório Heading 6 Char"/>
    <w:basedOn w:val="RPT_DefaultParagraphFont"/>
    <w:link w:val="RPT_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RPT_Heading7Char" w:customStyle="1">
    <w:name w:val="Relatório Heading 7 Char"/>
    <w:basedOn w:val="RPT_DefaultParagraphFont"/>
    <w:link w:val="RPT_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RPT_Heading8Char" w:customStyle="1">
    <w:name w:val="Relatório Heading 8 Char"/>
    <w:basedOn w:val="RPT_DefaultParagraphFont"/>
    <w:link w:val="RPT_Heading8"/>
    <w:uiPriority w:val="9"/>
    <w:semiHidden w:val="1"/>
    <w:rsid w:val="00FC693F"/>
    <w:rPr>
      <w:rFonts w:asciiTheme="majorHAnsi" w:cstheme="majorBidi" w:eastAsiaTheme="majorEastAsia" w:hAnsiTheme="majorHAnsi"/>
      <w:color w:val="4f81bd" w:themeColor="accent1"/>
      <w:sz w:val="20"/>
      <w:szCs w:val="20"/>
    </w:rPr>
  </w:style>
  <w:style w:type="character" w:styleId="RPT_Heading9Char" w:customStyle="1">
    <w:name w:val="Relatório Heading 9 Char"/>
    <w:basedOn w:val="RPT_DefaultParagraphFont"/>
    <w:link w:val="RPT_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RPT_Caption">
    <w:name w:val="Relatório caption"/>
    <w:basedOn w:val="RPT_Normal"/>
    <w:next w:val="RPT_Normal"/>
    <w:uiPriority w:val="35"/>
    <w:semiHidden w:val="1"/>
    <w:unhideWhenUsed w:val="1"/>
    <w:qFormat w:val="1"/>
    <w:rsid w:val="00FC693F"/>
    <w:pPr>
      <w:keepNext w:val="1"/>
      <w:spacing w:after="100" w:before="100" w:line="240" w:lineRule="auto"/>
    </w:pPr>
    <w:rPr>
      <w:rFonts w:ascii="Calibri" w:hAnsi="Calibri"/>
      <w:b w:val="1"/>
      <w:bCs w:val="1"/>
      <w:color w:val="000000"/>
      <w:sz w:val="20"/>
      <w:szCs w:val="18"/>
    </w:rPr>
  </w:style>
  <w:style w:type="character" w:styleId="RPT_Strong">
    <w:name w:val="Relatório Strong"/>
    <w:basedOn w:val="RPT_DefaultParagraphFont"/>
    <w:uiPriority w:val="22"/>
    <w:qFormat w:val="1"/>
    <w:rsid w:val="00FC693F"/>
    <w:rPr>
      <w:b w:val="1"/>
      <w:bCs w:val="1"/>
    </w:rPr>
  </w:style>
  <w:style w:type="character" w:styleId="RPT_Emphasis">
    <w:name w:val="Relatório Emphasis"/>
    <w:basedOn w:val="RPT_DefaultParagraphFont"/>
    <w:uiPriority w:val="20"/>
    <w:qFormat w:val="1"/>
    <w:rsid w:val="00FC693F"/>
    <w:rPr>
      <w:i w:val="1"/>
      <w:iCs w:val="1"/>
    </w:rPr>
  </w:style>
  <w:style w:type="paragraph" w:styleId="RPT_IntenseQuote">
    <w:name w:val="Relatório Intense Quote"/>
    <w:basedOn w:val="RPT_Normal"/>
    <w:next w:val="RPT_Normal"/>
    <w:link w:val="RPT_IntenseQuoteChar"/>
    <w:uiPriority w:val="30"/>
    <w:qFormat w:val="1"/>
    <w:rsid w:val="00FC693F"/>
    <w:pPr>
      <w:spacing w:after="280" w:before="200"/>
      <w:ind w:left="936" w:right="936"/>
    </w:pPr>
    <w:rPr>
      <w:b w:val="1"/>
      <w:bCs w:val="1"/>
      <w:i w:val="1"/>
      <w:iCs w:val="1"/>
      <w:color w:val="4f81bd" w:themeColor="accent1"/>
    </w:rPr>
  </w:style>
  <w:style w:type="character" w:styleId="RPT_IntenseQuoteChar" w:customStyle="1">
    <w:name w:val="Relatório Intense Quote Char"/>
    <w:basedOn w:val="RPT_DefaultParagraphFont"/>
    <w:link w:val="RPT_IntenseQuote"/>
    <w:uiPriority w:val="30"/>
    <w:rsid w:val="00FC693F"/>
    <w:rPr>
      <w:b w:val="1"/>
      <w:bCs w:val="1"/>
      <w:i w:val="1"/>
      <w:iCs w:val="1"/>
      <w:color w:val="4f81bd" w:themeColor="accent1"/>
    </w:rPr>
  </w:style>
  <w:style w:type="character" w:styleId="RPT_SubtleEmphasis">
    <w:name w:val="Relatório Subtle Emphasis"/>
    <w:basedOn w:val="RPT_DefaultParagraphFont"/>
    <w:uiPriority w:val="19"/>
    <w:qFormat w:val="1"/>
    <w:rsid w:val="00FC693F"/>
    <w:rPr>
      <w:i w:val="1"/>
      <w:iCs w:val="1"/>
      <w:color w:val="808080" w:themeColor="text1" w:themeTint="00007F"/>
    </w:rPr>
  </w:style>
  <w:style w:type="character" w:styleId="RPT_IntenseEmphasis">
    <w:name w:val="Relatório Intense Emphasis"/>
    <w:basedOn w:val="RPT_DefaultParagraphFont"/>
    <w:uiPriority w:val="21"/>
    <w:qFormat w:val="1"/>
    <w:rsid w:val="00FC693F"/>
    <w:rPr>
      <w:b w:val="1"/>
      <w:bCs w:val="1"/>
      <w:i w:val="1"/>
      <w:iCs w:val="1"/>
      <w:color w:val="4f81bd" w:themeColor="accent1"/>
    </w:rPr>
  </w:style>
  <w:style w:type="character" w:styleId="RPT_SubtleReference">
    <w:name w:val="Relatório Subtle Reference"/>
    <w:basedOn w:val="RPT_DefaultParagraphFont"/>
    <w:uiPriority w:val="31"/>
    <w:qFormat w:val="1"/>
    <w:rsid w:val="00FC693F"/>
    <w:rPr>
      <w:smallCaps w:val="1"/>
      <w:color w:val="c0504d" w:themeColor="accent2"/>
      <w:u w:val="single"/>
    </w:rPr>
  </w:style>
  <w:style w:type="character" w:styleId="RPT_IntenseReference">
    <w:name w:val="Relatório Intense Reference"/>
    <w:basedOn w:val="RPT_DefaultParagraphFont"/>
    <w:uiPriority w:val="32"/>
    <w:qFormat w:val="1"/>
    <w:rsid w:val="00FC693F"/>
    <w:rPr>
      <w:b w:val="1"/>
      <w:bCs w:val="1"/>
      <w:smallCaps w:val="1"/>
      <w:color w:val="c0504d" w:themeColor="accent2"/>
      <w:spacing w:val="5"/>
      <w:u w:val="single"/>
    </w:rPr>
  </w:style>
  <w:style w:type="character" w:styleId="RPT_BookTitle">
    <w:name w:val="Relatório Book Title"/>
    <w:basedOn w:val="RPT_DefaultParagraphFont"/>
    <w:uiPriority w:val="33"/>
    <w:qFormat w:val="1"/>
    <w:rsid w:val="00FC693F"/>
    <w:rPr>
      <w:b w:val="1"/>
      <w:bCs w:val="1"/>
      <w:smallCaps w:val="1"/>
      <w:spacing w:val="5"/>
    </w:rPr>
  </w:style>
  <w:style w:type="paragraph" w:styleId="RPT_TOCHeading">
    <w:name w:val="Relatório TOC Heading"/>
    <w:basedOn w:val="RPT_Heading1"/>
    <w:next w:val="RPT_Normal"/>
    <w:uiPriority w:val="39"/>
    <w:semiHidden w:val="1"/>
    <w:unhideWhenUsed w:val="1"/>
    <w:qFormat w:val="1"/>
    <w:rsid w:val="00FC693F"/>
    <w:pPr>
      <w:outlineLvl w:val="9"/>
    </w:pPr>
  </w:style>
  <w:style w:type="table" w:styleId="RPT_TableGrid">
    <w:name w:val="Relatório Table Grid"/>
    <w:basedOn w:val="RPT_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RPT_LightShading">
    <w:name w:val="Relatório Light Shading"/>
    <w:basedOn w:val="RPT_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RPT_LightShading-Accent1">
    <w:name w:val="Relatório Light Shading Accent 1"/>
    <w:basedOn w:val="RPT_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RPT_LightShading-Accent2">
    <w:name w:val="Relatório Light Shading Accent 2"/>
    <w:basedOn w:val="RPT_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RPT_LightShading-Accent3">
    <w:name w:val="Relatório Light Shading Accent 3"/>
    <w:basedOn w:val="RPT_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RPT_LightShading-Accent4">
    <w:name w:val="Relatório Light Shading Accent 4"/>
    <w:basedOn w:val="RPT_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RPT_LightShading-Accent5">
    <w:name w:val="Relatório Light Shading Accent 5"/>
    <w:basedOn w:val="RPT_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RPT_LightShading-Accent6">
    <w:name w:val="Relatório Light Shading Accent 6"/>
    <w:basedOn w:val="RPT_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RPT_LightList">
    <w:name w:val="Relatório Light List"/>
    <w:basedOn w:val="RPT_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RPT_LightList-Accent1">
    <w:name w:val="Relatório Light List Accent 1"/>
    <w:basedOn w:val="RPT_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RPT_LightList-Accent2">
    <w:name w:val="Relatório Light List Accent 2"/>
    <w:basedOn w:val="RPT_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RPT_LightList-Accent3">
    <w:name w:val="Relatório Light List Accent 3"/>
    <w:basedOn w:val="RPT_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RPT_LightList-Accent4">
    <w:name w:val="Relatório Light List Accent 4"/>
    <w:basedOn w:val="RPT_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RPT_LightList-Accent5">
    <w:name w:val="Relatório Light List Accent 5"/>
    <w:basedOn w:val="RPT_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RPT_LightList-Accent6">
    <w:name w:val="Relatório Light List Accent 6"/>
    <w:basedOn w:val="RPT_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RPT_LightGrid">
    <w:name w:val="Relatório Light Grid"/>
    <w:basedOn w:val="RPT_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RPT_LightGrid-Accent1">
    <w:name w:val="Relatório Light Grid Accent 1"/>
    <w:basedOn w:val="RPT_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RPT_LightGrid-Accent2">
    <w:name w:val="Relatório Light Grid Accent 2"/>
    <w:basedOn w:val="RPT_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RPT_LightGrid-Accent3">
    <w:name w:val="Relatório Light Grid Accent 3"/>
    <w:basedOn w:val="RPT_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RPT_LightGrid-Accent4">
    <w:name w:val="Relatório Light Grid Accent 4"/>
    <w:basedOn w:val="RPT_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RPT_LightGrid-Accent5">
    <w:name w:val="Relatório Light Grid Accent 5"/>
    <w:basedOn w:val="RPT_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RPT_LightGrid-Accent6">
    <w:name w:val="Relatório Light Grid Accent 6"/>
    <w:basedOn w:val="RPT_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RPT_MediumShading1">
    <w:name w:val="Relatório Medium Shading 1"/>
    <w:basedOn w:val="RPT_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RPT_MediumShading1-Accent1">
    <w:name w:val="Relatório Medium Shading 1 Accent 1"/>
    <w:basedOn w:val="RPT_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RPT_MediumShading1-Accent2">
    <w:name w:val="Relatório Medium Shading 1 Accent 2"/>
    <w:basedOn w:val="RPT_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RPT_MediumShading1-Accent3">
    <w:name w:val="Relatório Medium Shading 1 Accent 3"/>
    <w:basedOn w:val="RPT_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RPT_MediumShading1-Accent4">
    <w:name w:val="Relatório Medium Shading 1 Accent 4"/>
    <w:basedOn w:val="RPT_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RPT_MediumShading1-Accent5">
    <w:name w:val="Relatório Medium Shading 1 Accent 5"/>
    <w:basedOn w:val="RPT_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RPT_MediumShading1-Accent6">
    <w:name w:val="Relatório Medium Shading 1 Accent 6"/>
    <w:basedOn w:val="RPT_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RPT_MediumShading2">
    <w:name w:val="Relatório Medium Shading 2"/>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1">
    <w:name w:val="Relatório Medium Shading 2 Accent 1"/>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2">
    <w:name w:val="Relatório Medium Shading 2 Accent 2"/>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3">
    <w:name w:val="Relatório Medium Shading 2 Accent 3"/>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4">
    <w:name w:val="Relatório Medium Shading 2 Accent 4"/>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5">
    <w:name w:val="Relatório Medium Shading 2 Accent 5"/>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6">
    <w:name w:val="Relatório Medium Shading 2 Accent 6"/>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List1">
    <w:name w:val="Relatório Medium List 1"/>
    <w:basedOn w:val="RPT_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RPT_MediumList1-Accent1">
    <w:name w:val="Relatório Medium List 1 Accent 1"/>
    <w:basedOn w:val="RPT_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RPT_MediumList1-Accent2">
    <w:name w:val="Relatório Medium List 1 Accent 2"/>
    <w:basedOn w:val="RPT_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RPT_MediumList1-Accent3">
    <w:name w:val="Relatório Medium List 1 Accent 3"/>
    <w:basedOn w:val="RPT_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RPT_MediumList1-Accent4">
    <w:name w:val="Relatório Medium List 1 Accent 4"/>
    <w:basedOn w:val="RPT_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RPT_MediumList1-Accent5">
    <w:name w:val="Relatório Medium List 1 Accent 5"/>
    <w:basedOn w:val="RPT_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RPT_MediumList1-Accent6">
    <w:name w:val="Relatório Medium List 1 Accent 6"/>
    <w:basedOn w:val="RPT_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RPT_MediumList2">
    <w:name w:val="Relatório Medium List 2"/>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1">
    <w:name w:val="Relatório Medium List 2 Accent 1"/>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2">
    <w:name w:val="Relatório Medium List 2 Accent 2"/>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3">
    <w:name w:val="Relatório Medium List 2 Accent 3"/>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4">
    <w:name w:val="Relatório Medium List 2 Accent 4"/>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5">
    <w:name w:val="Relatório Medium List 2 Accent 5"/>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6">
    <w:name w:val="Relatório Medium List 2 Accent 6"/>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Grid1">
    <w:name w:val="Relatório Medium Grid 1"/>
    <w:basedOn w:val="RPT_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RPT_MediumGrid1-Accent1">
    <w:name w:val="Relatório Medium Grid 1 Accent 1"/>
    <w:basedOn w:val="RPT_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RPT_MediumGrid1-Accent2">
    <w:name w:val="Relatório Medium Grid 1 Accent 2"/>
    <w:basedOn w:val="RPT_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RPT_MediumGrid1-Accent3">
    <w:name w:val="Relatório Medium Grid 1 Accent 3"/>
    <w:basedOn w:val="RPT_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RPT_MediumGrid1-Accent4">
    <w:name w:val="Relatório Medium Grid 1 Accent 4"/>
    <w:basedOn w:val="RPT_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RPT_MediumGrid1-Accent5">
    <w:name w:val="Relatório Medium Grid 1 Accent 5"/>
    <w:basedOn w:val="RPT_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RPT_MediumGrid1-Accent6">
    <w:name w:val="Relatório Medium Grid 1 Accent 6"/>
    <w:basedOn w:val="RPT_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RPT_MediumGrid2">
    <w:name w:val="Relatório Medium Grid 2"/>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RPT_MediumGrid2-Accent1">
    <w:name w:val="Relatório Medium Grid 2 Accent 1"/>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RPT_MediumGrid2-Accent2">
    <w:name w:val="Relatório Medium Grid 2 Accent 2"/>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RPT_MediumGrid2-Accent3">
    <w:name w:val="Relatório Medium Grid 2 Accent 3"/>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RPT_MediumGrid2-Accent4">
    <w:name w:val="Relatório Medium Grid 2 Accent 4"/>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RPT_MediumGrid2-Accent5">
    <w:name w:val="Relatório Medium Grid 2 Accent 5"/>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RPT_MediumGrid2-Accent6">
    <w:name w:val="Relatório Medium Grid 2 Accent 6"/>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RPT_MediumGrid3">
    <w:name w:val="Relatório Medium Grid 3"/>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RPT_MediumGrid3-Accent1">
    <w:name w:val="Relatório Medium Grid 3 Accent 1"/>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RPT_MediumGrid3-Accent2">
    <w:name w:val="Relatório Medium Grid 3 Accent 2"/>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RPT_MediumGrid3-Accent3">
    <w:name w:val="Relatório Medium Grid 3 Accent 3"/>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RPT_MediumGrid3-Accent4">
    <w:name w:val="Relatório Medium Grid 3 Accent 4"/>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RPT_MediumGrid3-Accent5">
    <w:name w:val="Relatório Medium Grid 3 Accent 5"/>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RPT_MediumGrid3-Accent6">
    <w:name w:val="Relatório Medium Grid 3 Accent 6"/>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RPT_DarkList">
    <w:name w:val="Relatório Dark List"/>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RPT_DarkList-Accent1">
    <w:name w:val="Relatório Dark List Accent 1"/>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RPT_DarkList-Accent2">
    <w:name w:val="Relatório Dark List Accent 2"/>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RPT_DarkList-Accent3">
    <w:name w:val="Relatório Dark List Accent 3"/>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RPT_DarkList-Accent4">
    <w:name w:val="Relatório Dark List Accent 4"/>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RPT_DarkList-Accent5">
    <w:name w:val="Relatório Dark List Accent 5"/>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RPT_DarkList-Accent6">
    <w:name w:val="Relatório Dark List Accent 6"/>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RPT_ColorfulShading">
    <w:name w:val="Relatório Colorful Shading"/>
    <w:basedOn w:val="RPT_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RPT_ColorfulShading-Accent1">
    <w:name w:val="Relatório Colorful Shading Accent 1"/>
    <w:basedOn w:val="RPT_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RPT_ColorfulShading-Accent2">
    <w:name w:val="Relatório Colorful Shading Accent 2"/>
    <w:basedOn w:val="RPT_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RPT_ColorfulShading-Accent3">
    <w:name w:val="Relatório Colorful Shading Accent 3"/>
    <w:basedOn w:val="RPT_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RPT_ColorfulShading-Accent4">
    <w:name w:val="Relatório Colorful Shading Accent 4"/>
    <w:basedOn w:val="RPT_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RPT_ColorfulShading-Accent5">
    <w:name w:val="Relatório Colorful Shading Accent 5"/>
    <w:basedOn w:val="RPT_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RPT_ColorfulShading-Accent6">
    <w:name w:val="Relatório Colorful Shading Accent 6"/>
    <w:basedOn w:val="RPT_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RPT_ColorfulList">
    <w:name w:val="Relatório Colorful List"/>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RPT_ColorfulList-Accent1">
    <w:name w:val="Relatório Colorful List Accent 1"/>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RPT_ColorfulList-Accent2">
    <w:name w:val="Relatório Colorful List Accent 2"/>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RPT_ColorfulList-Accent3">
    <w:name w:val="Relatório Colorful List Accent 3"/>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RPT_ColorfulList-Accent4">
    <w:name w:val="Relatório Colorful List Accent 4"/>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RPT_ColorfulList-Accent5">
    <w:name w:val="Relatório Colorful List Accent 5"/>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RPT_ColorfulList-Accent6">
    <w:name w:val="Relatório Colorful List Accent 6"/>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RPT_ColorfulGrid">
    <w:name w:val="Relatório Colorful Grid"/>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RPT_ColorfulGrid-Accent1">
    <w:name w:val="Relatório Colorful Grid Accent 1"/>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RPT_ColorfulGrid-Accent2">
    <w:name w:val="Relatório Colorful Grid Accent 2"/>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RPT_ColorfulGrid-Accent3">
    <w:name w:val="Relatório Colorful Grid Accent 3"/>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RPT_ColorfulGrid-Accent4">
    <w:name w:val="Relatório Colorful Grid Accent 4"/>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RPT_ColorfulGrid-Accent5">
    <w:name w:val="Relatório Colorful Grid Accent 5"/>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RPT_ColorfulGrid-Accent6">
    <w:name w:val="Relatório Colorful Grid Accent 6"/>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hyperlink" Target="https://docs.espressif.com/projects/arduino-esp32/en/latest/api/serial.html"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reveng.sourceforge.io/crc-catalogue/all.htm#crc.cat.crc-8-smbus" TargetMode="External"/><Relationship Id="rId14" Type="http://schemas.openxmlformats.org/officeDocument/2006/relationships/hyperlink" Target="https://docs.espressif.com/projects/esp-idf/en/stable/esp32/api-reference/system/esp_timer.html"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kauanSR-DEv/telemetria-esp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N6GKVYGLKfeyIoq27zLPfRNQPQ==">CgMxLjAaJAoBMBIfCh0IB0IZCgVBcmlhbBIQQXJpYWwgVW5pY29kZSBNUxokCgExEh8KHQgHQhkKBUFyaWFsEhBBcmlhbCBVbmljb2RlIE1TOAByITFfZVVwTThrTDd4cm1IcDlJVENtSS15QmFpYnFia1pfTQ==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Equipe do projeto</dc:creator>
</cp:coreProperties>
</file>